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48890" cy="1911985"/>
            <wp:effectExtent l="0" t="0" r="3810" b="12065"/>
            <wp:docPr id="12" name="图片 12" descr="集成电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集成电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86660" cy="1864995"/>
            <wp:effectExtent l="0" t="0" r="8890" b="1905"/>
            <wp:docPr id="13" name="图片 13" descr="集成电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集成电脑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87295" cy="2620010"/>
            <wp:effectExtent l="0" t="0" r="8255" b="8890"/>
            <wp:docPr id="14" name="图片 14" descr="研发2024固定资产报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研发2024固定资产报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709545" cy="1590675"/>
            <wp:effectExtent l="0" t="0" r="14605" b="9525"/>
            <wp:docPr id="15" name="图片 15" descr="交换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交换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51735" cy="3270250"/>
            <wp:effectExtent l="0" t="0" r="5715" b="6350"/>
            <wp:docPr id="16" name="图片 16" descr="电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电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1E01B1"/>
    <w:rsid w:val="371E01B1"/>
    <w:rsid w:val="3F51453B"/>
    <w:rsid w:val="4C072405"/>
    <w:rsid w:val="51E138FE"/>
    <w:rsid w:val="763B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2023-04-23T03:41:00Z</dcterms:created>
  <dc:creator>屈益帆</dc:creator>
  <cp:lastModifiedBy>萧朝云</cp:lastModifiedBy>
  <dcterms:modified xsi:type="dcterms:W3CDTF">2024-11-13T02:29:44Z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