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overflowPunct/>
        <w:topLinePunct w:val="0"/>
        <w:autoSpaceDN w:val="0"/>
        <w:bidi w:val="0"/>
        <w:jc w:val="center"/>
        <w:rPr>
          <w:rFonts w:ascii="宋体" w:hAnsi="宋体" w:cs="宋体"/>
          <w:b/>
          <w:color w:val="000000" w:themeColor="text1"/>
          <w:spacing w:val="28"/>
          <w:sz w:val="52"/>
          <w:szCs w:val="52"/>
          <w:highlight w:val="none"/>
          <w14:textFill>
            <w14:solidFill>
              <w14:schemeClr w14:val="tx1"/>
            </w14:solidFill>
          </w14:textFill>
        </w:rPr>
      </w:pPr>
    </w:p>
    <w:p>
      <w:pPr>
        <w:widowControl w:val="0"/>
        <w:kinsoku/>
        <w:overflowPunct/>
        <w:topLinePunct w:val="0"/>
        <w:autoSpaceDN w:val="0"/>
        <w:bidi w:val="0"/>
        <w:jc w:val="center"/>
        <w:rPr>
          <w:rFonts w:ascii="宋体" w:hAnsi="宋体" w:cs="宋体"/>
          <w:b/>
          <w:color w:val="000000" w:themeColor="text1"/>
          <w:spacing w:val="28"/>
          <w:sz w:val="52"/>
          <w:szCs w:val="52"/>
          <w:highlight w:val="none"/>
          <w14:textFill>
            <w14:solidFill>
              <w14:schemeClr w14:val="tx1"/>
            </w14:solidFill>
          </w14:textFill>
        </w:rPr>
      </w:pPr>
    </w:p>
    <w:p>
      <w:pPr>
        <w:widowControl w:val="0"/>
        <w:kinsoku/>
        <w:overflowPunct/>
        <w:topLinePunct w:val="0"/>
        <w:autoSpaceDN w:val="0"/>
        <w:bidi w:val="0"/>
        <w:jc w:val="center"/>
        <w:rPr>
          <w:rFonts w:hint="eastAsia" w:ascii="黑体" w:hAnsi="黑体" w:eastAsia="黑体" w:cs="黑体"/>
          <w:b w:val="0"/>
          <w:bCs/>
          <w:color w:val="000000" w:themeColor="text1"/>
          <w:spacing w:val="28"/>
          <w:sz w:val="52"/>
          <w:szCs w:val="52"/>
          <w:highlight w:val="none"/>
          <w:lang w:eastAsia="zh-CN"/>
          <w14:textFill>
            <w14:solidFill>
              <w14:schemeClr w14:val="tx1"/>
            </w14:solidFill>
          </w14:textFill>
        </w:rPr>
      </w:pPr>
      <w:r>
        <w:rPr>
          <w:rFonts w:hint="eastAsia" w:ascii="黑体" w:hAnsi="黑体" w:eastAsia="黑体" w:cs="黑体"/>
          <w:b w:val="0"/>
          <w:bCs/>
          <w:color w:val="000000" w:themeColor="text1"/>
          <w:spacing w:val="28"/>
          <w:sz w:val="52"/>
          <w:szCs w:val="52"/>
          <w:highlight w:val="none"/>
          <w:lang w:val="en-US" w:eastAsia="zh-CN"/>
          <w14:textFill>
            <w14:solidFill>
              <w14:schemeClr w14:val="tx1"/>
            </w14:solidFill>
          </w14:textFill>
        </w:rPr>
        <w:t>广东机场集团服务质量测评</w:t>
      </w:r>
      <w:r>
        <w:rPr>
          <w:rFonts w:hint="eastAsia" w:ascii="黑体" w:hAnsi="黑体" w:eastAsia="黑体" w:cs="黑体"/>
          <w:b w:val="0"/>
          <w:bCs/>
          <w:color w:val="000000" w:themeColor="text1"/>
          <w:kern w:val="44"/>
          <w:sz w:val="52"/>
          <w:szCs w:val="52"/>
          <w:highlight w:val="none"/>
          <w14:textFill>
            <w14:solidFill>
              <w14:schemeClr w14:val="tx1"/>
            </w14:solidFill>
          </w14:textFill>
        </w:rPr>
        <w:t>项目</w:t>
      </w:r>
    </w:p>
    <w:p>
      <w:pPr>
        <w:widowControl w:val="0"/>
        <w:kinsoku/>
        <w:overflowPunct/>
        <w:topLinePunct w:val="0"/>
        <w:bidi w:val="0"/>
        <w:rPr>
          <w:rFonts w:ascii="仿宋_GB2312" w:eastAsia="仿宋_GB2312"/>
          <w:b/>
          <w:color w:val="000000" w:themeColor="text1"/>
          <w:sz w:val="52"/>
          <w:szCs w:val="52"/>
          <w:highlight w:val="none"/>
          <w14:textFill>
            <w14:solidFill>
              <w14:schemeClr w14:val="tx1"/>
            </w14:solidFill>
          </w14:textFill>
        </w:rPr>
      </w:pPr>
    </w:p>
    <w:p>
      <w:pPr>
        <w:pStyle w:val="2"/>
        <w:widowControl w:val="0"/>
        <w:kinsoku/>
        <w:overflowPunct/>
        <w:topLinePunct w:val="0"/>
        <w:bidi w:val="0"/>
        <w:rPr>
          <w:color w:val="000000" w:themeColor="text1"/>
          <w:highlight w:val="none"/>
          <w14:textFill>
            <w14:solidFill>
              <w14:schemeClr w14:val="tx1"/>
            </w14:solidFill>
          </w14:textFill>
        </w:rPr>
      </w:pPr>
    </w:p>
    <w:p>
      <w:pPr>
        <w:widowControl w:val="0"/>
        <w:kinsoku/>
        <w:overflowPunct/>
        <w:topLinePunct w:val="0"/>
        <w:bidi w:val="0"/>
        <w:rPr>
          <w:rFonts w:hint="eastAsia" w:ascii="仿宋_GB2312" w:hAnsi="宋体" w:eastAsia="仿宋_GB2312"/>
          <w:b/>
          <w:color w:val="000000" w:themeColor="text1"/>
          <w:sz w:val="52"/>
          <w:szCs w:val="52"/>
          <w:highlight w:val="none"/>
          <w14:textFill>
            <w14:solidFill>
              <w14:schemeClr w14:val="tx1"/>
            </w14:solidFill>
          </w14:textFill>
        </w:rPr>
      </w:pPr>
    </w:p>
    <w:p>
      <w:pPr>
        <w:widowControl w:val="0"/>
        <w:kinsoku/>
        <w:overflowPunct/>
        <w:topLinePunct w:val="0"/>
        <w:bidi w:val="0"/>
        <w:jc w:val="center"/>
        <w:rPr>
          <w:rFonts w:hint="eastAsia" w:ascii="黑体" w:hAnsi="黑体" w:eastAsia="黑体" w:cs="黑体"/>
          <w:b w:val="0"/>
          <w:bCs/>
          <w:color w:val="000000" w:themeColor="text1"/>
          <w:sz w:val="84"/>
          <w:szCs w:val="84"/>
          <w:highlight w:val="none"/>
          <w14:textFill>
            <w14:solidFill>
              <w14:schemeClr w14:val="tx1"/>
            </w14:solidFill>
          </w14:textFill>
        </w:rPr>
      </w:pPr>
      <w:r>
        <w:rPr>
          <w:rFonts w:hint="eastAsia" w:ascii="黑体" w:hAnsi="黑体" w:eastAsia="黑体" w:cs="黑体"/>
          <w:b w:val="0"/>
          <w:bCs/>
          <w:color w:val="000000" w:themeColor="text1"/>
          <w:sz w:val="84"/>
          <w:szCs w:val="84"/>
          <w:highlight w:val="none"/>
          <w14:textFill>
            <w14:solidFill>
              <w14:schemeClr w14:val="tx1"/>
            </w14:solidFill>
          </w14:textFill>
        </w:rPr>
        <w:t>采购文件</w:t>
      </w:r>
    </w:p>
    <w:p>
      <w:pPr>
        <w:widowControl w:val="0"/>
        <w:kinsoku/>
        <w:overflowPunct/>
        <w:topLinePunct w:val="0"/>
        <w:bidi w:val="0"/>
        <w:rPr>
          <w:rFonts w:ascii="仿宋_GB2312" w:eastAsia="仿宋_GB2312"/>
          <w:b/>
          <w:color w:val="000000" w:themeColor="text1"/>
          <w:sz w:val="52"/>
          <w:szCs w:val="52"/>
          <w:highlight w:val="none"/>
          <w14:textFill>
            <w14:solidFill>
              <w14:schemeClr w14:val="tx1"/>
            </w14:solidFill>
          </w14:textFill>
        </w:rPr>
      </w:pPr>
    </w:p>
    <w:p>
      <w:pPr>
        <w:widowControl w:val="0"/>
        <w:kinsoku/>
        <w:overflowPunct/>
        <w:topLinePunct w:val="0"/>
        <w:bidi w:val="0"/>
        <w:rPr>
          <w:rFonts w:hint="eastAsia" w:ascii="仿宋_GB2312" w:hAnsi="宋体" w:eastAsia="仿宋_GB2312"/>
          <w:b/>
          <w:color w:val="000000" w:themeColor="text1"/>
          <w:sz w:val="52"/>
          <w:szCs w:val="52"/>
          <w:highlight w:val="none"/>
          <w14:textFill>
            <w14:solidFill>
              <w14:schemeClr w14:val="tx1"/>
            </w14:solidFill>
          </w14:textFill>
        </w:rPr>
      </w:pPr>
    </w:p>
    <w:p>
      <w:pPr>
        <w:pStyle w:val="2"/>
        <w:widowControl w:val="0"/>
        <w:kinsoku/>
        <w:overflowPunct/>
        <w:topLinePunct w:val="0"/>
        <w:bidi w:val="0"/>
        <w:rPr>
          <w:rFonts w:hint="eastAsia" w:ascii="黑体" w:hAnsi="黑体" w:eastAsia="黑体" w:cs="黑体"/>
          <w:b w:val="0"/>
          <w:bCs/>
          <w:color w:val="000000" w:themeColor="text1"/>
          <w:sz w:val="52"/>
          <w:szCs w:val="52"/>
          <w:highlight w:val="none"/>
          <w14:textFill>
            <w14:solidFill>
              <w14:schemeClr w14:val="tx1"/>
            </w14:solidFill>
          </w14:textFill>
        </w:rPr>
      </w:pPr>
    </w:p>
    <w:p>
      <w:pPr>
        <w:widowControl w:val="0"/>
        <w:kinsoku/>
        <w:overflowPunct/>
        <w:topLinePunct w:val="0"/>
        <w:bidi w:val="0"/>
        <w:rPr>
          <w:rFonts w:hint="eastAsia"/>
          <w:color w:val="000000" w:themeColor="text1"/>
          <w:sz w:val="52"/>
          <w:szCs w:val="52"/>
          <w:highlight w:val="none"/>
          <w14:textFill>
            <w14:solidFill>
              <w14:schemeClr w14:val="tx1"/>
            </w14:solidFill>
          </w14:textFill>
        </w:rPr>
      </w:pPr>
    </w:p>
    <w:p>
      <w:pPr>
        <w:widowControl w:val="0"/>
        <w:kinsoku/>
        <w:overflowPunct/>
        <w:topLinePunct w:val="0"/>
        <w:bidi w:val="0"/>
        <w:ind w:right="706" w:rightChars="336"/>
        <w:jc w:val="center"/>
        <w:rPr>
          <w:rFonts w:hint="eastAsia" w:ascii="黑体" w:hAnsi="黑体" w:eastAsia="黑体" w:cs="黑体"/>
          <w:b w:val="0"/>
          <w:bCs/>
          <w:color w:val="000000" w:themeColor="text1"/>
          <w:sz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采购方</w:t>
      </w:r>
      <w:r>
        <w:rPr>
          <w:rFonts w:hint="eastAsia" w:ascii="黑体" w:hAnsi="黑体" w:eastAsia="黑体" w:cs="黑体"/>
          <w:b w:val="0"/>
          <w:bCs/>
          <w:color w:val="000000" w:themeColor="text1"/>
          <w:sz w:val="32"/>
          <w:szCs w:val="32"/>
          <w:highlight w:val="none"/>
          <w14:textFill>
            <w14:solidFill>
              <w14:schemeClr w14:val="tx1"/>
            </w14:solidFill>
          </w14:textFill>
        </w:rPr>
        <w:t>：广东省机场管理集团有限公司</w:t>
      </w:r>
    </w:p>
    <w:p>
      <w:pPr>
        <w:widowControl w:val="0"/>
        <w:kinsoku/>
        <w:overflowPunct/>
        <w:topLinePunct w:val="0"/>
        <w:bidi w:val="0"/>
        <w:jc w:val="center"/>
        <w:rPr>
          <w:rFonts w:hint="eastAsia" w:ascii="黑体" w:hAnsi="黑体" w:eastAsia="黑体" w:cs="黑体"/>
          <w:b w:val="0"/>
          <w:bCs/>
          <w:color w:val="000000" w:themeColor="text1"/>
          <w:sz w:val="30"/>
          <w:szCs w:val="30"/>
          <w:highlight w:val="none"/>
          <w14:textFill>
            <w14:solidFill>
              <w14:schemeClr w14:val="tx1"/>
            </w14:solidFill>
          </w14:textFill>
        </w:rPr>
        <w:sectPr>
          <w:footerReference r:id="rId3" w:type="default"/>
          <w:footerReference r:id="rId4" w:type="even"/>
          <w:pgSz w:w="11905" w:h="16838"/>
          <w:pgMar w:top="1587" w:right="1474" w:bottom="1474" w:left="1587" w:header="850"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黑体" w:hAnsi="黑体" w:eastAsia="黑体" w:cs="黑体"/>
          <w:b w:val="0"/>
          <w:bCs/>
          <w:color w:val="000000" w:themeColor="text1"/>
          <w:sz w:val="30"/>
          <w:szCs w:val="30"/>
          <w:highlight w:val="none"/>
          <w14:textFill>
            <w14:solidFill>
              <w14:schemeClr w14:val="tx1"/>
            </w14:solidFill>
          </w14:textFill>
        </w:rPr>
        <w:t>二○二</w:t>
      </w:r>
      <w:r>
        <w:rPr>
          <w:rFonts w:hint="eastAsia" w:ascii="黑体" w:hAnsi="黑体" w:eastAsia="黑体" w:cs="黑体"/>
          <w:b w:val="0"/>
          <w:bCs/>
          <w:color w:val="000000" w:themeColor="text1"/>
          <w:sz w:val="30"/>
          <w:szCs w:val="30"/>
          <w:highlight w:val="none"/>
          <w:lang w:val="en-US" w:eastAsia="zh-CN"/>
          <w14:textFill>
            <w14:solidFill>
              <w14:schemeClr w14:val="tx1"/>
            </w14:solidFill>
          </w14:textFill>
        </w:rPr>
        <w:t>二</w:t>
      </w:r>
      <w:r>
        <w:rPr>
          <w:rFonts w:hint="eastAsia" w:ascii="黑体" w:hAnsi="黑体" w:eastAsia="黑体" w:cs="黑体"/>
          <w:b w:val="0"/>
          <w:bCs/>
          <w:color w:val="000000" w:themeColor="text1"/>
          <w:sz w:val="30"/>
          <w:szCs w:val="30"/>
          <w:highlight w:val="none"/>
          <w14:textFill>
            <w14:solidFill>
              <w14:schemeClr w14:val="tx1"/>
            </w14:solidFill>
          </w14:textFill>
        </w:rPr>
        <w:t>年</w:t>
      </w:r>
      <w:r>
        <w:rPr>
          <w:rFonts w:hint="eastAsia" w:ascii="黑体" w:hAnsi="黑体" w:eastAsia="黑体" w:cs="黑体"/>
          <w:b w:val="0"/>
          <w:bCs/>
          <w:color w:val="000000" w:themeColor="text1"/>
          <w:sz w:val="30"/>
          <w:szCs w:val="30"/>
          <w:highlight w:val="none"/>
          <w:lang w:val="en-US" w:eastAsia="zh-CN"/>
          <w14:textFill>
            <w14:solidFill>
              <w14:schemeClr w14:val="tx1"/>
            </w14:solidFill>
          </w14:textFill>
        </w:rPr>
        <w:t>七</w:t>
      </w:r>
      <w:r>
        <w:rPr>
          <w:rFonts w:hint="eastAsia" w:ascii="黑体" w:hAnsi="黑体" w:eastAsia="黑体" w:cs="黑体"/>
          <w:b w:val="0"/>
          <w:bCs/>
          <w:color w:val="000000" w:themeColor="text1"/>
          <w:sz w:val="30"/>
          <w:szCs w:val="30"/>
          <w:highlight w:val="none"/>
          <w14:textFill>
            <w14:solidFill>
              <w14:schemeClr w14:val="tx1"/>
            </w14:solidFill>
          </w14:textFill>
        </w:rPr>
        <w:t>月</w:t>
      </w:r>
    </w:p>
    <w:p>
      <w:pPr>
        <w:widowControl w:val="0"/>
        <w:kinsoku/>
        <w:overflowPunct/>
        <w:topLinePunct w:val="0"/>
        <w:bidi w:val="0"/>
        <w:jc w:val="center"/>
        <w:rPr>
          <w:rFonts w:hint="eastAsia" w:eastAsia="黑体"/>
          <w:color w:val="000000" w:themeColor="text1"/>
          <w:sz w:val="44"/>
          <w:highlight w:val="none"/>
          <w14:textFill>
            <w14:solidFill>
              <w14:schemeClr w14:val="tx1"/>
            </w14:solidFill>
          </w14:textFill>
        </w:rPr>
      </w:pPr>
      <w:r>
        <w:rPr>
          <w:rFonts w:hint="eastAsia" w:eastAsia="黑体"/>
          <w:color w:val="000000" w:themeColor="text1"/>
          <w:sz w:val="44"/>
          <w:highlight w:val="none"/>
          <w14:textFill>
            <w14:solidFill>
              <w14:schemeClr w14:val="tx1"/>
            </w14:solidFill>
          </w14:textFill>
        </w:rPr>
        <w:t>目录</w:t>
      </w:r>
    </w:p>
    <w:p>
      <w:pPr>
        <w:widowControl w:val="0"/>
        <w:kinsoku/>
        <w:overflowPunct/>
        <w:topLinePunct w:val="0"/>
        <w:bidi w:val="0"/>
        <w:jc w:val="center"/>
        <w:rPr>
          <w:rFonts w:hint="eastAsia" w:eastAsia="黑体"/>
          <w:bCs/>
          <w:color w:val="000000" w:themeColor="text1"/>
          <w:sz w:val="44"/>
          <w:highlight w:val="none"/>
          <w14:textFill>
            <w14:solidFill>
              <w14:schemeClr w14:val="tx1"/>
            </w14:solidFill>
          </w14:textFill>
        </w:rPr>
      </w:pPr>
    </w:p>
    <w:p>
      <w:pPr>
        <w:widowControl w:val="0"/>
        <w:kinsoku/>
        <w:overflowPunct/>
        <w:topLinePunct w:val="0"/>
        <w:bidi w:val="0"/>
        <w:ind w:left="1470" w:leftChars="700"/>
        <w:jc w:val="left"/>
        <w:rPr>
          <w:rFonts w:hint="default" w:eastAsia="黑体"/>
          <w:bCs/>
          <w:color w:val="000000" w:themeColor="text1"/>
          <w:sz w:val="32"/>
          <w:highlight w:val="none"/>
          <w:lang w:val="en-US" w:eastAsia="zh-CN"/>
          <w14:textFill>
            <w14:solidFill>
              <w14:schemeClr w14:val="tx1"/>
            </w14:solidFill>
          </w14:textFill>
        </w:rPr>
      </w:pPr>
      <w:r>
        <w:rPr>
          <w:rFonts w:hint="eastAsia" w:eastAsia="黑体"/>
          <w:bCs/>
          <w:color w:val="000000" w:themeColor="text1"/>
          <w:sz w:val="32"/>
          <w:highlight w:val="none"/>
          <w14:textFill>
            <w14:solidFill>
              <w14:schemeClr w14:val="tx1"/>
            </w14:solidFill>
          </w14:textFill>
        </w:rPr>
        <w:t>第一部分</w:t>
      </w:r>
      <w:r>
        <w:rPr>
          <w:rFonts w:hint="eastAsia" w:eastAsia="黑体"/>
          <w:bCs/>
          <w:color w:val="000000" w:themeColor="text1"/>
          <w:sz w:val="32"/>
          <w:highlight w:val="none"/>
          <w:lang w:val="en-US" w:eastAsia="zh-CN"/>
          <w14:textFill>
            <w14:solidFill>
              <w14:schemeClr w14:val="tx1"/>
            </w14:solidFill>
          </w14:textFill>
        </w:rPr>
        <w:t xml:space="preserve">  邀请函</w:t>
      </w:r>
    </w:p>
    <w:p>
      <w:pPr>
        <w:widowControl w:val="0"/>
        <w:kinsoku/>
        <w:overflowPunct/>
        <w:topLinePunct w:val="0"/>
        <w:bidi w:val="0"/>
        <w:ind w:left="1470" w:leftChars="700"/>
        <w:jc w:val="left"/>
        <w:rPr>
          <w:rFonts w:hint="eastAsia" w:eastAsia="黑体"/>
          <w:bCs/>
          <w:color w:val="000000" w:themeColor="text1"/>
          <w:sz w:val="32"/>
          <w:highlight w:val="none"/>
          <w14:textFill>
            <w14:solidFill>
              <w14:schemeClr w14:val="tx1"/>
            </w14:solidFill>
          </w14:textFill>
        </w:rPr>
      </w:pPr>
      <w:r>
        <w:rPr>
          <w:rFonts w:hint="eastAsia" w:eastAsia="黑体"/>
          <w:bCs/>
          <w:color w:val="000000" w:themeColor="text1"/>
          <w:sz w:val="32"/>
          <w:highlight w:val="none"/>
          <w14:textFill>
            <w14:solidFill>
              <w14:schemeClr w14:val="tx1"/>
            </w14:solidFill>
          </w14:textFill>
        </w:rPr>
        <w:t>第二部分</w:t>
      </w:r>
      <w:r>
        <w:rPr>
          <w:rFonts w:hint="eastAsia" w:eastAsia="黑体"/>
          <w:bCs/>
          <w:color w:val="000000" w:themeColor="text1"/>
          <w:sz w:val="32"/>
          <w:highlight w:val="none"/>
          <w:lang w:val="en-US" w:eastAsia="zh-CN"/>
          <w14:textFill>
            <w14:solidFill>
              <w14:schemeClr w14:val="tx1"/>
            </w14:solidFill>
          </w14:textFill>
        </w:rPr>
        <w:t xml:space="preserve">  </w:t>
      </w:r>
      <w:r>
        <w:rPr>
          <w:rFonts w:hint="eastAsia" w:eastAsia="黑体"/>
          <w:bCs/>
          <w:color w:val="000000" w:themeColor="text1"/>
          <w:sz w:val="32"/>
          <w:highlight w:val="none"/>
          <w:lang w:eastAsia="zh-CN"/>
          <w14:textFill>
            <w14:solidFill>
              <w14:schemeClr w14:val="tx1"/>
            </w14:solidFill>
          </w14:textFill>
        </w:rPr>
        <w:t>供应商</w:t>
      </w:r>
      <w:r>
        <w:rPr>
          <w:rFonts w:hint="eastAsia" w:eastAsia="黑体"/>
          <w:bCs/>
          <w:color w:val="000000" w:themeColor="text1"/>
          <w:sz w:val="32"/>
          <w:highlight w:val="none"/>
          <w14:textFill>
            <w14:solidFill>
              <w14:schemeClr w14:val="tx1"/>
            </w14:solidFill>
          </w14:textFill>
        </w:rPr>
        <w:t>须知</w:t>
      </w:r>
    </w:p>
    <w:p>
      <w:pPr>
        <w:widowControl w:val="0"/>
        <w:tabs>
          <w:tab w:val="left" w:pos="5844"/>
        </w:tabs>
        <w:kinsoku/>
        <w:overflowPunct/>
        <w:topLinePunct w:val="0"/>
        <w:bidi w:val="0"/>
        <w:ind w:left="1470" w:leftChars="700"/>
        <w:jc w:val="left"/>
        <w:rPr>
          <w:rFonts w:hint="default" w:eastAsia="黑体"/>
          <w:bCs/>
          <w:color w:val="000000" w:themeColor="text1"/>
          <w:sz w:val="32"/>
          <w:highlight w:val="none"/>
          <w:lang w:val="en-US" w:eastAsia="zh-CN"/>
          <w14:textFill>
            <w14:solidFill>
              <w14:schemeClr w14:val="tx1"/>
            </w14:solidFill>
          </w14:textFill>
        </w:rPr>
      </w:pPr>
      <w:r>
        <w:rPr>
          <w:rFonts w:hint="eastAsia" w:eastAsia="黑体"/>
          <w:bCs/>
          <w:color w:val="000000" w:themeColor="text1"/>
          <w:sz w:val="32"/>
          <w:highlight w:val="none"/>
          <w14:textFill>
            <w14:solidFill>
              <w14:schemeClr w14:val="tx1"/>
            </w14:solidFill>
          </w14:textFill>
        </w:rPr>
        <w:t>第三部分</w:t>
      </w:r>
      <w:r>
        <w:rPr>
          <w:rFonts w:hint="eastAsia" w:eastAsia="黑体"/>
          <w:bCs/>
          <w:color w:val="000000" w:themeColor="text1"/>
          <w:sz w:val="32"/>
          <w:highlight w:val="none"/>
          <w:lang w:val="en-US" w:eastAsia="zh-CN"/>
          <w14:textFill>
            <w14:solidFill>
              <w14:schemeClr w14:val="tx1"/>
            </w14:solidFill>
          </w14:textFill>
        </w:rPr>
        <w:t xml:space="preserve">  用户需求书</w:t>
      </w:r>
    </w:p>
    <w:p>
      <w:pPr>
        <w:widowControl w:val="0"/>
        <w:tabs>
          <w:tab w:val="left" w:pos="5844"/>
        </w:tabs>
        <w:kinsoku/>
        <w:overflowPunct/>
        <w:topLinePunct w:val="0"/>
        <w:bidi w:val="0"/>
        <w:ind w:left="1470" w:leftChars="700"/>
        <w:jc w:val="left"/>
        <w:rPr>
          <w:rFonts w:hint="eastAsia" w:eastAsia="黑体"/>
          <w:bCs/>
          <w:color w:val="000000" w:themeColor="text1"/>
          <w:sz w:val="32"/>
          <w:highlight w:val="none"/>
          <w:lang w:val="en-US" w:eastAsia="zh-CN"/>
          <w14:textFill>
            <w14:solidFill>
              <w14:schemeClr w14:val="tx1"/>
            </w14:solidFill>
          </w14:textFill>
        </w:rPr>
      </w:pPr>
      <w:r>
        <w:rPr>
          <w:rFonts w:hint="eastAsia" w:eastAsia="黑体"/>
          <w:bCs/>
          <w:color w:val="000000" w:themeColor="text1"/>
          <w:sz w:val="32"/>
          <w:highlight w:val="none"/>
          <w14:textFill>
            <w14:solidFill>
              <w14:schemeClr w14:val="tx1"/>
            </w14:solidFill>
          </w14:textFill>
        </w:rPr>
        <w:t>第</w:t>
      </w:r>
      <w:r>
        <w:rPr>
          <w:rFonts w:hint="eastAsia" w:eastAsia="黑体"/>
          <w:bCs/>
          <w:color w:val="000000" w:themeColor="text1"/>
          <w:sz w:val="32"/>
          <w:highlight w:val="none"/>
          <w:lang w:val="en-US" w:eastAsia="zh-CN"/>
          <w14:textFill>
            <w14:solidFill>
              <w14:schemeClr w14:val="tx1"/>
            </w14:solidFill>
          </w14:textFill>
        </w:rPr>
        <w:t>四</w:t>
      </w:r>
      <w:r>
        <w:rPr>
          <w:rFonts w:hint="eastAsia" w:eastAsia="黑体"/>
          <w:bCs/>
          <w:color w:val="000000" w:themeColor="text1"/>
          <w:sz w:val="32"/>
          <w:highlight w:val="none"/>
          <w14:textFill>
            <w14:solidFill>
              <w14:schemeClr w14:val="tx1"/>
            </w14:solidFill>
          </w14:textFill>
        </w:rPr>
        <w:t>部分</w:t>
      </w:r>
      <w:r>
        <w:rPr>
          <w:rFonts w:hint="eastAsia" w:eastAsia="黑体"/>
          <w:bCs/>
          <w:color w:val="000000" w:themeColor="text1"/>
          <w:sz w:val="32"/>
          <w:highlight w:val="none"/>
          <w:lang w:val="en-US" w:eastAsia="zh-CN"/>
          <w14:textFill>
            <w14:solidFill>
              <w14:schemeClr w14:val="tx1"/>
            </w14:solidFill>
          </w14:textFill>
        </w:rPr>
        <w:t xml:space="preserve">  评审办法</w:t>
      </w:r>
    </w:p>
    <w:p>
      <w:pPr>
        <w:widowControl w:val="0"/>
        <w:kinsoku/>
        <w:overflowPunct/>
        <w:topLinePunct w:val="0"/>
        <w:bidi w:val="0"/>
        <w:ind w:left="1470" w:leftChars="700"/>
        <w:jc w:val="left"/>
        <w:rPr>
          <w:rFonts w:hint="eastAsia" w:eastAsia="黑体"/>
          <w:bCs/>
          <w:color w:val="000000" w:themeColor="text1"/>
          <w:sz w:val="32"/>
          <w:highlight w:val="none"/>
          <w14:textFill>
            <w14:solidFill>
              <w14:schemeClr w14:val="tx1"/>
            </w14:solidFill>
          </w14:textFill>
        </w:rPr>
      </w:pPr>
      <w:r>
        <w:rPr>
          <w:rFonts w:hint="eastAsia" w:eastAsia="黑体"/>
          <w:bCs/>
          <w:color w:val="000000" w:themeColor="text1"/>
          <w:sz w:val="32"/>
          <w:highlight w:val="none"/>
          <w14:textFill>
            <w14:solidFill>
              <w14:schemeClr w14:val="tx1"/>
            </w14:solidFill>
          </w14:textFill>
        </w:rPr>
        <w:t>第</w:t>
      </w:r>
      <w:r>
        <w:rPr>
          <w:rFonts w:hint="eastAsia" w:eastAsia="黑体"/>
          <w:bCs/>
          <w:color w:val="000000" w:themeColor="text1"/>
          <w:sz w:val="32"/>
          <w:highlight w:val="none"/>
          <w:lang w:val="en-US" w:eastAsia="zh-CN"/>
          <w14:textFill>
            <w14:solidFill>
              <w14:schemeClr w14:val="tx1"/>
            </w14:solidFill>
          </w14:textFill>
        </w:rPr>
        <w:t>五</w:t>
      </w:r>
      <w:r>
        <w:rPr>
          <w:rFonts w:hint="eastAsia" w:eastAsia="黑体"/>
          <w:bCs/>
          <w:color w:val="000000" w:themeColor="text1"/>
          <w:sz w:val="32"/>
          <w:highlight w:val="none"/>
          <w14:textFill>
            <w14:solidFill>
              <w14:schemeClr w14:val="tx1"/>
            </w14:solidFill>
          </w14:textFill>
        </w:rPr>
        <w:t>部分</w:t>
      </w:r>
      <w:r>
        <w:rPr>
          <w:rFonts w:hint="eastAsia" w:eastAsia="黑体"/>
          <w:bCs/>
          <w:color w:val="000000" w:themeColor="text1"/>
          <w:sz w:val="32"/>
          <w:highlight w:val="none"/>
          <w:lang w:val="en-US" w:eastAsia="zh-CN"/>
          <w14:textFill>
            <w14:solidFill>
              <w14:schemeClr w14:val="tx1"/>
            </w14:solidFill>
          </w14:textFill>
        </w:rPr>
        <w:t xml:space="preserve">  报名</w:t>
      </w:r>
      <w:r>
        <w:rPr>
          <w:rFonts w:hint="eastAsia" w:eastAsia="黑体"/>
          <w:bCs/>
          <w:color w:val="000000" w:themeColor="text1"/>
          <w:sz w:val="32"/>
          <w:highlight w:val="none"/>
          <w14:textFill>
            <w14:solidFill>
              <w14:schemeClr w14:val="tx1"/>
            </w14:solidFill>
          </w14:textFill>
        </w:rPr>
        <w:t>文件格式</w:t>
      </w:r>
    </w:p>
    <w:p>
      <w:pPr>
        <w:widowControl w:val="0"/>
        <w:tabs>
          <w:tab w:val="left" w:pos="5844"/>
        </w:tabs>
        <w:kinsoku/>
        <w:overflowPunct/>
        <w:topLinePunct w:val="0"/>
        <w:bidi w:val="0"/>
        <w:ind w:left="1470" w:leftChars="700"/>
        <w:jc w:val="left"/>
        <w:rPr>
          <w:rFonts w:hint="eastAsia" w:eastAsia="黑体"/>
          <w:bCs/>
          <w:color w:val="000000" w:themeColor="text1"/>
          <w:sz w:val="32"/>
          <w:highlight w:val="none"/>
          <w14:textFill>
            <w14:solidFill>
              <w14:schemeClr w14:val="tx1"/>
            </w14:solidFill>
          </w14:textFill>
        </w:rPr>
      </w:pPr>
      <w:r>
        <w:rPr>
          <w:rFonts w:hint="eastAsia" w:eastAsia="黑体"/>
          <w:bCs/>
          <w:color w:val="000000" w:themeColor="text1"/>
          <w:sz w:val="32"/>
          <w:highlight w:val="none"/>
          <w14:textFill>
            <w14:solidFill>
              <w14:schemeClr w14:val="tx1"/>
            </w14:solidFill>
          </w14:textFill>
        </w:rPr>
        <w:t>第</w:t>
      </w:r>
      <w:r>
        <w:rPr>
          <w:rFonts w:hint="eastAsia" w:eastAsia="黑体"/>
          <w:bCs/>
          <w:color w:val="000000" w:themeColor="text1"/>
          <w:sz w:val="32"/>
          <w:highlight w:val="none"/>
          <w:lang w:val="en-US" w:eastAsia="zh-CN"/>
          <w14:textFill>
            <w14:solidFill>
              <w14:schemeClr w14:val="tx1"/>
            </w14:solidFill>
          </w14:textFill>
        </w:rPr>
        <w:t>六</w:t>
      </w:r>
      <w:r>
        <w:rPr>
          <w:rFonts w:hint="eastAsia" w:eastAsia="黑体"/>
          <w:bCs/>
          <w:color w:val="000000" w:themeColor="text1"/>
          <w:sz w:val="32"/>
          <w:highlight w:val="none"/>
          <w14:textFill>
            <w14:solidFill>
              <w14:schemeClr w14:val="tx1"/>
            </w14:solidFill>
          </w14:textFill>
        </w:rPr>
        <w:t>部分</w:t>
      </w:r>
      <w:r>
        <w:rPr>
          <w:rFonts w:hint="eastAsia" w:eastAsia="黑体"/>
          <w:bCs/>
          <w:color w:val="000000" w:themeColor="text1"/>
          <w:sz w:val="32"/>
          <w:highlight w:val="none"/>
          <w:lang w:val="en-US" w:eastAsia="zh-CN"/>
          <w14:textFill>
            <w14:solidFill>
              <w14:schemeClr w14:val="tx1"/>
            </w14:solidFill>
          </w14:textFill>
        </w:rPr>
        <w:t xml:space="preserve">  </w:t>
      </w:r>
      <w:r>
        <w:rPr>
          <w:rFonts w:hint="eastAsia" w:eastAsia="黑体"/>
          <w:bCs/>
          <w:color w:val="000000" w:themeColor="text1"/>
          <w:sz w:val="32"/>
          <w:highlight w:val="none"/>
          <w14:textFill>
            <w14:solidFill>
              <w14:schemeClr w14:val="tx1"/>
            </w14:solidFill>
          </w14:textFill>
        </w:rPr>
        <w:t>合同条款</w:t>
      </w:r>
    </w:p>
    <w:p>
      <w:pPr>
        <w:widowControl w:val="0"/>
        <w:kinsoku/>
        <w:overflowPunct/>
        <w:topLinePunct w:val="0"/>
        <w:bidi w:val="0"/>
        <w:rPr>
          <w:rFonts w:hint="eastAsia" w:eastAsia="黑体"/>
          <w:bCs/>
          <w:color w:val="000000" w:themeColor="text1"/>
          <w:sz w:val="32"/>
          <w:highlight w:val="none"/>
          <w14:textFill>
            <w14:solidFill>
              <w14:schemeClr w14:val="tx1"/>
            </w14:solidFill>
          </w14:textFill>
        </w:rPr>
      </w:pPr>
      <w:r>
        <w:rPr>
          <w:rFonts w:hint="eastAsia" w:eastAsia="黑体"/>
          <w:bCs/>
          <w:color w:val="000000" w:themeColor="text1"/>
          <w:sz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宋体" w:hAnsi="宋体" w:eastAsia="宋体" w:cs="宋体"/>
          <w:b/>
          <w:color w:val="000000" w:themeColor="text1"/>
          <w:spacing w:val="28"/>
          <w:sz w:val="44"/>
          <w:szCs w:val="44"/>
          <w:highlight w:val="none"/>
          <w:lang w:val="en-US" w:eastAsia="zh-CN"/>
          <w14:textFill>
            <w14:solidFill>
              <w14:schemeClr w14:val="tx1"/>
            </w14:solidFill>
          </w14:textFill>
        </w:rPr>
      </w:pPr>
      <w:r>
        <w:rPr>
          <w:rFonts w:hint="eastAsia" w:ascii="宋体" w:hAnsi="宋体" w:eastAsia="宋体" w:cs="宋体"/>
          <w:b/>
          <w:color w:val="000000" w:themeColor="text1"/>
          <w:kern w:val="44"/>
          <w:sz w:val="44"/>
          <w:szCs w:val="44"/>
          <w:highlight w:val="none"/>
          <w14:textFill>
            <w14:solidFill>
              <w14:schemeClr w14:val="tx1"/>
            </w14:solidFill>
          </w14:textFill>
        </w:rPr>
        <w:t>第一部分</w:t>
      </w:r>
      <w:r>
        <w:rPr>
          <w:rFonts w:hint="eastAsia" w:ascii="宋体" w:hAnsi="宋体" w:cs="宋体"/>
          <w:b/>
          <w:color w:val="000000" w:themeColor="text1"/>
          <w:kern w:val="44"/>
          <w:sz w:val="44"/>
          <w:szCs w:val="44"/>
          <w:highlight w:val="none"/>
          <w:lang w:val="en-US" w:eastAsia="zh-CN"/>
          <w14:textFill>
            <w14:solidFill>
              <w14:schemeClr w14:val="tx1"/>
            </w14:solidFill>
          </w14:textFill>
        </w:rPr>
        <w:t xml:space="preserve">  邀请函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eastAsia="仿宋_GB2312"/>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广东省机场管理集团有限公司（以下简称“</w:t>
      </w:r>
      <w:r>
        <w:rPr>
          <w:rFonts w:hint="eastAsia" w:ascii="仿宋_GB2312" w:eastAsia="仿宋_GB2312"/>
          <w:color w:val="000000" w:themeColor="text1"/>
          <w:sz w:val="28"/>
          <w:szCs w:val="28"/>
          <w:highlight w:val="none"/>
          <w:lang w:eastAsia="zh-CN"/>
          <w14:textFill>
            <w14:solidFill>
              <w14:schemeClr w14:val="tx1"/>
            </w14:solidFill>
          </w14:textFill>
        </w:rPr>
        <w:t>采购方</w:t>
      </w:r>
      <w:r>
        <w:rPr>
          <w:rFonts w:hint="eastAsia" w:ascii="仿宋_GB2312" w:eastAsia="仿宋_GB2312"/>
          <w:color w:val="000000" w:themeColor="text1"/>
          <w:sz w:val="28"/>
          <w:szCs w:val="28"/>
          <w:highlight w:val="none"/>
          <w14:textFill>
            <w14:solidFill>
              <w14:schemeClr w14:val="tx1"/>
            </w14:solidFill>
          </w14:textFill>
        </w:rPr>
        <w:t>”）就广</w:t>
      </w:r>
      <w:r>
        <w:rPr>
          <w:rFonts w:hint="eastAsia" w:ascii="仿宋_GB2312" w:eastAsia="仿宋_GB2312"/>
          <w:color w:val="000000" w:themeColor="text1"/>
          <w:sz w:val="28"/>
          <w:szCs w:val="28"/>
          <w:highlight w:val="none"/>
          <w:lang w:val="en-US" w:eastAsia="zh-CN"/>
          <w14:textFill>
            <w14:solidFill>
              <w14:schemeClr w14:val="tx1"/>
            </w14:solidFill>
          </w14:textFill>
        </w:rPr>
        <w:t>东机场集团服务质量测评项目</w:t>
      </w:r>
      <w:r>
        <w:rPr>
          <w:rFonts w:hint="eastAsia" w:ascii="仿宋_GB2312" w:eastAsia="仿宋_GB2312"/>
          <w:color w:val="000000" w:themeColor="text1"/>
          <w:sz w:val="28"/>
          <w:szCs w:val="28"/>
          <w:highlight w:val="none"/>
          <w14:textFill>
            <w14:solidFill>
              <w14:schemeClr w14:val="tx1"/>
            </w14:solidFill>
          </w14:textFill>
        </w:rPr>
        <w:t>进行公开采购，现邀请合格的供应商（以下简称“供应商”）提交</w:t>
      </w:r>
      <w:r>
        <w:rPr>
          <w:rFonts w:hint="eastAsia" w:ascii="仿宋_GB2312" w:eastAsia="仿宋_GB2312"/>
          <w:color w:val="000000" w:themeColor="text1"/>
          <w:sz w:val="28"/>
          <w:szCs w:val="28"/>
          <w:highlight w:val="none"/>
          <w:lang w:val="en-US" w:eastAsia="zh-CN"/>
          <w14:textFill>
            <w14:solidFill>
              <w14:schemeClr w14:val="tx1"/>
            </w14:solidFill>
          </w14:textFill>
        </w:rPr>
        <w:t>报价</w:t>
      </w:r>
      <w:r>
        <w:rPr>
          <w:rFonts w:hint="eastAsia" w:ascii="仿宋_GB2312" w:eastAsia="仿宋_GB2312"/>
          <w:color w:val="000000" w:themeColor="text1"/>
          <w:sz w:val="28"/>
          <w:szCs w:val="28"/>
          <w:highlight w:val="none"/>
          <w14:textFill>
            <w14:solidFill>
              <w14:schemeClr w14:val="tx1"/>
            </w14:solidFill>
          </w14:textFill>
        </w:rPr>
        <w:t>。具体如下：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0"/>
        <w:rPr>
          <w:rFonts w:ascii="黑体" w:eastAsia="黑体"/>
          <w:bCs/>
          <w:color w:val="000000" w:themeColor="text1"/>
          <w:sz w:val="32"/>
          <w:szCs w:val="32"/>
          <w:highlight w:val="none"/>
          <w14:textFill>
            <w14:solidFill>
              <w14:schemeClr w14:val="tx1"/>
            </w14:solidFill>
          </w14:textFill>
        </w:rPr>
      </w:pPr>
      <w:bookmarkStart w:id="0" w:name="_Toc25548416"/>
      <w:bookmarkStart w:id="1" w:name="_Toc133028938"/>
      <w:r>
        <w:rPr>
          <w:rFonts w:hint="eastAsia" w:ascii="黑体" w:eastAsia="黑体"/>
          <w:bCs/>
          <w:color w:val="000000" w:themeColor="text1"/>
          <w:sz w:val="32"/>
          <w:szCs w:val="32"/>
          <w:highlight w:val="none"/>
          <w14:textFill>
            <w14:solidFill>
              <w14:schemeClr w14:val="tx1"/>
            </w14:solidFill>
          </w14:textFill>
        </w:rPr>
        <w:t>一、项目</w:t>
      </w:r>
      <w:bookmarkEnd w:id="0"/>
      <w:bookmarkEnd w:id="1"/>
      <w:r>
        <w:rPr>
          <w:rFonts w:hint="eastAsia" w:ascii="黑体" w:eastAsia="黑体"/>
          <w:bCs/>
          <w:color w:val="000000" w:themeColor="text1"/>
          <w:sz w:val="32"/>
          <w:szCs w:val="32"/>
          <w:highlight w:val="none"/>
          <w14:textFill>
            <w14:solidFill>
              <w14:schemeClr w14:val="tx1"/>
            </w14:solidFill>
          </w14:textFill>
        </w:rPr>
        <w:t>概况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default" w:ascii="仿宋_GB2312" w:hAnsi="仿宋" w:eastAsia="仿宋_GB2312"/>
          <w:color w:val="000000" w:themeColor="text1"/>
          <w:sz w:val="28"/>
          <w:szCs w:val="28"/>
          <w:highlight w:val="none"/>
          <w:lang w:val="en-US"/>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1.</w:t>
      </w:r>
      <w:r>
        <w:rPr>
          <w:rFonts w:hint="eastAsia" w:ascii="仿宋_GB2312" w:eastAsia="仿宋_GB2312"/>
          <w:color w:val="000000" w:themeColor="text1"/>
          <w:sz w:val="28"/>
          <w:szCs w:val="28"/>
          <w:highlight w:val="none"/>
          <w14:textFill>
            <w14:solidFill>
              <w14:schemeClr w14:val="tx1"/>
            </w14:solidFill>
          </w14:textFill>
        </w:rPr>
        <w:t>项目名称：广</w:t>
      </w:r>
      <w:r>
        <w:rPr>
          <w:rFonts w:hint="eastAsia" w:ascii="仿宋_GB2312" w:eastAsia="仿宋_GB2312"/>
          <w:color w:val="000000" w:themeColor="text1"/>
          <w:sz w:val="28"/>
          <w:szCs w:val="28"/>
          <w:highlight w:val="none"/>
          <w:lang w:val="en-US" w:eastAsia="zh-CN"/>
          <w14:textFill>
            <w14:solidFill>
              <w14:schemeClr w14:val="tx1"/>
            </w14:solidFill>
          </w14:textFill>
        </w:rPr>
        <w:t>东机场集团服务质量测评项目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2.</w:t>
      </w:r>
      <w:r>
        <w:rPr>
          <w:rFonts w:hint="eastAsia" w:ascii="仿宋_GB2312" w:hAnsi="仿宋" w:eastAsia="仿宋_GB2312"/>
          <w:color w:val="000000" w:themeColor="text1"/>
          <w:sz w:val="28"/>
          <w:szCs w:val="28"/>
          <w:highlight w:val="none"/>
          <w14:textFill>
            <w14:solidFill>
              <w14:schemeClr w14:val="tx1"/>
            </w14:solidFill>
          </w14:textFill>
        </w:rPr>
        <w:t>项目地点：广东省内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default"/>
          <w:color w:val="000000" w:themeColor="text1"/>
          <w:highlight w:val="none"/>
          <w:lang w:val="en-US"/>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3.</w:t>
      </w:r>
      <w:r>
        <w:rPr>
          <w:rFonts w:hint="eastAsia" w:ascii="仿宋_GB2312" w:hAnsi="仿宋" w:eastAsia="仿宋_GB2312"/>
          <w:color w:val="000000" w:themeColor="text1"/>
          <w:sz w:val="28"/>
          <w:szCs w:val="28"/>
          <w:highlight w:val="none"/>
          <w14:textFill>
            <w14:solidFill>
              <w14:schemeClr w14:val="tx1"/>
            </w14:solidFill>
          </w14:textFill>
        </w:rPr>
        <w:t>项目内容：</w:t>
      </w:r>
      <w:r>
        <w:rPr>
          <w:rFonts w:hint="eastAsia" w:ascii="仿宋_GB2312" w:eastAsia="仿宋_GB2312"/>
          <w:color w:val="000000" w:themeColor="text1"/>
          <w:sz w:val="28"/>
          <w:szCs w:val="28"/>
          <w:highlight w:val="none"/>
          <w:lang w:val="en-US" w:eastAsia="zh-CN"/>
          <w14:textFill>
            <w14:solidFill>
              <w14:schemeClr w14:val="tx1"/>
            </w14:solidFill>
          </w14:textFill>
        </w:rPr>
        <w:t>在2022-2024年度，对采购方所辖6个机场及物流公司开展服务质量测评，包括但不限于旅客（包括普通旅客、贵宾旅客）、机场主要用户（包含航空公司、货主货代、商业租户等）以及机场员工关心的机场服务问题进行调查，并形成分析报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default" w:ascii="仿宋_GB2312" w:hAnsi="仿宋" w:eastAsia="仿宋_GB2312"/>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4.资金来源：</w:t>
      </w:r>
      <w:r>
        <w:rPr>
          <w:rFonts w:hint="eastAsia" w:ascii="仿宋_GB2312" w:hAnsi="仿宋" w:eastAsia="仿宋_GB2312"/>
          <w:color w:val="000000" w:themeColor="text1"/>
          <w:sz w:val="28"/>
          <w:szCs w:val="28"/>
          <w:highlight w:val="none"/>
          <w14:textFill>
            <w14:solidFill>
              <w14:schemeClr w14:val="tx1"/>
            </w14:solidFill>
          </w14:textFill>
        </w:rPr>
        <w:t>企业自筹资金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0"/>
        <w:rPr>
          <w:rFonts w:hint="default" w:ascii="黑体" w:eastAsia="黑体"/>
          <w:bCs/>
          <w:color w:val="000000" w:themeColor="text1"/>
          <w:sz w:val="32"/>
          <w:szCs w:val="32"/>
          <w:highlight w:val="none"/>
          <w:lang w:val="en-US" w:eastAsia="zh-CN"/>
          <w14:textFill>
            <w14:solidFill>
              <w14:schemeClr w14:val="tx1"/>
            </w14:solidFill>
          </w14:textFill>
        </w:rPr>
      </w:pPr>
      <w:r>
        <w:rPr>
          <w:rFonts w:hint="eastAsia" w:ascii="黑体" w:eastAsia="黑体"/>
          <w:bCs/>
          <w:color w:val="000000" w:themeColor="text1"/>
          <w:sz w:val="32"/>
          <w:szCs w:val="32"/>
          <w:highlight w:val="none"/>
          <w:lang w:val="en-US" w:eastAsia="zh-CN"/>
          <w14:textFill>
            <w14:solidFill>
              <w14:schemeClr w14:val="tx1"/>
            </w14:solidFill>
          </w14:textFill>
        </w:rPr>
        <w:t>二、采购内容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hAnsi="仿宋" w:eastAsia="仿宋_GB2312"/>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1.采购内容及限价：</w:t>
      </w: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5254"/>
        <w:gridCol w:w="903"/>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仿宋_GB2312" w:hAnsi="仿宋" w:eastAsia="仿宋_GB2312"/>
                <w:b/>
                <w:bCs/>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b/>
                <w:bCs/>
                <w:color w:val="000000" w:themeColor="text1"/>
                <w:sz w:val="28"/>
                <w:szCs w:val="28"/>
                <w:highlight w:val="none"/>
                <w:vertAlign w:val="baseline"/>
                <w:lang w:val="en-US" w:eastAsia="zh-CN"/>
                <w14:textFill>
                  <w14:solidFill>
                    <w14:schemeClr w14:val="tx1"/>
                  </w14:solidFill>
                </w14:textFill>
              </w:rPr>
              <w:t>序号</w:t>
            </w:r>
          </w:p>
        </w:tc>
        <w:tc>
          <w:tcPr>
            <w:tcW w:w="5254"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仿宋_GB2312" w:hAnsi="仿宋" w:eastAsia="仿宋_GB2312"/>
                <w:b/>
                <w:bCs/>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b/>
                <w:bCs/>
                <w:color w:val="000000" w:themeColor="text1"/>
                <w:sz w:val="28"/>
                <w:szCs w:val="28"/>
                <w:highlight w:val="none"/>
                <w:vertAlign w:val="baseline"/>
                <w:lang w:val="en-US" w:eastAsia="zh-CN"/>
                <w14:textFill>
                  <w14:solidFill>
                    <w14:schemeClr w14:val="tx1"/>
                  </w14:solidFill>
                </w14:textFill>
              </w:rPr>
              <w:t>服务内容</w:t>
            </w:r>
          </w:p>
        </w:tc>
        <w:tc>
          <w:tcPr>
            <w:tcW w:w="903"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仿宋_GB2312" w:hAnsi="仿宋" w:eastAsia="仿宋_GB2312"/>
                <w:b/>
                <w:bCs/>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b/>
                <w:bCs/>
                <w:color w:val="000000" w:themeColor="text1"/>
                <w:sz w:val="28"/>
                <w:szCs w:val="28"/>
                <w:highlight w:val="none"/>
                <w:vertAlign w:val="baseline"/>
                <w:lang w:val="en-US" w:eastAsia="zh-CN"/>
                <w14:textFill>
                  <w14:solidFill>
                    <w14:schemeClr w14:val="tx1"/>
                  </w14:solidFill>
                </w14:textFill>
              </w:rPr>
              <w:t>数量</w:t>
            </w:r>
          </w:p>
        </w:tc>
        <w:tc>
          <w:tcPr>
            <w:tcW w:w="248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仿宋_GB2312" w:hAnsi="仿宋" w:eastAsia="仿宋_GB2312"/>
                <w:b/>
                <w:bCs/>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b/>
                <w:bCs/>
                <w:color w:val="000000" w:themeColor="text1"/>
                <w:sz w:val="28"/>
                <w:szCs w:val="28"/>
                <w:highlight w:val="none"/>
                <w:vertAlign w:val="baseline"/>
                <w:lang w:val="en-US" w:eastAsia="zh-CN"/>
                <w14:textFill>
                  <w14:solidFill>
                    <w14:schemeClr w14:val="tx1"/>
                  </w14:solidFill>
                </w14:textFill>
              </w:rPr>
              <w:t>采购限价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仿宋_GB2312" w:hAnsi="仿宋" w:eastAsia="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t>1</w:t>
            </w:r>
          </w:p>
        </w:tc>
        <w:tc>
          <w:tcPr>
            <w:tcW w:w="5254"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仿宋_GB2312" w:hAnsi="仿宋" w:eastAsia="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t>广东机场集团2022年度服务质量测评</w:t>
            </w:r>
          </w:p>
        </w:tc>
        <w:tc>
          <w:tcPr>
            <w:tcW w:w="903"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仿宋_GB2312" w:hAnsi="仿宋" w:eastAsia="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t>1</w:t>
            </w:r>
          </w:p>
        </w:tc>
        <w:tc>
          <w:tcPr>
            <w:tcW w:w="248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仿宋_GB2312" w:hAnsi="仿宋" w:eastAsia="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t>人民币：55万元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仿宋_GB2312" w:hAnsi="仿宋" w:eastAsia="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t>2</w:t>
            </w:r>
          </w:p>
        </w:tc>
        <w:tc>
          <w:tcPr>
            <w:tcW w:w="5254"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eastAsia" w:ascii="仿宋_GB2312" w:hAnsi="仿宋" w:eastAsia="仿宋_GB2312" w:cs="Times New Roman"/>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t>广东机场集团2023年度服务质量测评</w:t>
            </w:r>
          </w:p>
        </w:tc>
        <w:tc>
          <w:tcPr>
            <w:tcW w:w="903"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仿宋_GB2312" w:hAnsi="仿宋" w:eastAsia="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t>1</w:t>
            </w:r>
          </w:p>
        </w:tc>
        <w:tc>
          <w:tcPr>
            <w:tcW w:w="248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eastAsia" w:ascii="仿宋_GB2312" w:hAnsi="仿宋" w:eastAsia="仿宋_GB2312" w:cs="Times New Roman"/>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t>人民币：55万元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仿宋_GB2312" w:hAnsi="仿宋" w:eastAsia="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t>3</w:t>
            </w:r>
          </w:p>
        </w:tc>
        <w:tc>
          <w:tcPr>
            <w:tcW w:w="5254"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eastAsia" w:ascii="仿宋_GB2312" w:hAnsi="仿宋" w:eastAsia="仿宋_GB2312" w:cs="Times New Roman"/>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t>广东机场集团2024年度服务质量测评</w:t>
            </w:r>
          </w:p>
        </w:tc>
        <w:tc>
          <w:tcPr>
            <w:tcW w:w="903"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仿宋_GB2312" w:hAnsi="仿宋" w:eastAsia="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t>1</w:t>
            </w:r>
          </w:p>
        </w:tc>
        <w:tc>
          <w:tcPr>
            <w:tcW w:w="248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t>人民币：55万元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pPr>
          </w:p>
        </w:tc>
        <w:tc>
          <w:tcPr>
            <w:tcW w:w="5254"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t>合计（含税）</w:t>
            </w:r>
          </w:p>
        </w:tc>
        <w:tc>
          <w:tcPr>
            <w:tcW w:w="903"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仿宋_GB2312" w:hAnsi="仿宋" w:eastAsia="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t>3</w:t>
            </w:r>
          </w:p>
        </w:tc>
        <w:tc>
          <w:tcPr>
            <w:tcW w:w="248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vertAlign w:val="baseline"/>
                <w:lang w:val="en-US" w:eastAsia="zh-CN"/>
                <w14:textFill>
                  <w14:solidFill>
                    <w14:schemeClr w14:val="tx1"/>
                  </w14:solidFill>
                </w14:textFill>
              </w:rPr>
              <w:t>人民币：165万元</w:t>
            </w: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default" w:ascii="仿宋_GB2312" w:hAnsi="仿宋" w:eastAsia="仿宋_GB2312"/>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2.</w:t>
      </w:r>
      <w:r>
        <w:rPr>
          <w:rFonts w:hint="eastAsia" w:ascii="仿宋_GB2312" w:hAnsi="仿宋" w:eastAsia="仿宋_GB2312"/>
          <w:color w:val="000000" w:themeColor="text1"/>
          <w:sz w:val="28"/>
          <w:szCs w:val="28"/>
          <w:highlight w:val="none"/>
          <w14:textFill>
            <w14:solidFill>
              <w14:schemeClr w14:val="tx1"/>
            </w14:solidFill>
          </w14:textFill>
        </w:rPr>
        <w:t>项目期限：</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2022年度-2024年度，共三年，每年开展两次测评工作（具体开展时间按采购方的通知为准）。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注：</w:t>
      </w:r>
      <w:r>
        <w:rPr>
          <w:rFonts w:hint="eastAsia" w:ascii="仿宋_GB2312" w:hAnsi="仿宋" w:eastAsia="仿宋_GB2312"/>
          <w:bCs w:val="0"/>
          <w:color w:val="000000" w:themeColor="text1"/>
          <w:sz w:val="28"/>
          <w:szCs w:val="28"/>
          <w:highlight w:val="none"/>
          <w:lang w:val="en-US" w:eastAsia="zh-CN"/>
          <w14:textFill>
            <w14:solidFill>
              <w14:schemeClr w14:val="tx1"/>
            </w14:solidFill>
          </w14:textFill>
        </w:rPr>
        <w:t>本项目采取１+</w:t>
      </w:r>
      <w:r>
        <w:rPr>
          <w:rFonts w:hint="eastAsia" w:ascii="仿宋_GB2312" w:hAnsi="仿宋" w:eastAsia="仿宋_GB2312"/>
          <w:bCs w:val="0"/>
          <w:color w:val="000000" w:themeColor="text1"/>
          <w:sz w:val="28"/>
          <w:szCs w:val="28"/>
          <w:highlight w:val="none"/>
          <w:lang w:eastAsia="zh-CN"/>
          <w14:textFill>
            <w14:solidFill>
              <w14:schemeClr w14:val="tx1"/>
            </w14:solidFill>
          </w14:textFill>
        </w:rPr>
        <w:t>２</w:t>
      </w:r>
      <w:r>
        <w:rPr>
          <w:rFonts w:hint="eastAsia" w:ascii="仿宋_GB2312" w:hAnsi="仿宋" w:eastAsia="仿宋_GB2312"/>
          <w:bCs w:val="0"/>
          <w:color w:val="000000" w:themeColor="text1"/>
          <w:sz w:val="28"/>
          <w:szCs w:val="28"/>
          <w:highlight w:val="none"/>
          <w:lang w:val="en-US" w:eastAsia="zh-CN"/>
          <w14:textFill>
            <w14:solidFill>
              <w14:schemeClr w14:val="tx1"/>
            </w14:solidFill>
          </w14:textFill>
        </w:rPr>
        <w:t>模式，即</w:t>
      </w:r>
      <w:r>
        <w:rPr>
          <w:rFonts w:hint="eastAsia" w:ascii="仿宋_GB2312" w:hAnsi="仿宋" w:eastAsia="仿宋_GB2312"/>
          <w:bCs w:val="0"/>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bCs w:val="0"/>
          <w:color w:val="000000" w:themeColor="text1"/>
          <w:sz w:val="28"/>
          <w:szCs w:val="28"/>
          <w:highlight w:val="none"/>
          <w:lang w:val="en-US" w:eastAsia="zh-CN"/>
          <w14:textFill>
            <w14:solidFill>
              <w14:schemeClr w14:val="tx1"/>
            </w14:solidFill>
          </w14:textFill>
        </w:rPr>
        <w:t>每个测评年</w:t>
      </w:r>
      <w:r>
        <w:rPr>
          <w:rFonts w:hint="eastAsia" w:ascii="仿宋_GB2312" w:hAnsi="仿宋" w:eastAsia="仿宋_GB2312"/>
          <w:bCs w:val="0"/>
          <w:color w:val="000000" w:themeColor="text1"/>
          <w:sz w:val="28"/>
          <w:szCs w:val="28"/>
          <w:highlight w:val="none"/>
          <w14:textFill>
            <w14:solidFill>
              <w14:schemeClr w14:val="tx1"/>
            </w14:solidFill>
          </w14:textFill>
        </w:rPr>
        <w:t>对</w:t>
      </w:r>
      <w:r>
        <w:rPr>
          <w:rFonts w:hint="eastAsia" w:ascii="仿宋_GB2312" w:hAnsi="仿宋" w:eastAsia="仿宋_GB2312"/>
          <w:bCs w:val="0"/>
          <w:color w:val="000000" w:themeColor="text1"/>
          <w:sz w:val="28"/>
          <w:szCs w:val="28"/>
          <w:highlight w:val="none"/>
          <w:lang w:val="en-US" w:eastAsia="zh-CN"/>
          <w14:textFill>
            <w14:solidFill>
              <w14:schemeClr w14:val="tx1"/>
            </w14:solidFill>
          </w14:textFill>
        </w:rPr>
        <w:t>项目开展情况</w:t>
      </w:r>
      <w:r>
        <w:rPr>
          <w:rFonts w:hint="eastAsia" w:ascii="仿宋_GB2312" w:hAnsi="仿宋" w:eastAsia="仿宋_GB2312"/>
          <w:bCs w:val="0"/>
          <w:color w:val="000000" w:themeColor="text1"/>
          <w:sz w:val="28"/>
          <w:szCs w:val="28"/>
          <w:highlight w:val="none"/>
          <w14:textFill>
            <w14:solidFill>
              <w14:schemeClr w14:val="tx1"/>
            </w14:solidFill>
          </w14:textFill>
        </w:rPr>
        <w:t>进行考核，</w:t>
      </w:r>
      <w:r>
        <w:rPr>
          <w:rFonts w:hint="eastAsia" w:ascii="仿宋_GB2312" w:hAnsi="仿宋" w:eastAsia="仿宋_GB2312"/>
          <w:color w:val="000000" w:themeColor="text1"/>
          <w:sz w:val="28"/>
          <w:szCs w:val="28"/>
          <w:highlight w:val="none"/>
          <w14:textFill>
            <w14:solidFill>
              <w14:schemeClr w14:val="tx1"/>
            </w14:solidFill>
          </w14:textFill>
        </w:rPr>
        <w:t>首个服务测评年度的服务考核评定为优良的，双方经协商一致，服务期限可相应延长，最长延长２个测评年度，每年服务期满，甲方对乙方服务质量进行考评，考核评定为优良的，可执行下一年度合同，总服务期限不超过３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0"/>
        <w:rPr>
          <w:rFonts w:hint="default" w:ascii="仿宋_GB2312" w:hAnsi="仿宋" w:eastAsia="黑体"/>
          <w:bCs/>
          <w:color w:val="000000" w:themeColor="text1"/>
          <w:sz w:val="28"/>
          <w:szCs w:val="28"/>
          <w:highlight w:val="none"/>
          <w:lang w:val="en-US" w:eastAsia="zh-CN"/>
          <w14:textFill>
            <w14:solidFill>
              <w14:schemeClr w14:val="tx1"/>
            </w14:solidFill>
          </w14:textFill>
        </w:rPr>
      </w:pPr>
      <w:r>
        <w:rPr>
          <w:rFonts w:hint="eastAsia" w:ascii="黑体" w:eastAsia="黑体"/>
          <w:bCs/>
          <w:color w:val="000000" w:themeColor="text1"/>
          <w:sz w:val="32"/>
          <w:szCs w:val="32"/>
          <w:highlight w:val="none"/>
          <w:lang w:val="en-US" w:eastAsia="zh-CN"/>
          <w14:textFill>
            <w14:solidFill>
              <w14:schemeClr w14:val="tx1"/>
            </w14:solidFill>
          </w14:textFill>
        </w:rPr>
        <w:t>三</w:t>
      </w:r>
      <w:r>
        <w:rPr>
          <w:rFonts w:hint="eastAsia" w:ascii="黑体" w:eastAsia="黑体"/>
          <w:bCs/>
          <w:color w:val="000000" w:themeColor="text1"/>
          <w:sz w:val="32"/>
          <w:szCs w:val="32"/>
          <w:highlight w:val="none"/>
          <w14:textFill>
            <w14:solidFill>
              <w14:schemeClr w14:val="tx1"/>
            </w14:solidFill>
          </w14:textFill>
        </w:rPr>
        <w:t>、</w:t>
      </w:r>
      <w:r>
        <w:rPr>
          <w:rFonts w:hint="eastAsia" w:ascii="黑体" w:eastAsia="黑体"/>
          <w:bCs/>
          <w:color w:val="000000" w:themeColor="text1"/>
          <w:sz w:val="32"/>
          <w:szCs w:val="32"/>
          <w:highlight w:val="none"/>
          <w:lang w:val="en-US" w:eastAsia="zh-CN"/>
          <w14:textFill>
            <w14:solidFill>
              <w14:schemeClr w14:val="tx1"/>
            </w14:solidFill>
          </w14:textFill>
        </w:rPr>
        <w:t>合格供应商资格条件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1</w:t>
      </w:r>
      <w:r>
        <w:rPr>
          <w:rFonts w:hint="eastAsia" w:ascii="仿宋_GB2312" w:hAnsi="仿宋" w:eastAsia="仿宋_GB2312" w:cs="Times New Roman"/>
          <w:color w:val="000000" w:themeColor="text1"/>
          <w:sz w:val="28"/>
          <w:szCs w:val="28"/>
          <w:highlight w:val="none"/>
          <w14:textFill>
            <w14:solidFill>
              <w14:schemeClr w14:val="tx1"/>
            </w14:solidFill>
          </w14:textFill>
        </w:rPr>
        <w:t>.</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为企业的，应提交营业执照和组织机构代码证的复印件（按照“三证合一”或“ 五证合一”登记制度进行登记的，可仅提供营业执照复印件</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并加盖公章</w:t>
      </w:r>
      <w:r>
        <w:rPr>
          <w:rFonts w:hint="eastAsia" w:ascii="仿宋_GB2312" w:hAnsi="仿宋" w:eastAsia="仿宋_GB2312" w:cs="Times New Roman"/>
          <w:color w:val="000000" w:themeColor="text1"/>
          <w:sz w:val="28"/>
          <w:szCs w:val="28"/>
          <w:highlight w:val="none"/>
          <w14:textFill>
            <w14:solidFill>
              <w14:schemeClr w14:val="tx1"/>
            </w14:solidFill>
          </w14:textFill>
        </w:rPr>
        <w:t>）；</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为依法允许经营的事业单位的，应提交事业单位法人证书和组织机构代码证的复印件</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加盖公章）</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w:t>
      </w:r>
    </w:p>
    <w:p>
      <w:pPr>
        <w:widowControl w:val="0"/>
        <w:ind w:firstLine="560"/>
        <w:outlineLvl w:val="0"/>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2.</w:t>
      </w:r>
      <w:r>
        <w:rPr>
          <w:rFonts w:hint="eastAsia" w:ascii="仿宋_GB2312" w:hAnsi="仿宋" w:eastAsia="仿宋_GB2312" w:cs="Times New Roman"/>
          <w:color w:val="000000" w:themeColor="text1"/>
          <w:sz w:val="28"/>
          <w:szCs w:val="28"/>
          <w:highlight w:val="none"/>
          <w14:textFill>
            <w14:solidFill>
              <w14:schemeClr w14:val="tx1"/>
            </w14:solidFill>
          </w14:textFill>
        </w:rPr>
        <w:t>201</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9</w:t>
      </w:r>
      <w:r>
        <w:rPr>
          <w:rFonts w:hint="eastAsia" w:ascii="仿宋_GB2312" w:hAnsi="仿宋" w:eastAsia="仿宋_GB2312" w:cs="Times New Roman"/>
          <w:color w:val="000000" w:themeColor="text1"/>
          <w:sz w:val="28"/>
          <w:szCs w:val="28"/>
          <w:highlight w:val="none"/>
          <w14:textFill>
            <w14:solidFill>
              <w14:schemeClr w14:val="tx1"/>
            </w14:solidFill>
          </w14:textFill>
        </w:rPr>
        <w:t>年1月1日至今，供应商具有完成</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政府部门或企事业单位服务质量（客户满意度）测评</w:t>
      </w:r>
      <w:r>
        <w:rPr>
          <w:rFonts w:hint="eastAsia" w:ascii="仿宋_GB2312" w:hAnsi="仿宋" w:eastAsia="仿宋_GB2312" w:cs="Times New Roman"/>
          <w:color w:val="000000" w:themeColor="text1"/>
          <w:sz w:val="28"/>
          <w:szCs w:val="28"/>
          <w:highlight w:val="none"/>
          <w14:textFill>
            <w14:solidFill>
              <w14:schemeClr w14:val="tx1"/>
            </w14:solidFill>
          </w14:textFill>
        </w:rPr>
        <w:t>相关</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项目的有效</w:t>
      </w:r>
      <w:r>
        <w:rPr>
          <w:rFonts w:hint="eastAsia" w:ascii="仿宋_GB2312" w:hAnsi="仿宋" w:eastAsia="仿宋_GB2312" w:cs="Times New Roman"/>
          <w:color w:val="000000" w:themeColor="text1"/>
          <w:sz w:val="28"/>
          <w:szCs w:val="28"/>
          <w:highlight w:val="none"/>
          <w14:textFill>
            <w14:solidFill>
              <w14:schemeClr w14:val="tx1"/>
            </w14:solidFill>
          </w14:textFill>
        </w:rPr>
        <w:t>业绩（须提供反映</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有效业绩</w:t>
      </w:r>
      <w:r>
        <w:rPr>
          <w:rFonts w:hint="eastAsia" w:ascii="仿宋_GB2312" w:hAnsi="仿宋" w:eastAsia="仿宋_GB2312" w:cs="Times New Roman"/>
          <w:color w:val="000000" w:themeColor="text1"/>
          <w:sz w:val="28"/>
          <w:szCs w:val="28"/>
          <w:highlight w:val="none"/>
          <w14:textFill>
            <w14:solidFill>
              <w14:schemeClr w14:val="tx1"/>
            </w14:solidFill>
          </w14:textFill>
        </w:rPr>
        <w:t>的合同复印件和合同成果关键页复印件并加盖公章）。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3．供应商需登录广东省机场管理集团有限公司资源交易平台（以下简称“交易平台”）（平台地址：http://wz.gdairport.com/），点击首页“采购项目”，进入“用户中心”进行合作商注册。注册成功的供应商才能通过该网站参与报名(须打印合作商登记录表并加盖公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4</w:t>
      </w:r>
      <w:r>
        <w:rPr>
          <w:rFonts w:hint="eastAsia" w:ascii="仿宋_GB2312" w:hAnsi="仿宋" w:eastAsia="仿宋_GB2312"/>
          <w:color w:val="000000" w:themeColor="text1"/>
          <w:sz w:val="28"/>
          <w:szCs w:val="28"/>
          <w:highlight w:val="none"/>
          <w14:textFill>
            <w14:solidFill>
              <w14:schemeClr w14:val="tx1"/>
            </w14:solidFill>
          </w14:textFill>
        </w:rPr>
        <w:t>.本项目不接受单位负责人为同一个人的两个及两个以上单位或控股与被控股单位，或同一控股单位的直接下属单位同时</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报名参加，否则所有单位报名做无效处理</w:t>
      </w:r>
      <w:r>
        <w:rPr>
          <w:rFonts w:hint="eastAsia" w:ascii="仿宋_GB2312" w:hAnsi="仿宋" w:eastAsia="仿宋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5.供应商需承诺对取得的资料承担保密义务，不向第三方提供（披露），不将资料用于本项目之外的其他用途。保密期限以采购方的要求为准。违反保密义务，供应商应承担法律责任（法人签字并加盖公章）。</w:t>
      </w:r>
    </w:p>
    <w:p>
      <w:pPr>
        <w:keepNext w:val="0"/>
        <w:keepLines w:val="0"/>
        <w:pageBreakBefore w:val="0"/>
        <w:widowControl/>
        <w:tabs>
          <w:tab w:val="left" w:pos="413"/>
        </w:tabs>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6.供应商不得存在以下情形：</w:t>
      </w:r>
    </w:p>
    <w:p>
      <w:pPr>
        <w:keepNext w:val="0"/>
        <w:keepLines w:val="0"/>
        <w:pageBreakBefore w:val="0"/>
        <w:widowControl/>
        <w:tabs>
          <w:tab w:val="left" w:pos="413"/>
        </w:tabs>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6.1被列入国家企业信用信息公示系统的经营异常名录或严重违法失信企业名单，以“国家企业信用信息公示系统”网站（www.gsxt.gov.cn）查询为准，合作商需从“国家企业信用信息公示系统”网站截图并加盖公章或电子签章（未按格式要求截图或截图信息不清晰将导致报价被拒绝；</w:t>
      </w:r>
      <w:bookmarkStart w:id="16" w:name="_GoBack"/>
      <w:bookmarkEnd w:id="16"/>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供应商为依法允许经营的事业单位的，可无需提供截图</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w:t>
      </w:r>
    </w:p>
    <w:p>
      <w:pPr>
        <w:keepNext w:val="0"/>
        <w:keepLines w:val="0"/>
        <w:pageBreakBefore w:val="0"/>
        <w:widowControl/>
        <w:tabs>
          <w:tab w:val="left" w:pos="413"/>
        </w:tabs>
        <w:kinsoku/>
        <w:wordWrap w:val="0"/>
        <w:overflowPunct/>
        <w:topLinePunct w:val="0"/>
        <w:autoSpaceDE/>
        <w:autoSpaceDN/>
        <w:bidi w:val="0"/>
        <w:adjustRightInd/>
        <w:snapToGrid/>
        <w:spacing w:line="312" w:lineRule="auto"/>
        <w:ind w:firstLine="560" w:firstLineChars="200"/>
        <w:jc w:val="left"/>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6.2</w:t>
      </w:r>
      <w:r>
        <w:rPr>
          <w:rFonts w:hint="eastAsia" w:ascii="仿宋_GB2312" w:hAnsi="仿宋_GB2312" w:eastAsia="仿宋_GB2312" w:cs="仿宋_GB2312"/>
          <w:color w:val="000000" w:themeColor="text1"/>
          <w:kern w:val="0"/>
          <w:sz w:val="28"/>
          <w:szCs w:val="28"/>
          <w:highlight w:val="none"/>
          <w:lang w:val="en-US" w:eastAsia="zh-CN" w:bidi="ar-SA"/>
          <w14:textFill>
            <w14:solidFill>
              <w14:schemeClr w14:val="tx1"/>
            </w14:solidFill>
          </w14:textFill>
        </w:rPr>
        <w:t>被列为“失信惩戒”，以“信用中国”网站（www.creditchina.gov.cn）查询为准，合作商需按采购文件给定的格式要求从“信用中国”网站截图并加盖公章（未按格式要求截图或截图信息不清晰将导致报价被拒绝）；</w:t>
      </w:r>
    </w:p>
    <w:p>
      <w:pPr>
        <w:keepNext w:val="0"/>
        <w:keepLines w:val="0"/>
        <w:pageBreakBefore w:val="0"/>
        <w:widowControl/>
        <w:tabs>
          <w:tab w:val="left" w:pos="413"/>
        </w:tabs>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6.3</w:t>
      </w:r>
      <w:r>
        <w:rPr>
          <w:rFonts w:hint="eastAsia" w:ascii="仿宋_GB2312" w:hAnsi="仿宋" w:eastAsia="仿宋_GB2312"/>
          <w:color w:val="000000" w:themeColor="text1"/>
          <w:sz w:val="28"/>
          <w:szCs w:val="28"/>
          <w:highlight w:val="none"/>
          <w14:textFill>
            <w14:solidFill>
              <w14:schemeClr w14:val="tx1"/>
            </w14:solidFill>
          </w14:textFill>
        </w:rPr>
        <w:t>与采购方、采购方及其关联公司在本公告发布之日起前三年内发生各种诉讼和仲裁的;</w:t>
      </w:r>
    </w:p>
    <w:p>
      <w:pPr>
        <w:keepNext w:val="0"/>
        <w:keepLines w:val="0"/>
        <w:pageBreakBefore w:val="0"/>
        <w:widowControl/>
        <w:tabs>
          <w:tab w:val="left" w:pos="413"/>
        </w:tabs>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6.4供应商、法定代表人及项目负责人被列入广东省机场管理集团有限公司不予合作对象名单且在限制期内;</w:t>
      </w:r>
    </w:p>
    <w:p>
      <w:pPr>
        <w:keepNext w:val="0"/>
        <w:keepLines w:val="0"/>
        <w:pageBreakBefore w:val="0"/>
        <w:widowControl/>
        <w:tabs>
          <w:tab w:val="left" w:pos="413"/>
        </w:tabs>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6.5</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、法定代表人及项目负责人存在国家、省市相关法律法规和行业有关规定不得参与本项目采购的情形;</w:t>
      </w:r>
    </w:p>
    <w:p>
      <w:pPr>
        <w:keepNext w:val="0"/>
        <w:keepLines w:val="0"/>
        <w:pageBreakBefore w:val="0"/>
        <w:widowControl/>
        <w:tabs>
          <w:tab w:val="left" w:pos="413"/>
        </w:tabs>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6.6</w:t>
      </w:r>
      <w:r>
        <w:rPr>
          <w:rFonts w:hint="eastAsia" w:ascii="仿宋_GB2312" w:hAnsi="仿宋" w:eastAsia="仿宋_GB2312"/>
          <w:color w:val="000000" w:themeColor="text1"/>
          <w:sz w:val="28"/>
          <w:szCs w:val="28"/>
          <w:highlight w:val="none"/>
          <w14:textFill>
            <w14:solidFill>
              <w14:schemeClr w14:val="tx1"/>
            </w14:solidFill>
          </w14:textFill>
        </w:rPr>
        <w:t>在本公告发布之日起前三年内，</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因腐败或欺诈行为而被政府或业主宣布取消投标资格；</w:t>
      </w:r>
    </w:p>
    <w:p>
      <w:pPr>
        <w:keepNext w:val="0"/>
        <w:keepLines w:val="0"/>
        <w:pageBreakBefore w:val="0"/>
        <w:widowControl/>
        <w:tabs>
          <w:tab w:val="left" w:pos="413"/>
        </w:tabs>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6.7存在其它失信情况的。</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注：关联公司是指采购方所全资、控股的各公司以及采购方所属的各非法人实体单位。</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7.供应商应对采购方以下“合作商不诚信行为”的确定条件进行响应，并提供承诺书：</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7.1参与本项目的供应商，有下列情形之一的，将被列入采购方不予合作对象名单：</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 xml:space="preserve">7.1.1通过向采购方提供不正当利益谋取成交； </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7.1.2借用他人名称、资质进行挂靠，或者将自己的名称、资质借给他人挂靠进行报价，或以其他方式弄虚作假，骗取成交；</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 xml:space="preserve">7.1.3采取不正当手段诋毁、排挤其他合作对象； </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 xml:space="preserve">7.1.4在采购过程与采购方相关工作人员私下进行协商谈判，损害采购方或其他供应商利益； </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7.1.5针对资格审查文件、采购文件或者在资格预审公示或成交候选人公示期间，故意捏造事实、伪造证明材料，恶意进行质疑，影响采购工作顺利推进；</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7.1.6存在围标串标行为；</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7.1.7采购方成交通知书发出后，供应商拒绝签订合同（因不可抗力原因不能履行合同的除外）；</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7.1.8自采购公告发布之日起前三年内与采购方以及关联公司发生诉讼或仲裁的供应商；</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7.1.9发生向采购方及其关联公司的有关工作人员行贿情形；</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7.1.10参与采购方非招标采购活动进行两次（含）以上无效异议的合作对象，因其无效异议对采购方以及关联公司造成经济损失、工作滞后的，可纳入非招标采购项目不予合作名单。具有下列情形之一的，应视为无效异议：</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——异议主体不是供应商或其他利害关系人；</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——供应商是法人的，异议书未经其法定代表人或者授权代表签字并盖章；其他组织或者自然人投诉的，异议书未经其主要负责人或者投诉人本人签字并附有效身份证明复印件；</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——异议人未提供必要的证明材料和明确的要求；</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——异议人捏造事实、伪造材料或者以非法手段取得证明材料进行异议的，证据来源的合法性存在明显疑问，异议人无法证明其取得方式合法的，视为以非法手段取得证明材料；</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——其他属无效异议的情形。</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 xml:space="preserve">7.2成交供应商在合同履行，项目实施、运行阶段，有下列情形之一的，列入不予合作对象名单： </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7.2.1不按采购文件要求，报名文件承诺的条件与采购方签订合同，或在合同签订中存在欺诈情形，违反采购文件规定，对采购方或关联公司不利；</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7.2.2违反合同约定，将承揽项目转包或违法分包给他人；</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7.2.3因成交供应商责任原因连续发生不安全事件、事故或造成恶劣不良影响；</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7.2.4使用的设备、材料以次充好或提供与合同不符的假冒伪劣产品等降低质量情形或造成不良影响；</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7.2.5因环保、噪音问题造成社会恶劣影响；</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7.2.6拖欠农民工工资，造成恶劣影响的，或发生上访维稳事件，或导致采购方或关联公司垫付农民工工资；</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7.2.7虚报工程量或设备、材料结算量，拒不接受第三方咨询单位按合同约定审定的工程造价，设备、材料数量，造成工程延误、设备材料到货期延误、结算滞后；</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7.2.8拒绝履行合同主要条款，造成合同无法正常履约；</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7.2.9因严重违约被采购方依法单方解除合同；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7.2.10存在向采购方或关联公司相关工作人员行贿等不廉洁情形。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8.</w:t>
      </w:r>
      <w:r>
        <w:rPr>
          <w:rFonts w:hint="eastAsia" w:ascii="仿宋_GB2312" w:hAnsi="仿宋" w:eastAsia="仿宋_GB2312"/>
          <w:color w:val="000000" w:themeColor="text1"/>
          <w:sz w:val="28"/>
          <w:szCs w:val="28"/>
          <w:highlight w:val="none"/>
          <w14:textFill>
            <w14:solidFill>
              <w14:schemeClr w14:val="tx1"/>
            </w14:solidFill>
          </w14:textFill>
        </w:rPr>
        <w:t>本项目不接受联合体报</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价,</w:t>
      </w:r>
      <w:r>
        <w:rPr>
          <w:rFonts w:hint="eastAsia" w:ascii="仿宋_GB2312" w:hAnsi="仿宋" w:eastAsia="仿宋_GB2312"/>
          <w:color w:val="000000" w:themeColor="text1"/>
          <w:sz w:val="28"/>
          <w:szCs w:val="28"/>
          <w:highlight w:val="none"/>
          <w14:textFill>
            <w14:solidFill>
              <w14:schemeClr w14:val="tx1"/>
            </w14:solidFill>
          </w14:textFill>
        </w:rPr>
        <w:t>不</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接受</w:t>
      </w:r>
      <w:r>
        <w:rPr>
          <w:rFonts w:hint="eastAsia" w:ascii="仿宋_GB2312" w:hAnsi="仿宋" w:eastAsia="仿宋_GB2312"/>
          <w:color w:val="000000" w:themeColor="text1"/>
          <w:sz w:val="28"/>
          <w:szCs w:val="28"/>
          <w:highlight w:val="none"/>
          <w14:textFill>
            <w14:solidFill>
              <w14:schemeClr w14:val="tx1"/>
            </w14:solidFill>
          </w14:textFill>
        </w:rPr>
        <w:t>只对其中部分内容报</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价。</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Fonts w:hint="eastAsia"/>
          <w:color w:val="000000" w:themeColor="text1"/>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9.服务期完全符合采购公告要求。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0"/>
        <w:rPr>
          <w:rFonts w:hint="eastAsia" w:ascii="黑体" w:eastAsia="黑体"/>
          <w:bCs/>
          <w:color w:val="000000" w:themeColor="text1"/>
          <w:sz w:val="32"/>
          <w:szCs w:val="32"/>
          <w:highlight w:val="none"/>
          <w14:textFill>
            <w14:solidFill>
              <w14:schemeClr w14:val="tx1"/>
            </w14:solidFill>
          </w14:textFill>
        </w:rPr>
      </w:pPr>
      <w:r>
        <w:rPr>
          <w:rFonts w:hint="eastAsia" w:ascii="黑体" w:eastAsia="黑体"/>
          <w:bCs/>
          <w:color w:val="000000" w:themeColor="text1"/>
          <w:sz w:val="32"/>
          <w:szCs w:val="32"/>
          <w:highlight w:val="none"/>
          <w:lang w:val="en-US" w:eastAsia="zh-CN"/>
          <w14:textFill>
            <w14:solidFill>
              <w14:schemeClr w14:val="tx1"/>
            </w14:solidFill>
          </w14:textFill>
        </w:rPr>
        <w:t>四</w:t>
      </w:r>
      <w:r>
        <w:rPr>
          <w:rFonts w:hint="eastAsia" w:ascii="黑体" w:eastAsia="黑体"/>
          <w:bCs/>
          <w:color w:val="000000" w:themeColor="text1"/>
          <w:sz w:val="32"/>
          <w:szCs w:val="32"/>
          <w:highlight w:val="none"/>
          <w14:textFill>
            <w14:solidFill>
              <w14:schemeClr w14:val="tx1"/>
            </w14:solidFill>
          </w14:textFill>
        </w:rPr>
        <w:t>、</w:t>
      </w:r>
      <w:r>
        <w:rPr>
          <w:rFonts w:hint="eastAsia" w:ascii="黑体" w:eastAsia="黑体"/>
          <w:bCs/>
          <w:color w:val="000000" w:themeColor="text1"/>
          <w:sz w:val="32"/>
          <w:szCs w:val="32"/>
          <w:highlight w:val="none"/>
          <w:lang w:val="en-US" w:eastAsia="zh-CN"/>
          <w14:textFill>
            <w14:solidFill>
              <w14:schemeClr w14:val="tx1"/>
            </w14:solidFill>
          </w14:textFill>
        </w:rPr>
        <w:t>报名文件</w:t>
      </w:r>
      <w:r>
        <w:rPr>
          <w:rFonts w:hint="eastAsia" w:ascii="黑体" w:eastAsia="黑体"/>
          <w:bCs/>
          <w:color w:val="000000" w:themeColor="text1"/>
          <w:sz w:val="32"/>
          <w:szCs w:val="32"/>
          <w:highlight w:val="none"/>
          <w14:textFill>
            <w14:solidFill>
              <w14:schemeClr w14:val="tx1"/>
            </w14:solidFill>
          </w14:textFill>
        </w:rPr>
        <w:t>的提交形式、地址和截止时间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1.</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可以现场递交或邮寄两种方式递交项目</w:t>
      </w:r>
      <w:r>
        <w:rPr>
          <w:rFonts w:hint="eastAsia" w:ascii="仿宋_GB2312" w:hAnsi="仿宋" w:eastAsia="仿宋_GB2312"/>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hAnsi="仿宋" w:eastAsia="仿宋_GB2312"/>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2.</w:t>
      </w:r>
      <w:r>
        <w:rPr>
          <w:rFonts w:hint="eastAsia" w:ascii="仿宋_GB2312" w:hAnsi="仿宋" w:eastAsia="仿宋_GB2312"/>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olor w:val="000000" w:themeColor="text1"/>
          <w:sz w:val="28"/>
          <w:szCs w:val="28"/>
          <w:highlight w:val="none"/>
          <w14:textFill>
            <w14:solidFill>
              <w14:schemeClr w14:val="tx1"/>
            </w14:solidFill>
          </w14:textFill>
        </w:rPr>
        <w:t>现场递交或邮寄地址为：广州市白云区机场路282号广东机场集团办公楼</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701</w:t>
      </w:r>
      <w:r>
        <w:rPr>
          <w:rFonts w:hint="eastAsia" w:ascii="仿宋_GB2312" w:hAnsi="仿宋" w:eastAsia="仿宋_GB2312"/>
          <w:color w:val="000000" w:themeColor="text1"/>
          <w:sz w:val="28"/>
          <w:szCs w:val="28"/>
          <w:highlight w:val="none"/>
          <w14:textFill>
            <w14:solidFill>
              <w14:schemeClr w14:val="tx1"/>
            </w14:solidFill>
          </w14:textFill>
        </w:rPr>
        <w:t>办公室，收件人：</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胡先生，联系电话：020-86128748。</w:t>
      </w:r>
    </w:p>
    <w:p>
      <w:pPr>
        <w:numPr>
          <w:ilvl w:val="-1"/>
          <w:numId w:val="0"/>
        </w:numPr>
        <w:spacing w:line="240" w:lineRule="auto"/>
        <w:ind w:left="0" w:firstLine="560" w:firstLineChars="200"/>
        <w:outlineLvl w:val="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3.</w:t>
      </w:r>
      <w:r>
        <w:rPr>
          <w:rFonts w:hint="eastAsia" w:ascii="仿宋_GB2312" w:hAnsi="仿宋" w:eastAsia="仿宋_GB2312"/>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olor w:val="000000" w:themeColor="text1"/>
          <w:sz w:val="28"/>
          <w:szCs w:val="28"/>
          <w:highlight w:val="none"/>
          <w14:textFill>
            <w14:solidFill>
              <w14:schemeClr w14:val="tx1"/>
            </w14:solidFill>
          </w14:textFill>
        </w:rPr>
        <w:t>递交</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及</w:t>
      </w:r>
      <w:r>
        <w:rPr>
          <w:rFonts w:hint="eastAsia" w:ascii="仿宋_GB2312" w:hAnsi="仿宋" w:eastAsia="仿宋_GB2312"/>
          <w:color w:val="000000" w:themeColor="text1"/>
          <w:sz w:val="28"/>
          <w:szCs w:val="28"/>
          <w:highlight w:val="none"/>
          <w14:textFill>
            <w14:solidFill>
              <w14:schemeClr w14:val="tx1"/>
            </w14:solidFill>
          </w14:textFill>
        </w:rPr>
        <w:t>截止时间：202</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2</w:t>
      </w:r>
      <w:r>
        <w:rPr>
          <w:rFonts w:hint="eastAsia" w:ascii="仿宋_GB2312" w:hAnsi="仿宋" w:eastAsia="仿宋_GB2312"/>
          <w:color w:val="000000" w:themeColor="text1"/>
          <w:sz w:val="28"/>
          <w:szCs w:val="28"/>
          <w:highlight w:val="none"/>
          <w14:textFill>
            <w14:solidFill>
              <w14:schemeClr w14:val="tx1"/>
            </w14:solidFill>
          </w14:textFill>
        </w:rPr>
        <w:t>年</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7</w:t>
      </w:r>
      <w:r>
        <w:rPr>
          <w:rFonts w:hint="eastAsia" w:ascii="仿宋_GB2312" w:hAnsi="仿宋" w:eastAsia="仿宋_GB2312"/>
          <w:color w:val="000000" w:themeColor="text1"/>
          <w:sz w:val="28"/>
          <w:szCs w:val="28"/>
          <w:highlight w:val="none"/>
          <w14:textFill>
            <w14:solidFill>
              <w14:schemeClr w14:val="tx1"/>
            </w14:solidFill>
          </w14:textFill>
        </w:rPr>
        <w:t>月</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11</w:t>
      </w:r>
      <w:r>
        <w:rPr>
          <w:rFonts w:hint="eastAsia" w:ascii="仿宋_GB2312" w:hAnsi="仿宋" w:eastAsia="仿宋_GB2312"/>
          <w:color w:val="000000" w:themeColor="text1"/>
          <w:sz w:val="28"/>
          <w:szCs w:val="28"/>
          <w:highlight w:val="none"/>
          <w14:textFill>
            <w14:solidFill>
              <w14:schemeClr w14:val="tx1"/>
            </w14:solidFill>
          </w14:textFill>
        </w:rPr>
        <w:t>日</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09：00至2022年7月18日</w:t>
      </w:r>
      <w:r>
        <w:rPr>
          <w:rFonts w:hint="eastAsia" w:ascii="仿宋_GB2312" w:hAnsi="仿宋" w:eastAsia="仿宋_GB2312"/>
          <w:color w:val="000000" w:themeColor="text1"/>
          <w:sz w:val="28"/>
          <w:szCs w:val="28"/>
          <w:highlight w:val="none"/>
          <w14:textFill>
            <w14:solidFill>
              <w14:schemeClr w14:val="tx1"/>
            </w14:solidFill>
          </w14:textFill>
        </w:rPr>
        <w:t>1</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6</w:t>
      </w:r>
      <w:r>
        <w:rPr>
          <w:rFonts w:hint="eastAsia" w:ascii="仿宋_GB2312" w:hAnsi="仿宋" w:eastAsia="仿宋_GB2312"/>
          <w:color w:val="000000" w:themeColor="text1"/>
          <w:sz w:val="28"/>
          <w:szCs w:val="28"/>
          <w:highlight w:val="none"/>
          <w14:textFill>
            <w14:solidFill>
              <w14:schemeClr w14:val="tx1"/>
            </w14:solidFill>
          </w14:textFill>
        </w:rPr>
        <w:t>:00。（邮寄方式递交的</w:t>
      </w:r>
      <w:r>
        <w:rPr>
          <w:rFonts w:hint="eastAsia" w:ascii="仿宋_GB2312" w:hAnsi="仿宋" w:eastAsia="仿宋_GB2312"/>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olor w:val="000000" w:themeColor="text1"/>
          <w:sz w:val="28"/>
          <w:szCs w:val="28"/>
          <w:highlight w:val="none"/>
          <w14:textFill>
            <w14:solidFill>
              <w14:schemeClr w14:val="tx1"/>
            </w14:solidFill>
          </w14:textFill>
        </w:rPr>
        <w:t>以文件寄出时间为准）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4.</w:t>
      </w:r>
      <w:r>
        <w:rPr>
          <w:rFonts w:hint="eastAsia" w:ascii="仿宋_GB2312" w:hAnsi="仿宋" w:eastAsia="仿宋_GB2312"/>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olor w:val="000000" w:themeColor="text1"/>
          <w:sz w:val="28"/>
          <w:szCs w:val="28"/>
          <w:highlight w:val="none"/>
          <w14:textFill>
            <w14:solidFill>
              <w14:schemeClr w14:val="tx1"/>
            </w14:solidFill>
          </w14:textFill>
        </w:rPr>
        <w:t>按指定时间、地点送达，逾期递交的</w:t>
      </w:r>
      <w:r>
        <w:rPr>
          <w:rFonts w:hint="eastAsia" w:ascii="仿宋_GB2312" w:hAnsi="仿宋" w:eastAsia="仿宋_GB2312"/>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将被拒绝</w:t>
      </w:r>
      <w:r>
        <w:rPr>
          <w:rFonts w:hint="eastAsia" w:ascii="仿宋_GB2312" w:hAnsi="仿宋" w:eastAsia="仿宋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5.</w:t>
      </w:r>
      <w:r>
        <w:rPr>
          <w:rFonts w:hint="eastAsia" w:ascii="仿宋_GB2312" w:hAnsi="仿宋" w:eastAsia="仿宋_GB2312"/>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olor w:val="000000" w:themeColor="text1"/>
          <w:sz w:val="28"/>
          <w:szCs w:val="28"/>
          <w:highlight w:val="none"/>
          <w14:textFill>
            <w14:solidFill>
              <w14:schemeClr w14:val="tx1"/>
            </w14:solidFill>
          </w14:textFill>
        </w:rPr>
        <w:t>不接受以电子邮件、电话、传真等形式的报价。</w:t>
      </w:r>
    </w:p>
    <w:p>
      <w:pPr>
        <w:numPr>
          <w:ilvl w:val="-1"/>
          <w:numId w:val="0"/>
        </w:numPr>
        <w:spacing w:line="240" w:lineRule="auto"/>
        <w:ind w:left="0" w:firstLine="560" w:firstLineChars="200"/>
        <w:outlineLvl w:val="0"/>
        <w:rPr>
          <w:rFonts w:hint="eastAsia" w:ascii="仿宋_GB2312" w:hAnsi="仿宋" w:eastAsia="仿宋_GB2312" w:cs="Times New Roman"/>
          <w:color w:val="000000" w:themeColor="text1"/>
          <w:kern w:val="2"/>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6.</w:t>
      </w:r>
      <w:r>
        <w:rPr>
          <w:rFonts w:hint="eastAsia" w:ascii="仿宋_GB2312" w:hAnsi="仿宋" w:eastAsia="仿宋_GB2312" w:cs="Times New Roman"/>
          <w:color w:val="000000" w:themeColor="text1"/>
          <w:sz w:val="28"/>
          <w:szCs w:val="28"/>
          <w:highlight w:val="none"/>
          <w14:textFill>
            <w14:solidFill>
              <w14:schemeClr w14:val="tx1"/>
            </w14:solidFill>
          </w14:textFill>
        </w:rPr>
        <w:t>在规定的</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报名截止时</w:t>
      </w:r>
      <w:r>
        <w:rPr>
          <w:rFonts w:hint="eastAsia" w:ascii="仿宋_GB2312" w:hAnsi="仿宋" w:eastAsia="仿宋_GB2312" w:cs="Times New Roman"/>
          <w:color w:val="000000" w:themeColor="text1"/>
          <w:sz w:val="28"/>
          <w:szCs w:val="28"/>
          <w:highlight w:val="none"/>
          <w14:textFill>
            <w14:solidFill>
              <w14:schemeClr w14:val="tx1"/>
            </w14:solidFill>
          </w14:textFill>
        </w:rPr>
        <w:t>间，</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w:t>
      </w:r>
      <w:r>
        <w:rPr>
          <w:rFonts w:hint="eastAsia" w:ascii="仿宋_GB2312" w:hAnsi="仿宋" w:eastAsia="仿宋_GB2312" w:cs="Times New Roman"/>
          <w:color w:val="000000" w:themeColor="text1"/>
          <w:sz w:val="28"/>
          <w:szCs w:val="28"/>
          <w:highlight w:val="none"/>
          <w14:textFill>
            <w14:solidFill>
              <w14:schemeClr w14:val="tx1"/>
            </w14:solidFill>
          </w14:textFill>
        </w:rPr>
        <w:t>的供应商不足3名时，采购人将发布公告延长接受</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w:t>
      </w:r>
      <w:r>
        <w:rPr>
          <w:rFonts w:hint="eastAsia" w:ascii="仿宋_GB2312" w:hAnsi="仿宋" w:eastAsia="仿宋_GB2312" w:cs="Times New Roman"/>
          <w:color w:val="000000" w:themeColor="text1"/>
          <w:sz w:val="28"/>
          <w:szCs w:val="28"/>
          <w:highlight w:val="none"/>
          <w14:textFill>
            <w14:solidFill>
              <w14:schemeClr w14:val="tx1"/>
            </w14:solidFill>
          </w14:textFill>
        </w:rPr>
        <w:t>时间。在延期</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w:t>
      </w:r>
      <w:r>
        <w:rPr>
          <w:rFonts w:hint="eastAsia" w:ascii="仿宋_GB2312" w:hAnsi="仿宋" w:eastAsia="仿宋_GB2312" w:cs="Times New Roman"/>
          <w:color w:val="000000" w:themeColor="text1"/>
          <w:sz w:val="28"/>
          <w:szCs w:val="28"/>
          <w:highlight w:val="none"/>
          <w14:textFill>
            <w14:solidFill>
              <w14:schemeClr w14:val="tx1"/>
            </w14:solidFill>
          </w14:textFill>
        </w:rPr>
        <w:t>时间内，已</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w:t>
      </w:r>
      <w:r>
        <w:rPr>
          <w:rFonts w:hint="eastAsia" w:ascii="仿宋_GB2312" w:hAnsi="仿宋" w:eastAsia="仿宋_GB2312" w:cs="Times New Roman"/>
          <w:color w:val="000000" w:themeColor="text1"/>
          <w:sz w:val="28"/>
          <w:szCs w:val="28"/>
          <w:highlight w:val="none"/>
          <w14:textFill>
            <w14:solidFill>
              <w14:schemeClr w14:val="tx1"/>
            </w14:solidFill>
          </w14:textFill>
        </w:rPr>
        <w:t>供应商的资料仍有效并可自行补充资料，未</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w:t>
      </w:r>
      <w:r>
        <w:rPr>
          <w:rFonts w:hint="eastAsia" w:ascii="仿宋_GB2312" w:hAnsi="仿宋" w:eastAsia="仿宋_GB2312" w:cs="Times New Roman"/>
          <w:color w:val="000000" w:themeColor="text1"/>
          <w:sz w:val="28"/>
          <w:szCs w:val="28"/>
          <w:highlight w:val="none"/>
          <w14:textFill>
            <w14:solidFill>
              <w14:schemeClr w14:val="tx1"/>
            </w14:solidFill>
          </w14:textFill>
        </w:rPr>
        <w:t>的申请单位可根据公告的约定参与</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w:t>
      </w:r>
      <w:r>
        <w:rPr>
          <w:rFonts w:hint="eastAsia" w:ascii="仿宋_GB2312" w:hAnsi="仿宋" w:eastAsia="仿宋_GB2312" w:cs="Times New Roman"/>
          <w:color w:val="000000" w:themeColor="text1"/>
          <w:sz w:val="28"/>
          <w:szCs w:val="28"/>
          <w:highlight w:val="none"/>
          <w14:textFill>
            <w14:solidFill>
              <w14:schemeClr w14:val="tx1"/>
            </w14:solidFill>
          </w14:textFill>
        </w:rPr>
        <w:t>。</w:t>
      </w:r>
    </w:p>
    <w:p>
      <w:pPr>
        <w:numPr>
          <w:ilvl w:val="0"/>
          <w:numId w:val="0"/>
        </w:numPr>
        <w:ind w:firstLine="560"/>
        <w:outlineLvl w:val="0"/>
        <w:rPr>
          <w:rFonts w:hint="eastAsia"/>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w:t>
      </w:r>
      <w:r>
        <w:rPr>
          <w:rFonts w:hint="eastAsia" w:ascii="仿宋_GB2312" w:hAnsi="仿宋" w:eastAsia="仿宋_GB2312" w:cs="Times New Roman"/>
          <w:color w:val="000000" w:themeColor="text1"/>
          <w:sz w:val="28"/>
          <w:szCs w:val="28"/>
          <w:highlight w:val="none"/>
          <w14:textFill>
            <w14:solidFill>
              <w14:schemeClr w14:val="tx1"/>
            </w14:solidFill>
          </w14:textFill>
        </w:rPr>
        <w:t>若延长</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w:t>
      </w:r>
      <w:r>
        <w:rPr>
          <w:rFonts w:hint="eastAsia" w:ascii="仿宋_GB2312" w:hAnsi="仿宋" w:eastAsia="仿宋_GB2312" w:cs="Times New Roman"/>
          <w:color w:val="000000" w:themeColor="text1"/>
          <w:sz w:val="28"/>
          <w:szCs w:val="28"/>
          <w:highlight w:val="none"/>
          <w14:textFill>
            <w14:solidFill>
              <w14:schemeClr w14:val="tx1"/>
            </w14:solidFill>
          </w14:textFill>
        </w:rPr>
        <w:t>时间后，登记的供应商仍不足3名时，采购人将变更采购方式。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0"/>
        <w:rPr>
          <w:rFonts w:hint="eastAsia" w:ascii="黑体" w:hAnsi="Times New Roman" w:eastAsia="黑体" w:cs="Times New Roman"/>
          <w:bCs/>
          <w:color w:val="000000" w:themeColor="text1"/>
          <w:sz w:val="32"/>
          <w:szCs w:val="32"/>
          <w:highlight w:val="none"/>
          <w:lang w:val="en-US" w:eastAsia="zh-CN"/>
          <w14:textFill>
            <w14:solidFill>
              <w14:schemeClr w14:val="tx1"/>
            </w14:solidFill>
          </w14:textFill>
        </w:rPr>
      </w:pPr>
      <w:r>
        <w:rPr>
          <w:rFonts w:hint="eastAsia" w:ascii="黑体" w:eastAsia="黑体" w:cs="Times New Roman"/>
          <w:bCs/>
          <w:color w:val="000000" w:themeColor="text1"/>
          <w:sz w:val="32"/>
          <w:szCs w:val="32"/>
          <w:highlight w:val="none"/>
          <w:lang w:val="en-US" w:eastAsia="zh-CN"/>
          <w14:textFill>
            <w14:solidFill>
              <w14:schemeClr w14:val="tx1"/>
            </w14:solidFill>
          </w14:textFill>
        </w:rPr>
        <w:t>五</w:t>
      </w:r>
      <w:r>
        <w:rPr>
          <w:rFonts w:hint="eastAsia" w:ascii="黑体" w:hAnsi="Times New Roman" w:eastAsia="黑体" w:cs="Times New Roman"/>
          <w:bCs/>
          <w:color w:val="000000" w:themeColor="text1"/>
          <w:sz w:val="32"/>
          <w:szCs w:val="32"/>
          <w:highlight w:val="none"/>
          <w:lang w:val="en-US" w:eastAsia="zh-CN"/>
          <w14:textFill>
            <w14:solidFill>
              <w14:schemeClr w14:val="tx1"/>
            </w14:solidFill>
          </w14:textFill>
        </w:rPr>
        <w:t>、</w:t>
      </w:r>
      <w:r>
        <w:rPr>
          <w:rFonts w:hint="eastAsia" w:ascii="黑体" w:eastAsia="黑体" w:cs="Times New Roman"/>
          <w:bCs/>
          <w:color w:val="000000" w:themeColor="text1"/>
          <w:sz w:val="32"/>
          <w:szCs w:val="32"/>
          <w:highlight w:val="none"/>
          <w:lang w:val="en-US" w:eastAsia="zh-CN"/>
          <w14:textFill>
            <w14:solidFill>
              <w14:schemeClr w14:val="tx1"/>
            </w14:solidFill>
          </w14:textFill>
        </w:rPr>
        <w:t>报名文件</w:t>
      </w:r>
      <w:r>
        <w:rPr>
          <w:rFonts w:hint="eastAsia" w:ascii="黑体" w:hAnsi="Times New Roman" w:eastAsia="黑体" w:cs="Times New Roman"/>
          <w:bCs/>
          <w:color w:val="000000" w:themeColor="text1"/>
          <w:sz w:val="32"/>
          <w:szCs w:val="32"/>
          <w:highlight w:val="none"/>
          <w:lang w:val="en-US" w:eastAsia="zh-CN"/>
          <w14:textFill>
            <w14:solidFill>
              <w14:schemeClr w14:val="tx1"/>
            </w14:solidFill>
          </w14:textFill>
        </w:rPr>
        <w:t>有效期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color w:val="000000" w:themeColor="text1"/>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报价有效期为</w:t>
      </w:r>
      <w:r>
        <w:rPr>
          <w:rFonts w:hint="eastAsia" w:ascii="仿宋_GB2312" w:hAnsi="仿宋" w:eastAsia="仿宋_GB2312" w:cs="Times New Roman"/>
          <w:color w:val="000000" w:themeColor="text1"/>
          <w:sz w:val="28"/>
          <w:szCs w:val="28"/>
          <w:highlight w:val="none"/>
          <w14:textFill>
            <w14:solidFill>
              <w14:schemeClr w14:val="tx1"/>
            </w14:solidFill>
          </w14:textFill>
        </w:rPr>
        <w:t>报价截止日</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之日起90</w:t>
      </w:r>
      <w:r>
        <w:rPr>
          <w:rFonts w:hint="eastAsia" w:ascii="仿宋_GB2312" w:hAnsi="仿宋" w:eastAsia="仿宋_GB2312" w:cs="Times New Roman"/>
          <w:color w:val="000000" w:themeColor="text1"/>
          <w:sz w:val="28"/>
          <w:szCs w:val="28"/>
          <w:highlight w:val="none"/>
          <w14:textFill>
            <w14:solidFill>
              <w14:schemeClr w14:val="tx1"/>
            </w14:solidFill>
          </w14:textFill>
        </w:rPr>
        <w:t>天</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成交人的报价有效期应延至合同验收之日。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0"/>
        <w:rPr>
          <w:rFonts w:hint="eastAsia" w:ascii="黑体" w:hAnsi="Times New Roman" w:eastAsia="黑体" w:cs="Times New Roman"/>
          <w:bCs/>
          <w:color w:val="000000" w:themeColor="text1"/>
          <w:sz w:val="32"/>
          <w:szCs w:val="32"/>
          <w:highlight w:val="none"/>
          <w:lang w:val="en-US" w:eastAsia="zh-CN"/>
          <w14:textFill>
            <w14:solidFill>
              <w14:schemeClr w14:val="tx1"/>
            </w14:solidFill>
          </w14:textFill>
        </w:rPr>
      </w:pPr>
      <w:r>
        <w:rPr>
          <w:rFonts w:hint="eastAsia" w:ascii="黑体" w:eastAsia="黑体" w:cs="Times New Roman"/>
          <w:bCs/>
          <w:color w:val="000000" w:themeColor="text1"/>
          <w:sz w:val="32"/>
          <w:szCs w:val="32"/>
          <w:highlight w:val="none"/>
          <w:lang w:val="en-US" w:eastAsia="zh-CN"/>
          <w14:textFill>
            <w14:solidFill>
              <w14:schemeClr w14:val="tx1"/>
            </w14:solidFill>
          </w14:textFill>
        </w:rPr>
        <w:t>六</w:t>
      </w:r>
      <w:r>
        <w:rPr>
          <w:rFonts w:hint="eastAsia" w:ascii="黑体" w:hAnsi="Times New Roman" w:eastAsia="黑体" w:cs="Times New Roman"/>
          <w:bCs/>
          <w:color w:val="000000" w:themeColor="text1"/>
          <w:sz w:val="32"/>
          <w:szCs w:val="32"/>
          <w:highlight w:val="none"/>
          <w:lang w:val="en-US" w:eastAsia="zh-CN"/>
          <w14:textFill>
            <w14:solidFill>
              <w14:schemeClr w14:val="tx1"/>
            </w14:solidFill>
          </w14:textFill>
        </w:rPr>
        <w:t>、投诉监督方式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可以对本次采购活动中的任何违法及不公平内容向广东省机场管理集团有限公司机场建设管理部投诉。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default" w:ascii="仿宋_GB2312" w:hAnsi="仿宋" w:eastAsia="宋体"/>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联系人：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马小姐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联系电话：</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020-</w:t>
      </w:r>
      <w:r>
        <w:rPr>
          <w:rFonts w:hint="eastAsia" w:ascii="仿宋_GB2312" w:hAnsi="仿宋" w:eastAsia="仿宋_GB2312"/>
          <w:color w:val="000000" w:themeColor="text1"/>
          <w:sz w:val="28"/>
          <w:szCs w:val="28"/>
          <w:highlight w:val="none"/>
          <w14:textFill>
            <w14:solidFill>
              <w14:schemeClr w14:val="tx1"/>
            </w14:solidFill>
          </w14:textFill>
        </w:rPr>
        <w:t>86130371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0"/>
        <w:rPr>
          <w:rFonts w:hint="eastAsia" w:ascii="黑体" w:hAnsi="Times New Roman" w:eastAsia="黑体" w:cs="Times New Roman"/>
          <w:bCs/>
          <w:color w:val="000000" w:themeColor="text1"/>
          <w:sz w:val="32"/>
          <w:szCs w:val="32"/>
          <w:highlight w:val="none"/>
          <w:lang w:val="en-US" w:eastAsia="zh-CN"/>
          <w14:textFill>
            <w14:solidFill>
              <w14:schemeClr w14:val="tx1"/>
            </w14:solidFill>
          </w14:textFill>
        </w:rPr>
      </w:pPr>
      <w:r>
        <w:rPr>
          <w:rFonts w:hint="eastAsia" w:ascii="黑体" w:eastAsia="黑体" w:cs="Times New Roman"/>
          <w:bCs/>
          <w:color w:val="000000" w:themeColor="text1"/>
          <w:sz w:val="32"/>
          <w:szCs w:val="32"/>
          <w:highlight w:val="none"/>
          <w:lang w:val="en-US" w:eastAsia="zh-CN"/>
          <w14:textFill>
            <w14:solidFill>
              <w14:schemeClr w14:val="tx1"/>
            </w14:solidFill>
          </w14:textFill>
        </w:rPr>
        <w:t>七</w:t>
      </w:r>
      <w:r>
        <w:rPr>
          <w:rFonts w:hint="eastAsia" w:ascii="黑体" w:hAnsi="Times New Roman" w:eastAsia="黑体" w:cs="Times New Roman"/>
          <w:bCs/>
          <w:color w:val="000000" w:themeColor="text1"/>
          <w:sz w:val="32"/>
          <w:szCs w:val="32"/>
          <w:highlight w:val="none"/>
          <w:lang w:val="en-US" w:eastAsia="zh-CN"/>
          <w14:textFill>
            <w14:solidFill>
              <w14:schemeClr w14:val="tx1"/>
            </w14:solidFill>
          </w14:textFill>
        </w:rPr>
        <w:t>、</w:t>
      </w:r>
      <w:r>
        <w:rPr>
          <w:rFonts w:hint="eastAsia" w:ascii="黑体" w:eastAsia="黑体" w:cs="Times New Roman"/>
          <w:bCs/>
          <w:color w:val="000000" w:themeColor="text1"/>
          <w:sz w:val="32"/>
          <w:szCs w:val="32"/>
          <w:highlight w:val="none"/>
          <w:lang w:val="en-US" w:eastAsia="zh-CN"/>
          <w14:textFill>
            <w14:solidFill>
              <w14:schemeClr w14:val="tx1"/>
            </w14:solidFill>
          </w14:textFill>
        </w:rPr>
        <w:t>采购方</w:t>
      </w:r>
      <w:r>
        <w:rPr>
          <w:rFonts w:hint="eastAsia" w:ascii="黑体" w:hAnsi="Times New Roman" w:eastAsia="黑体" w:cs="Times New Roman"/>
          <w:bCs/>
          <w:color w:val="000000" w:themeColor="text1"/>
          <w:sz w:val="32"/>
          <w:szCs w:val="32"/>
          <w:highlight w:val="none"/>
          <w:lang w:val="en-US" w:eastAsia="zh-CN"/>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olor w:val="000000" w:themeColor="text1"/>
          <w:sz w:val="28"/>
          <w:szCs w:val="28"/>
          <w:highlight w:val="none"/>
          <w14:textFill>
            <w14:solidFill>
              <w14:schemeClr w14:val="tx1"/>
            </w14:solidFill>
          </w14:textFill>
        </w:rPr>
        <w:t>：广东省机场管理集团有限公司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hAnsi="仿宋" w:eastAsia="仿宋_GB2312"/>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联系人：</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胡先生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_GB2312" w:hAnsi="仿宋" w:eastAsia="仿宋_GB2312"/>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联系电话：</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020-86128748</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0"/>
        <w:rPr>
          <w:rFonts w:ascii="仿宋_GB2312" w:eastAsia="仿宋_GB2312"/>
          <w:b/>
          <w:color w:val="000000" w:themeColor="text1"/>
          <w:kern w:val="44"/>
          <w:sz w:val="44"/>
          <w:szCs w:val="44"/>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地</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 w:eastAsia="仿宋_GB2312"/>
          <w:color w:val="000000" w:themeColor="text1"/>
          <w:sz w:val="28"/>
          <w:szCs w:val="28"/>
          <w:highlight w:val="none"/>
          <w14:textFill>
            <w14:solidFill>
              <w14:schemeClr w14:val="tx1"/>
            </w14:solidFill>
          </w14:textFill>
        </w:rPr>
        <w:t>址：广州市白云区机场路282号</w:t>
      </w:r>
      <w:bookmarkStart w:id="2" w:name="OLE_LINK1"/>
      <w:bookmarkStart w:id="3" w:name="OLE_LINK2"/>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ascii="仿宋_GB2312" w:eastAsia="仿宋_GB2312"/>
          <w:b/>
          <w:color w:val="000000" w:themeColor="text1"/>
          <w:kern w:val="44"/>
          <w:sz w:val="44"/>
          <w:szCs w:val="44"/>
          <w:highlight w:val="none"/>
          <w14:textFill>
            <w14:solidFill>
              <w14:schemeClr w14:val="tx1"/>
            </w14:solidFill>
          </w14:textFill>
        </w:rPr>
      </w:pPr>
      <w:r>
        <w:rPr>
          <w:rFonts w:ascii="仿宋_GB2312" w:eastAsia="仿宋_GB2312"/>
          <w:b/>
          <w:color w:val="000000" w:themeColor="text1"/>
          <w:kern w:val="44"/>
          <w:sz w:val="44"/>
          <w:szCs w:val="4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firstLine="315"/>
        <w:jc w:val="center"/>
        <w:textAlignment w:val="auto"/>
        <w:outlineLvl w:val="0"/>
        <w:rPr>
          <w:rFonts w:hint="eastAsia" w:ascii="宋体" w:hAnsi="宋体" w:eastAsia="宋体" w:cs="宋体"/>
          <w:b/>
          <w:color w:val="000000" w:themeColor="text1"/>
          <w:kern w:val="44"/>
          <w:sz w:val="44"/>
          <w:szCs w:val="44"/>
          <w:highlight w:val="none"/>
          <w:lang w:val="en-US"/>
          <w14:textFill>
            <w14:solidFill>
              <w14:schemeClr w14:val="tx1"/>
            </w14:solidFill>
          </w14:textFill>
        </w:rPr>
      </w:pPr>
      <w:r>
        <w:rPr>
          <w:rFonts w:hint="eastAsia" w:ascii="宋体" w:hAnsi="宋体" w:eastAsia="宋体" w:cs="宋体"/>
          <w:b/>
          <w:color w:val="000000" w:themeColor="text1"/>
          <w:kern w:val="44"/>
          <w:sz w:val="44"/>
          <w:szCs w:val="44"/>
          <w:highlight w:val="none"/>
          <w14:textFill>
            <w14:solidFill>
              <w14:schemeClr w14:val="tx1"/>
            </w14:solidFill>
          </w14:textFill>
        </w:rPr>
        <w:t>第二部分</w:t>
      </w:r>
      <w:r>
        <w:rPr>
          <w:rFonts w:hint="eastAsia" w:ascii="宋体" w:hAnsi="宋体" w:cs="宋体"/>
          <w:b/>
          <w:color w:val="000000" w:themeColor="text1"/>
          <w:kern w:val="44"/>
          <w:sz w:val="44"/>
          <w:szCs w:val="44"/>
          <w:highlight w:val="none"/>
          <w:lang w:val="en-US" w:eastAsia="zh-CN"/>
          <w14:textFill>
            <w14:solidFill>
              <w14:schemeClr w14:val="tx1"/>
            </w14:solidFill>
          </w14:textFill>
        </w:rPr>
        <w:t xml:space="preserve">  供应商</w:t>
      </w:r>
      <w:r>
        <w:rPr>
          <w:rFonts w:hint="eastAsia" w:ascii="宋体" w:hAnsi="宋体" w:eastAsia="宋体" w:cs="宋体"/>
          <w:b/>
          <w:color w:val="000000" w:themeColor="text1"/>
          <w:kern w:val="44"/>
          <w:sz w:val="44"/>
          <w:szCs w:val="44"/>
          <w:highlight w:val="none"/>
          <w:lang w:val="en-US" w:eastAsia="zh-CN"/>
          <w14:textFill>
            <w14:solidFill>
              <w14:schemeClr w14:val="tx1"/>
            </w14:solidFill>
          </w14:textFill>
        </w:rPr>
        <w:t>需知</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必须认真阅读采购文件中所有的事项、格式、条款和采购需求等。</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没有按照采购文件要求提交全部资料，或者</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没有对采购文件在各方面都做出实质性响应的可能导致其报价无效或被拒绝。</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一、名词解释</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（一）</w:t>
      </w:r>
      <w:r>
        <w:rPr>
          <w:rFonts w:hint="eastAsia" w:ascii="楷体" w:hAnsi="楷体" w:eastAsia="楷体" w:cs="楷体"/>
          <w:color w:val="000000" w:themeColor="text1"/>
          <w:sz w:val="28"/>
          <w:szCs w:val="28"/>
          <w:highlight w:val="none"/>
          <w:lang w:eastAsia="zh-CN"/>
          <w14:textFill>
            <w14:solidFill>
              <w14:schemeClr w14:val="tx1"/>
            </w14:solidFill>
          </w14:textFill>
        </w:rPr>
        <w:t>采购方</w:t>
      </w: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仿宋_GB2312" w:hAnsi="仿宋" w:eastAsia="仿宋_GB2312" w:cs="Times New Roman"/>
          <w:color w:val="000000" w:themeColor="text1"/>
          <w:sz w:val="28"/>
          <w:szCs w:val="28"/>
          <w:highlight w:val="none"/>
          <w14:textFill>
            <w14:solidFill>
              <w14:schemeClr w14:val="tx1"/>
            </w14:solidFill>
          </w14:textFill>
        </w:rPr>
        <w:t>本项目是指广东省机场管理集团有限公司，负责项目的整体规划，作为合同采购方（用户）的主体承担质疑回复、履行合同、验收与评价等义务。</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（二）</w:t>
      </w:r>
      <w:r>
        <w:rPr>
          <w:rFonts w:hint="eastAsia" w:ascii="楷体" w:hAnsi="楷体" w:eastAsia="楷体" w:cs="楷体"/>
          <w:color w:val="000000" w:themeColor="text1"/>
          <w:sz w:val="28"/>
          <w:szCs w:val="28"/>
          <w:highlight w:val="none"/>
          <w:lang w:eastAsia="zh-CN"/>
          <w14:textFill>
            <w14:solidFill>
              <w14:schemeClr w14:val="tx1"/>
            </w14:solidFill>
          </w14:textFill>
        </w:rPr>
        <w:t>供应商</w:t>
      </w: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仿宋_GB2312" w:hAnsi="仿宋" w:eastAsia="仿宋_GB2312" w:cs="Times New Roman"/>
          <w:color w:val="000000" w:themeColor="text1"/>
          <w:sz w:val="28"/>
          <w:szCs w:val="28"/>
          <w:highlight w:val="none"/>
          <w14:textFill>
            <w14:solidFill>
              <w14:schemeClr w14:val="tx1"/>
            </w14:solidFill>
          </w14:textFill>
        </w:rPr>
        <w:t>是指在</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招标、采购管理平台(wz.gdairport.com)网站专区完成本项目注册登记并提交</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的</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（三）采购文件：</w:t>
      </w:r>
      <w:r>
        <w:rPr>
          <w:rFonts w:hint="eastAsia" w:ascii="仿宋_GB2312" w:hAnsi="仿宋" w:eastAsia="仿宋_GB2312" w:cs="Times New Roman"/>
          <w:color w:val="000000" w:themeColor="text1"/>
          <w:sz w:val="28"/>
          <w:szCs w:val="28"/>
          <w:highlight w:val="none"/>
          <w14:textFill>
            <w14:solidFill>
              <w14:schemeClr w14:val="tx1"/>
            </w14:solidFill>
          </w14:textFill>
        </w:rPr>
        <w:t>是指包括采购文件及其补充、变更和澄清等一系列文件。</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四</w:t>
      </w:r>
      <w:r>
        <w:rPr>
          <w:rFonts w:hint="eastAsia" w:ascii="楷体" w:hAnsi="楷体" w:eastAsia="楷体" w:cs="楷体"/>
          <w:color w:val="000000" w:themeColor="text1"/>
          <w:sz w:val="28"/>
          <w:szCs w:val="28"/>
          <w:highlight w:val="none"/>
          <w14:textFill>
            <w14:solidFill>
              <w14:schemeClr w14:val="tx1"/>
            </w14:solidFill>
          </w14:textFill>
        </w:rPr>
        <w:t>）采购信息发布网站：</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招标、采购管理平台(wz.gdairport.com)网站。</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二、一般要求</w:t>
      </w:r>
    </w:p>
    <w:p>
      <w:pPr>
        <w:tabs>
          <w:tab w:val="left" w:pos="413"/>
        </w:tabs>
        <w:spacing w:line="312" w:lineRule="auto"/>
        <w:ind w:firstLine="560" w:firstLineChars="200"/>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（一）报价的费用</w:t>
      </w:r>
      <w:r>
        <w:rPr>
          <w:rFonts w:hint="eastAsia" w:ascii="楷体" w:hAnsi="楷体" w:eastAsia="楷体" w:cs="楷体"/>
          <w:color w:val="000000" w:themeColor="text1"/>
          <w:sz w:val="28"/>
          <w:szCs w:val="28"/>
          <w:highlight w:val="none"/>
          <w:lang w:eastAsia="zh-CN"/>
          <w14:textFill>
            <w14:solidFill>
              <w14:schemeClr w14:val="tx1"/>
            </w14:solidFill>
          </w14:textFill>
        </w:rPr>
        <w:t>。</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采购方不承担供应商准备报名文件和递交报名文件以及参加本次采购活动所发生的任何成本或费用。</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（二）采购文件的澄清和修改</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1．</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对采购文件进行必要的澄清或者修改的，在采购信息发布网站上发布更正公告。澄清或者修改的内容可能影响</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编制的，更正公告在报价截止时间至少5日前发出；不足5日的，顺延提交</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截止时间。</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2．更正公告为采购文件的组成部分，一经在采购信息发布网站发布，视同已通知所有采购文件的收受人，</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及时留意变更公告发布信息。</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3．如更正公告有重新发布采购文件的，</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应联系</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获取新发布采购文件制作</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4．</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在规定的时间内未对采购文件提出疑问、质疑或要求澄清的，将视其为无异议。对采购文件中描述有歧义或前后不一致的地方，评审小组有权进行评判，但对同一条款的评判应适用于每个</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（三）关于分支机构报价</w:t>
      </w:r>
      <w:r>
        <w:rPr>
          <w:rFonts w:hint="eastAsia" w:ascii="楷体" w:hAnsi="楷体" w:eastAsia="楷体" w:cs="楷体"/>
          <w:color w:val="000000" w:themeColor="text1"/>
          <w:sz w:val="28"/>
          <w:szCs w:val="28"/>
          <w:highlight w:val="none"/>
          <w:lang w:eastAsia="zh-CN"/>
          <w14:textFill>
            <w14:solidFill>
              <w14:schemeClr w14:val="tx1"/>
            </w14:solidFill>
          </w14:textFill>
        </w:rPr>
        <w:t>。</w:t>
      </w:r>
      <w:r>
        <w:rPr>
          <w:rFonts w:hint="eastAsia" w:ascii="仿宋_GB2312" w:hAnsi="仿宋" w:eastAsia="仿宋_GB2312" w:cs="Times New Roman"/>
          <w:color w:val="000000" w:themeColor="text1"/>
          <w:sz w:val="28"/>
          <w:szCs w:val="28"/>
          <w:highlight w:val="none"/>
          <w14:textFill>
            <w14:solidFill>
              <w14:schemeClr w14:val="tx1"/>
            </w14:solidFill>
          </w14:textFill>
        </w:rPr>
        <w:t>分支机构报价</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的，</w:t>
      </w:r>
      <w:r>
        <w:rPr>
          <w:rFonts w:hint="eastAsia" w:ascii="仿宋_GB2312" w:hAnsi="仿宋" w:eastAsia="仿宋_GB2312" w:cs="Times New Roman"/>
          <w:color w:val="000000" w:themeColor="text1"/>
          <w:sz w:val="28"/>
          <w:szCs w:val="28"/>
          <w:highlight w:val="none"/>
          <w14:textFill>
            <w14:solidFill>
              <w14:schemeClr w14:val="tx1"/>
            </w14:solidFill>
          </w14:textFill>
        </w:rPr>
        <w:t>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四</w:t>
      </w:r>
      <w:r>
        <w:rPr>
          <w:rFonts w:hint="eastAsia" w:ascii="楷体" w:hAnsi="楷体" w:eastAsia="楷体" w:cs="楷体"/>
          <w:color w:val="000000" w:themeColor="text1"/>
          <w:sz w:val="28"/>
          <w:szCs w:val="28"/>
          <w:highlight w:val="none"/>
          <w14:textFill>
            <w14:solidFill>
              <w14:schemeClr w14:val="tx1"/>
            </w14:solidFill>
          </w14:textFill>
        </w:rPr>
        <w:t>）关于关联企业法定代表人或单位负责人为同一个人或者存在直接控股、管理关系的不同</w:t>
      </w:r>
      <w:r>
        <w:rPr>
          <w:rFonts w:hint="eastAsia" w:ascii="楷体" w:hAnsi="楷体" w:eastAsia="楷体" w:cs="楷体"/>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不得同时参加同一项目或同一子项目的报价。如同时参加，则评审时将同时被拒绝。</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五</w:t>
      </w:r>
      <w:r>
        <w:rPr>
          <w:rFonts w:hint="eastAsia" w:ascii="楷体" w:hAnsi="楷体" w:eastAsia="楷体" w:cs="楷体"/>
          <w:color w:val="000000" w:themeColor="text1"/>
          <w:sz w:val="28"/>
          <w:szCs w:val="28"/>
          <w:highlight w:val="none"/>
          <w14:textFill>
            <w14:solidFill>
              <w14:schemeClr w14:val="tx1"/>
            </w14:solidFill>
          </w14:textFill>
        </w:rPr>
        <w:t>）纪律与保密事项</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1．</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不得相互串通报价，不得妨碍其他</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的公平竞争，不得损害</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或其他</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的合法权益，</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不得以向</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、评审小组成员行贿或者采取其他不正当手段谋取中标。</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2．在确定成交</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之前，</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不得与</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就报价价格、报价方案等实质性内容进行谈判，也不得私下接触评审小组成员。</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3</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w:t>
      </w:r>
      <w:r>
        <w:rPr>
          <w:rFonts w:hint="eastAsia" w:ascii="仿宋_GB2312" w:hAnsi="仿宋" w:eastAsia="仿宋_GB2312" w:cs="Times New Roman"/>
          <w:color w:val="000000" w:themeColor="text1"/>
          <w:sz w:val="28"/>
          <w:szCs w:val="28"/>
          <w:highlight w:val="none"/>
          <w14:textFill>
            <w14:solidFill>
              <w14:schemeClr w14:val="tx1"/>
            </w14:solidFill>
          </w14:textFill>
        </w:rPr>
        <w:t>在确定成交</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之前，</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试图在</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审查、澄清、比较和评价时对评审小组、</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施加任何影响都可能导致其报价无效。</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4．获得本采购文件者，不得将采购文件用作本次报价以外的任何用途。若有要求，开标后，</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应归还采购文件中的保密文件和资料。</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5．由</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向</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提供的图纸、详细资料、样品、模型、模件和所有其它资料，均为保密资料，仅被用于它所规定的用途。除非得到</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的同意，不能向任何第三方透露。开标结束后，应</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要求，</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应归还所有从</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处获得的保密资料。</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三、质疑</w:t>
      </w:r>
    </w:p>
    <w:p>
      <w:pPr>
        <w:spacing w:line="240" w:lineRule="auto"/>
        <w:ind w:left="0" w:firstLine="560" w:firstLineChars="200"/>
        <w:outlineLvl w:val="0"/>
        <w:rPr>
          <w:rFonts w:hint="eastAsia" w:ascii="仿宋_GB2312" w:hAnsi="仿宋" w:eastAsia="仿宋_GB2312"/>
          <w:color w:val="000000" w:themeColor="text1"/>
          <w:sz w:val="28"/>
          <w:szCs w:val="28"/>
          <w:highlight w:val="none"/>
          <w:lang w:val="en-US"/>
          <w14:textFill>
            <w14:solidFill>
              <w14:schemeClr w14:val="tx1"/>
            </w14:solidFill>
          </w14:textFill>
        </w:rPr>
      </w:pPr>
      <w:r>
        <w:rPr>
          <w:rFonts w:hint="eastAsia" w:ascii="仿宋_GB2312" w:hAnsi="仿宋" w:eastAsia="仿宋_GB2312"/>
          <w:color w:val="000000" w:themeColor="text1"/>
          <w:sz w:val="28"/>
          <w:szCs w:val="28"/>
          <w:highlight w:val="none"/>
          <w:lang w:eastAsia="zh-CN"/>
          <w14:textFill>
            <w14:solidFill>
              <w14:schemeClr w14:val="tx1"/>
            </w14:solidFill>
          </w14:textFill>
        </w:rPr>
        <w:t>（</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一）</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对此次采购活动有疑问，可</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在报名时间截止前（以采购方邮件显示接收时间或以邮寄收件人本人签收时间为准）以书面方式</w:t>
      </w:r>
      <w:r>
        <w:rPr>
          <w:rFonts w:hint="eastAsia" w:ascii="仿宋_GB2312" w:hAnsi="仿宋" w:eastAsia="仿宋_GB2312"/>
          <w:color w:val="000000" w:themeColor="text1"/>
          <w:sz w:val="28"/>
          <w:szCs w:val="28"/>
          <w:highlight w:val="none"/>
          <w14:textFill>
            <w14:solidFill>
              <w14:schemeClr w14:val="tx1"/>
            </w14:solidFill>
          </w14:textFill>
        </w:rPr>
        <w:t>向采购</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方</w:t>
      </w:r>
      <w:r>
        <w:rPr>
          <w:rFonts w:hint="eastAsia" w:ascii="仿宋_GB2312" w:hAnsi="仿宋" w:eastAsia="仿宋_GB2312"/>
          <w:color w:val="000000" w:themeColor="text1"/>
          <w:sz w:val="28"/>
          <w:szCs w:val="28"/>
          <w:highlight w:val="none"/>
          <w14:textFill>
            <w14:solidFill>
              <w14:schemeClr w14:val="tx1"/>
            </w14:solidFill>
          </w14:textFill>
        </w:rPr>
        <w:t>提出</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质疑，</w:t>
      </w:r>
      <w:r>
        <w:rPr>
          <w:rFonts w:hint="eastAsia" w:ascii="仿宋_GB2312" w:hAnsi="仿宋" w:eastAsia="仿宋_GB2312"/>
          <w:color w:val="000000" w:themeColor="text1"/>
          <w:sz w:val="28"/>
          <w:szCs w:val="28"/>
          <w:highlight w:val="none"/>
          <w14:textFill>
            <w14:solidFill>
              <w14:schemeClr w14:val="tx1"/>
            </w14:solidFill>
          </w14:textFill>
        </w:rPr>
        <w:t>采购</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方</w:t>
      </w:r>
      <w:r>
        <w:rPr>
          <w:rFonts w:hint="eastAsia" w:ascii="仿宋_GB2312" w:hAnsi="仿宋" w:eastAsia="仿宋_GB2312"/>
          <w:color w:val="000000" w:themeColor="text1"/>
          <w:sz w:val="28"/>
          <w:szCs w:val="28"/>
          <w:highlight w:val="none"/>
          <w14:textFill>
            <w14:solidFill>
              <w14:schemeClr w14:val="tx1"/>
            </w14:solidFill>
          </w14:textFill>
        </w:rPr>
        <w:t>应当</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收到质疑的三日内</w:t>
      </w:r>
      <w:r>
        <w:rPr>
          <w:rFonts w:hint="eastAsia" w:ascii="仿宋_GB2312" w:hAnsi="仿宋" w:eastAsia="仿宋_GB2312"/>
          <w:color w:val="000000" w:themeColor="text1"/>
          <w:sz w:val="28"/>
          <w:szCs w:val="28"/>
          <w:highlight w:val="none"/>
          <w14:textFill>
            <w14:solidFill>
              <w14:schemeClr w14:val="tx1"/>
            </w14:solidFill>
          </w14:textFill>
        </w:rPr>
        <w:t>答复</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供应商，联系人，胡先生，电话号码，020-86128748。</w:t>
      </w:r>
    </w:p>
    <w:p>
      <w:pPr>
        <w:spacing w:line="240" w:lineRule="auto"/>
        <w:ind w:left="0" w:firstLine="560" w:firstLineChars="200"/>
        <w:outlineLvl w:val="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（二）</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对评审结果有质疑或投诉的，可</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联系采购方监督电话，马小姐，020-86130371</w:t>
      </w:r>
      <w:r>
        <w:rPr>
          <w:rFonts w:hint="eastAsia" w:ascii="仿宋_GB2312" w:hAnsi="仿宋" w:eastAsia="仿宋_GB2312"/>
          <w:color w:val="000000" w:themeColor="text1"/>
          <w:sz w:val="28"/>
          <w:szCs w:val="28"/>
          <w:highlight w:val="none"/>
          <w14:textFill>
            <w14:solidFill>
              <w14:schemeClr w14:val="tx1"/>
            </w14:solidFill>
          </w14:textFill>
        </w:rPr>
        <w:t>，但需对质疑或投诉内容的真实性承担责任。</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（三）以上质疑或投诉必须是书面的原件，并加盖供应商公章及由法定代表人或其授权代表签署或盖章。质疑、投诉应当有明确的请求和必要的证明材料。</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四、报价要求</w:t>
      </w:r>
    </w:p>
    <w:p>
      <w:pPr>
        <w:widowControl w:val="0"/>
        <w:ind w:firstLine="560" w:firstLineChars="200"/>
        <w:outlineLvl w:val="0"/>
        <w:rPr>
          <w:rFonts w:hint="default"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t>（一）报价限价</w:t>
      </w:r>
    </w:p>
    <w:p>
      <w:pPr>
        <w:pStyle w:val="26"/>
        <w:ind w:firstLine="560" w:firstLineChars="200"/>
        <w:rPr>
          <w:rFonts w:hint="eastAsia" w:ascii="仿宋_GB2312" w:hAnsi="仿宋" w:eastAsia="仿宋_GB2312"/>
          <w:b w:val="0"/>
          <w:bCs w:val="0"/>
          <w:color w:val="000000" w:themeColor="text1"/>
          <w:sz w:val="28"/>
          <w:szCs w:val="28"/>
          <w:highlight w:val="none"/>
          <w:vertAlign w:val="baseli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w:t>
      </w:r>
      <w:r>
        <w:rPr>
          <w:rFonts w:hint="eastAsia" w:hAnsi="仿宋" w:cs="Times New Roman"/>
          <w:color w:val="000000" w:themeColor="text1"/>
          <w:sz w:val="28"/>
          <w:szCs w:val="28"/>
          <w:highlight w:val="none"/>
          <w:lang w:val="en-US" w:eastAsia="zh-CN"/>
          <w14:textFill>
            <w14:solidFill>
              <w14:schemeClr w14:val="tx1"/>
            </w14:solidFill>
          </w14:textFill>
        </w:rPr>
        <w:t>本项目三年服务期总报价不得超过采购限价165万元，每年报价均不超过55万元，否则视为无效报价。</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二</w:t>
      </w: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eastAsia="zh-CN"/>
          <w14:textFill>
            <w14:solidFill>
              <w14:schemeClr w14:val="tx1"/>
            </w14:solidFill>
          </w14:textFill>
        </w:rPr>
        <w:t>报名文件</w:t>
      </w:r>
      <w:r>
        <w:rPr>
          <w:rFonts w:hint="eastAsia" w:ascii="楷体" w:hAnsi="楷体" w:eastAsia="楷体" w:cs="楷体"/>
          <w:color w:val="000000" w:themeColor="text1"/>
          <w:sz w:val="28"/>
          <w:szCs w:val="28"/>
          <w:highlight w:val="none"/>
          <w14:textFill>
            <w14:solidFill>
              <w14:schemeClr w14:val="tx1"/>
            </w14:solidFill>
          </w14:textFill>
        </w:rPr>
        <w:t>的制作</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1．</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中，内容文件编制格式要求详见第</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五</w:t>
      </w:r>
      <w:r>
        <w:rPr>
          <w:rFonts w:hint="eastAsia" w:ascii="仿宋_GB2312" w:hAnsi="仿宋" w:eastAsia="仿宋_GB2312" w:cs="Times New Roman"/>
          <w:color w:val="000000" w:themeColor="text1"/>
          <w:sz w:val="28"/>
          <w:szCs w:val="28"/>
          <w:highlight w:val="none"/>
          <w14:textFill>
            <w14:solidFill>
              <w14:schemeClr w14:val="tx1"/>
            </w14:solidFill>
          </w14:textFill>
        </w:rPr>
        <w:t>部分说明。如因不按要求编制而所引起后果由</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2．</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不得将同一个项目或同一个子项目的内容拆开报价，否则其报价将被视为非实质性响应。</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3．</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须对采购文件的对应要求给予唯一的实质性响应，否则将视为不响应。</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4．采购文件中，凡标有“★”的地方均为实质性响应条款，</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若有一项带“★”的条款未响应或不满足，将按无效报价处理。</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5</w:t>
      </w:r>
      <w:r>
        <w:rPr>
          <w:rFonts w:hint="eastAsia" w:ascii="仿宋_GB2312" w:hAnsi="仿宋" w:eastAsia="仿宋_GB2312" w:cs="Times New Roman"/>
          <w:color w:val="000000" w:themeColor="text1"/>
          <w:sz w:val="28"/>
          <w:szCs w:val="28"/>
          <w:highlight w:val="none"/>
          <w14:textFill>
            <w14:solidFill>
              <w14:schemeClr w14:val="tx1"/>
            </w14:solidFill>
          </w14:textFill>
        </w:rPr>
        <w:t>．</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必须按采购文件指定的格式填写各种报价，各报价应计算正确。除在采购文件另有规定外，计量单位应使用中华人民共和国法定计量单位，以人民币填报所有报价。</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6</w:t>
      </w:r>
      <w:r>
        <w:rPr>
          <w:rFonts w:hint="eastAsia" w:ascii="仿宋_GB2312" w:hAnsi="仿宋" w:eastAsia="仿宋_GB2312" w:cs="Times New Roman"/>
          <w:color w:val="000000" w:themeColor="text1"/>
          <w:sz w:val="28"/>
          <w:szCs w:val="28"/>
          <w:highlight w:val="none"/>
          <w14:textFill>
            <w14:solidFill>
              <w14:schemeClr w14:val="tx1"/>
            </w14:solidFill>
          </w14:textFill>
        </w:rPr>
        <w:t>．</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以及</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与</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就有关报价的往来函电均应使用中文。</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提交的支持性文件和印制的文件可以用另一种语言，但相应内容应翻译成中文，在解释</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时以中文文本为准。</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w:t>
      </w:r>
      <w:r>
        <w:rPr>
          <w:rFonts w:hint="eastAsia" w:ascii="仿宋_GB2312" w:hAnsi="仿宋" w:eastAsia="仿宋_GB2312" w:cs="Times New Roman"/>
          <w:color w:val="000000" w:themeColor="text1"/>
          <w:sz w:val="28"/>
          <w:szCs w:val="28"/>
          <w:highlight w:val="none"/>
          <w14:textFill>
            <w14:solidFill>
              <w14:schemeClr w14:val="tx1"/>
            </w14:solidFill>
          </w14:textFill>
        </w:rPr>
        <w:t>．</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应按采购文件的规定及附件要求的内容和格式完整地填写和提供资料。</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必须对</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所提供的全部资料的真实性承担法律责任，并无条件接受</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对其中任何资料进行核实（核对原件）的要求。</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核对发现有不一致或</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无正当理由不按时提供原件的，应当书面知会</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三</w:t>
      </w: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报名</w:t>
      </w:r>
      <w:r>
        <w:rPr>
          <w:rFonts w:hint="eastAsia" w:ascii="楷体" w:hAnsi="楷体" w:eastAsia="楷体" w:cs="楷体"/>
          <w:color w:val="000000" w:themeColor="text1"/>
          <w:sz w:val="28"/>
          <w:szCs w:val="28"/>
          <w:highlight w:val="none"/>
          <w14:textFill>
            <w14:solidFill>
              <w14:schemeClr w14:val="tx1"/>
            </w14:solidFill>
          </w14:textFill>
        </w:rPr>
        <w:t>文件的提交</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1.</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报名</w:t>
      </w:r>
      <w:r>
        <w:rPr>
          <w:rFonts w:hint="eastAsia" w:ascii="仿宋_GB2312" w:hAnsi="仿宋" w:eastAsia="仿宋_GB2312" w:cs="Times New Roman"/>
          <w:color w:val="000000" w:themeColor="text1"/>
          <w:sz w:val="28"/>
          <w:szCs w:val="28"/>
          <w:highlight w:val="none"/>
          <w14:textFill>
            <w14:solidFill>
              <w14:schemeClr w14:val="tx1"/>
            </w14:solidFill>
          </w14:textFill>
        </w:rPr>
        <w:t>文件的密封和标记</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应将报名文件按以下三部分进行封装和标记：</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w:t>
      </w:r>
      <w:r>
        <w:rPr>
          <w:rFonts w:hint="eastAsia" w:ascii="仿宋_GB2312" w:hAnsi="仿宋" w:eastAsia="仿宋_GB2312" w:cs="Times New Roman"/>
          <w:color w:val="000000" w:themeColor="text1"/>
          <w:sz w:val="28"/>
          <w:szCs w:val="28"/>
          <w:highlight w:val="none"/>
          <w14:textFill>
            <w14:solidFill>
              <w14:schemeClr w14:val="tx1"/>
            </w14:solidFill>
          </w14:textFill>
        </w:rPr>
        <w:t>1）</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应将报名文件的正本和副本分别单独密封，报名文件为一正</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四</w:t>
      </w:r>
      <w:r>
        <w:rPr>
          <w:rFonts w:hint="eastAsia" w:ascii="仿宋_GB2312" w:hAnsi="仿宋" w:eastAsia="仿宋_GB2312" w:cs="Times New Roman"/>
          <w:color w:val="000000" w:themeColor="text1"/>
          <w:sz w:val="28"/>
          <w:szCs w:val="28"/>
          <w:highlight w:val="none"/>
          <w14:textFill>
            <w14:solidFill>
              <w14:schemeClr w14:val="tx1"/>
            </w14:solidFill>
          </w14:textFill>
        </w:rPr>
        <w:t>副；</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w:t>
      </w:r>
      <w:r>
        <w:rPr>
          <w:rFonts w:hint="eastAsia" w:ascii="仿宋_GB2312" w:hAnsi="仿宋" w:eastAsia="仿宋_GB2312" w:cs="Times New Roman"/>
          <w:color w:val="000000" w:themeColor="text1"/>
          <w:sz w:val="28"/>
          <w:szCs w:val="28"/>
          <w:highlight w:val="none"/>
          <w14:textFill>
            <w14:solidFill>
              <w14:schemeClr w14:val="tx1"/>
            </w14:solidFill>
          </w14:textFill>
        </w:rPr>
        <w:t>2）项目的《报价表》应单独密封报价；</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w:t>
      </w:r>
      <w:r>
        <w:rPr>
          <w:rFonts w:hint="eastAsia" w:ascii="仿宋_GB2312" w:hAnsi="仿宋" w:eastAsia="仿宋_GB2312" w:cs="Times New Roman"/>
          <w:color w:val="000000" w:themeColor="text1"/>
          <w:sz w:val="28"/>
          <w:szCs w:val="28"/>
          <w:highlight w:val="none"/>
          <w14:textFill>
            <w14:solidFill>
              <w14:schemeClr w14:val="tx1"/>
            </w14:solidFill>
          </w14:textFill>
        </w:rPr>
        <w:t>3）全部信封或外包装上应当注明报名项目名称、</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w:t>
      </w:r>
      <w:r>
        <w:rPr>
          <w:rFonts w:hint="eastAsia" w:ascii="仿宋_GB2312" w:hAnsi="仿宋" w:eastAsia="仿宋_GB2312" w:cs="Times New Roman"/>
          <w:color w:val="000000" w:themeColor="text1"/>
          <w:sz w:val="28"/>
          <w:szCs w:val="28"/>
          <w:highlight w:val="none"/>
          <w14:textFill>
            <w14:solidFill>
              <w14:schemeClr w14:val="tx1"/>
            </w14:solidFill>
          </w14:textFill>
        </w:rPr>
        <w:t>在（采购文件中规定的开标日期和时点）之前不得启封”的字样，封口处应加盖</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印章或授权代表签名。如下：</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收件人：广东省机场管理集团有限公司</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default" w:ascii="仿宋_GB2312" w:hAnsi="仿宋" w:eastAsia="仿宋_GB2312" w:cs="Times New Roman"/>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项目名称：广东机场集团</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服务质量测评项目</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(公章)：（</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全称）</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地址：</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并标注</w:t>
      </w:r>
      <w:r>
        <w:rPr>
          <w:rFonts w:hint="eastAsia" w:ascii="仿宋_GB2312" w:hAnsi="仿宋" w:eastAsia="仿宋_GB2312" w:cs="Times New Roman"/>
          <w:color w:val="000000" w:themeColor="text1"/>
          <w:sz w:val="28"/>
          <w:szCs w:val="28"/>
          <w:highlight w:val="none"/>
          <w14:textFill>
            <w14:solidFill>
              <w14:schemeClr w14:val="tx1"/>
            </w14:solidFill>
          </w14:textFill>
        </w:rPr>
        <w:t>“北京时间2022年</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7</w:t>
      </w:r>
      <w:r>
        <w:rPr>
          <w:rFonts w:hint="eastAsia" w:ascii="仿宋_GB2312" w:hAnsi="仿宋" w:eastAsia="仿宋_GB2312" w:cs="Times New Roman"/>
          <w:color w:val="000000" w:themeColor="text1"/>
          <w:sz w:val="28"/>
          <w:szCs w:val="28"/>
          <w:highlight w:val="none"/>
          <w14:textFill>
            <w14:solidFill>
              <w14:schemeClr w14:val="tx1"/>
            </w14:solidFill>
          </w14:textFill>
        </w:rPr>
        <w:t>月x日上午9:30之前不得启封”字样。</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2.报名文件需密封并在封口加盖</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公章或授权代表签名，对未按要求密封的报名文件不予接收。如报名文件未按采购文件要求标记，</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对报名文件的误投或提前启封概不负责。</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3．</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应在提交</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前，在</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招标、采购管理平台(wz.gdairport.com)主页中“</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注册”模块，按规定格式填写正确的</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登记信息，登记为合格的候选</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（已注册的除外）</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4．</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不接受电子邮件、电报、电话、传真方式报价。</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5．于提交</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截止时间前，</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将</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完整提交至</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收取</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的地点，且取得回执。报价截止时间结束后，</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将不再接收</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的</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6．</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对因不可抗力事件造成的</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的损坏、丢失的，不承担责任。</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7.所有</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均应密封，未密封</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遭拒绝的后果由</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自行承担。</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四</w:t>
      </w: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eastAsia="zh-CN"/>
          <w14:textFill>
            <w14:solidFill>
              <w14:schemeClr w14:val="tx1"/>
            </w14:solidFill>
          </w14:textFill>
        </w:rPr>
        <w:t>报名文件</w:t>
      </w:r>
      <w:r>
        <w:rPr>
          <w:rFonts w:hint="eastAsia" w:ascii="楷体" w:hAnsi="楷体" w:eastAsia="楷体" w:cs="楷体"/>
          <w:color w:val="000000" w:themeColor="text1"/>
          <w:sz w:val="28"/>
          <w:szCs w:val="28"/>
          <w:highlight w:val="none"/>
          <w14:textFill>
            <w14:solidFill>
              <w14:schemeClr w14:val="tx1"/>
            </w14:solidFill>
          </w14:textFill>
        </w:rPr>
        <w:t>的修改、撤回与撤销</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1．在提交</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截止时间前，</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可以修改或撤回未解密的</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一经解密，将不允许修改或撤回。</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2．在提交</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截止时间后，</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不得补充、修改和更换</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3．在提交</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截止时间起至报价有效期终止日前，</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不能撤销</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，否则</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有权将其撤销行为载入不良信用记录。</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五</w:t>
      </w:r>
      <w:r>
        <w:rPr>
          <w:rFonts w:hint="eastAsia" w:ascii="楷体" w:hAnsi="楷体" w:eastAsia="楷体" w:cs="楷体"/>
          <w:color w:val="000000" w:themeColor="text1"/>
          <w:sz w:val="28"/>
          <w:szCs w:val="28"/>
          <w:highlight w:val="none"/>
          <w14:textFill>
            <w14:solidFill>
              <w14:schemeClr w14:val="tx1"/>
            </w14:solidFill>
          </w14:textFill>
        </w:rPr>
        <w:t>）报价有效期</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★报价有效期从提交</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s="Times New Roman"/>
          <w:color w:val="000000" w:themeColor="text1"/>
          <w:sz w:val="28"/>
          <w:szCs w:val="28"/>
          <w:highlight w:val="none"/>
          <w14:textFill>
            <w14:solidFill>
              <w14:schemeClr w14:val="tx1"/>
            </w14:solidFill>
          </w14:textFill>
        </w:rPr>
        <w:t>的截止之日起算90天。在特殊情况下，</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s="Times New Roman"/>
          <w:color w:val="000000" w:themeColor="text1"/>
          <w:sz w:val="28"/>
          <w:szCs w:val="28"/>
          <w:highlight w:val="none"/>
          <w14:textFill>
            <w14:solidFill>
              <w14:schemeClr w14:val="tx1"/>
            </w14:solidFill>
          </w14:textFill>
        </w:rPr>
        <w:t>可于报价有效期满之前要求</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同意延长有效期，要求与答复均以书面形式进行。</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可以拒绝上述要求，但其报价将会被拒绝；同意延期的</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其权利与义务相应延至新的截止期。</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0"/>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六</w:t>
      </w:r>
      <w:r>
        <w:rPr>
          <w:rFonts w:hint="eastAsia" w:ascii="楷体" w:hAnsi="楷体" w:eastAsia="楷体" w:cs="楷体"/>
          <w:color w:val="000000" w:themeColor="text1"/>
          <w:sz w:val="28"/>
          <w:szCs w:val="28"/>
          <w:highlight w:val="none"/>
          <w14:textFill>
            <w14:solidFill>
              <w14:schemeClr w14:val="tx1"/>
            </w14:solidFill>
          </w14:textFill>
        </w:rPr>
        <w:t>）报价保证金</w:t>
      </w:r>
    </w:p>
    <w:p>
      <w:pPr>
        <w:ind w:firstLine="548" w:firstLineChars="196"/>
        <w:outlineLvl w:val="0"/>
        <w:rPr>
          <w:rFonts w:hint="eastAsia"/>
          <w:color w:val="000000" w:themeColor="text1"/>
          <w:highlight w:val="none"/>
          <w14:textFill>
            <w14:solidFill>
              <w14:schemeClr w14:val="tx1"/>
            </w14:solidFill>
          </w14:textFill>
        </w:rPr>
      </w:pPr>
      <w:r>
        <w:rPr>
          <w:rFonts w:hint="eastAsia" w:ascii="仿宋_GB2312" w:hAnsi="仿宋" w:eastAsia="仿宋_GB2312" w:cs="Times New Roman"/>
          <w:color w:val="000000" w:themeColor="text1"/>
          <w:sz w:val="28"/>
          <w:szCs w:val="28"/>
          <w:highlight w:val="none"/>
          <w14:textFill>
            <w14:solidFill>
              <w14:schemeClr w14:val="tx1"/>
            </w14:solidFill>
          </w14:textFill>
        </w:rPr>
        <w:t>本项目不收取报价保证金。</w:t>
      </w:r>
      <w:r>
        <w:rPr>
          <w:rFonts w:hint="eastAsia" w:ascii="仿宋_GB2312" w:hAnsi="仿宋" w:eastAsia="仿宋_GB2312" w:cs="Times New Roman"/>
          <w:color w:val="000000" w:themeColor="text1"/>
          <w:sz w:val="28"/>
          <w:szCs w:val="28"/>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firstLine="315"/>
        <w:jc w:val="center"/>
        <w:textAlignment w:val="auto"/>
        <w:outlineLvl w:val="0"/>
        <w:rPr>
          <w:rFonts w:hint="default" w:ascii="宋体" w:hAnsi="宋体" w:eastAsia="宋体" w:cs="宋体"/>
          <w:b/>
          <w:color w:val="000000" w:themeColor="text1"/>
          <w:sz w:val="44"/>
          <w:szCs w:val="44"/>
          <w:highlight w:val="none"/>
          <w:lang w:val="en-US" w:eastAsia="zh-CN"/>
          <w14:textFill>
            <w14:solidFill>
              <w14:schemeClr w14:val="tx1"/>
            </w14:solidFill>
          </w14:textFill>
        </w:rPr>
      </w:pPr>
      <w:r>
        <w:rPr>
          <w:rFonts w:hint="eastAsia" w:ascii="宋体" w:hAnsi="宋体" w:eastAsia="宋体" w:cs="宋体"/>
          <w:b/>
          <w:color w:val="000000" w:themeColor="text1"/>
          <w:kern w:val="44"/>
          <w:sz w:val="44"/>
          <w:szCs w:val="44"/>
          <w:highlight w:val="none"/>
          <w14:textFill>
            <w14:solidFill>
              <w14:schemeClr w14:val="tx1"/>
            </w14:solidFill>
          </w14:textFill>
        </w:rPr>
        <w:t>第</w:t>
      </w:r>
      <w:r>
        <w:rPr>
          <w:rFonts w:hint="eastAsia" w:ascii="宋体" w:hAnsi="宋体" w:eastAsia="宋体" w:cs="宋体"/>
          <w:b/>
          <w:color w:val="000000" w:themeColor="text1"/>
          <w:kern w:val="44"/>
          <w:sz w:val="44"/>
          <w:szCs w:val="44"/>
          <w:highlight w:val="none"/>
          <w:lang w:val="en-US" w:eastAsia="zh-CN"/>
          <w14:textFill>
            <w14:solidFill>
              <w14:schemeClr w14:val="tx1"/>
            </w14:solidFill>
          </w14:textFill>
        </w:rPr>
        <w:t>三</w:t>
      </w:r>
      <w:r>
        <w:rPr>
          <w:rFonts w:hint="eastAsia" w:ascii="宋体" w:hAnsi="宋体" w:eastAsia="宋体" w:cs="宋体"/>
          <w:b/>
          <w:color w:val="000000" w:themeColor="text1"/>
          <w:kern w:val="44"/>
          <w:sz w:val="44"/>
          <w:szCs w:val="44"/>
          <w:highlight w:val="none"/>
          <w14:textFill>
            <w14:solidFill>
              <w14:schemeClr w14:val="tx1"/>
            </w14:solidFill>
          </w14:textFill>
        </w:rPr>
        <w:t>部分</w:t>
      </w:r>
      <w:r>
        <w:rPr>
          <w:rFonts w:hint="eastAsia" w:ascii="宋体" w:hAnsi="宋体" w:cs="宋体"/>
          <w:b/>
          <w:color w:val="000000" w:themeColor="text1"/>
          <w:kern w:val="44"/>
          <w:sz w:val="44"/>
          <w:szCs w:val="44"/>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44"/>
          <w:sz w:val="44"/>
          <w:szCs w:val="44"/>
          <w:highlight w:val="none"/>
          <w:lang w:val="en-US" w:eastAsia="zh-CN"/>
          <w14:textFill>
            <w14:solidFill>
              <w14:schemeClr w14:val="tx1"/>
            </w14:solidFill>
          </w14:textFill>
        </w:rPr>
        <w:t>用户需求书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黑体" w:hAnsi="黑体" w:eastAsia="黑体" w:cs="黑体"/>
          <w:b w:val="0"/>
          <w:bCs/>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color w:val="000000" w:themeColor="text1"/>
          <w:sz w:val="28"/>
          <w:szCs w:val="28"/>
          <w:highlight w:val="none"/>
          <w14:textFill>
            <w14:solidFill>
              <w14:schemeClr w14:val="tx1"/>
            </w14:solidFill>
          </w14:textFill>
        </w:rPr>
        <w:t>一</w:t>
      </w:r>
      <w:r>
        <w:rPr>
          <w:rFonts w:hint="eastAsia" w:ascii="黑体" w:hAnsi="黑体" w:eastAsia="黑体" w:cs="黑体"/>
          <w:b w:val="0"/>
          <w:bCs/>
          <w:color w:val="000000" w:themeColor="text1"/>
          <w:sz w:val="28"/>
          <w:szCs w:val="28"/>
          <w:highlight w:val="none"/>
          <w:lang w:eastAsia="zh-CN"/>
          <w14:textFill>
            <w14:solidFill>
              <w14:schemeClr w14:val="tx1"/>
            </w14:solidFill>
          </w14:textFill>
        </w:rPr>
        <w:t>、</w:t>
      </w:r>
      <w:r>
        <w:rPr>
          <w:rFonts w:hint="eastAsia" w:ascii="黑体" w:hAnsi="黑体" w:eastAsia="黑体" w:cs="黑体"/>
          <w:b w:val="0"/>
          <w:bCs/>
          <w:color w:val="000000" w:themeColor="text1"/>
          <w:sz w:val="28"/>
          <w:szCs w:val="28"/>
          <w:highlight w:val="none"/>
          <w:lang w:val="en-US" w:eastAsia="zh-CN"/>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仿宋_GB2312" w:hAnsi="Times New Roman" w:eastAsia="仿宋_GB2312"/>
          <w:color w:val="000000" w:themeColor="text1"/>
          <w:sz w:val="28"/>
          <w:szCs w:val="28"/>
          <w:highlight w:val="none"/>
          <w14:textFill>
            <w14:solidFill>
              <w14:schemeClr w14:val="tx1"/>
            </w14:solidFill>
          </w14:textFill>
        </w:rPr>
        <w:t>通过委托第三方机构对</w:t>
      </w:r>
      <w:r>
        <w:rPr>
          <w:rFonts w:hint="eastAsia" w:ascii="仿宋_GB2312" w:eastAsia="仿宋_GB2312"/>
          <w:color w:val="000000" w:themeColor="text1"/>
          <w:sz w:val="28"/>
          <w:szCs w:val="28"/>
          <w:highlight w:val="none"/>
          <w:lang w:val="en-US" w:eastAsia="zh-CN"/>
          <w14:textFill>
            <w14:solidFill>
              <w14:schemeClr w14:val="tx1"/>
            </w14:solidFill>
          </w14:textFill>
        </w:rPr>
        <w:t>采购方下属单位</w:t>
      </w:r>
      <w:r>
        <w:rPr>
          <w:rFonts w:hint="eastAsia" w:ascii="仿宋_GB2312" w:hAnsi="Times New Roman"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包括所辖</w:t>
      </w:r>
      <w:r>
        <w:rPr>
          <w:rFonts w:hint="eastAsia" w:ascii="仿宋_GB2312" w:hAnsi="Times New Roman" w:eastAsia="仿宋_GB2312"/>
          <w:color w:val="000000" w:themeColor="text1"/>
          <w:sz w:val="28"/>
          <w:szCs w:val="28"/>
          <w:highlight w:val="none"/>
          <w14:textFill>
            <w14:solidFill>
              <w14:schemeClr w14:val="tx1"/>
            </w14:solidFill>
          </w14:textFill>
        </w:rPr>
        <w:t>白云国际机场、揭阳潮汕机场、湛江机场、梅州机场、惠州机场、</w:t>
      </w:r>
      <w:r>
        <w:rPr>
          <w:rFonts w:hint="eastAsia" w:ascii="仿宋_GB2312" w:eastAsia="仿宋_GB2312"/>
          <w:color w:val="000000" w:themeColor="text1"/>
          <w:sz w:val="28"/>
          <w:szCs w:val="28"/>
          <w:highlight w:val="none"/>
          <w:lang w:val="en-US" w:eastAsia="zh-CN"/>
          <w14:textFill>
            <w14:solidFill>
              <w14:schemeClr w14:val="tx1"/>
            </w14:solidFill>
          </w14:textFill>
        </w:rPr>
        <w:t>韶关机场、</w:t>
      </w:r>
      <w:r>
        <w:rPr>
          <w:rFonts w:hint="eastAsia" w:ascii="仿宋_GB2312" w:eastAsia="仿宋_GB2312"/>
          <w:color w:val="000000" w:themeColor="text1"/>
          <w:sz w:val="28"/>
          <w:szCs w:val="28"/>
          <w:highlight w:val="none"/>
          <w:lang w:eastAsia="zh-CN"/>
          <w14:textFill>
            <w14:solidFill>
              <w14:schemeClr w14:val="tx1"/>
            </w14:solidFill>
          </w14:textFill>
        </w:rPr>
        <w:t>物流公司</w:t>
      </w:r>
      <w:r>
        <w:rPr>
          <w:rFonts w:hint="eastAsia" w:ascii="仿宋_GB2312" w:hAnsi="Times New Roman" w:eastAsia="仿宋_GB2312"/>
          <w:color w:val="000000" w:themeColor="text1"/>
          <w:sz w:val="28"/>
          <w:szCs w:val="28"/>
          <w:highlight w:val="none"/>
          <w14:textFill>
            <w14:solidFill>
              <w14:schemeClr w14:val="tx1"/>
            </w14:solidFill>
          </w14:textFill>
        </w:rPr>
        <w:t>）开展202</w:t>
      </w: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2-2024</w:t>
      </w:r>
      <w:r>
        <w:rPr>
          <w:rFonts w:hint="eastAsia" w:ascii="仿宋_GB2312" w:hAnsi="Times New Roman" w:eastAsia="仿宋_GB2312"/>
          <w:color w:val="000000" w:themeColor="text1"/>
          <w:sz w:val="28"/>
          <w:szCs w:val="28"/>
          <w:highlight w:val="none"/>
          <w14:textFill>
            <w14:solidFill>
              <w14:schemeClr w14:val="tx1"/>
            </w14:solidFill>
          </w14:textFill>
        </w:rPr>
        <w:t>年度</w:t>
      </w:r>
      <w:r>
        <w:rPr>
          <w:rFonts w:hint="eastAsia" w:ascii="仿宋_GB2312" w:eastAsia="仿宋_GB2312"/>
          <w:color w:val="000000" w:themeColor="text1"/>
          <w:sz w:val="28"/>
          <w:szCs w:val="28"/>
          <w:highlight w:val="none"/>
          <w:lang w:val="en-US" w:eastAsia="zh-CN"/>
          <w14:textFill>
            <w14:solidFill>
              <w14:schemeClr w14:val="tx1"/>
            </w14:solidFill>
          </w14:textFill>
        </w:rPr>
        <w:t>服务质量测评</w:t>
      </w:r>
      <w:r>
        <w:rPr>
          <w:rFonts w:hint="eastAsia" w:ascii="仿宋_GB2312" w:hAnsi="Times New Roman" w:eastAsia="仿宋_GB2312"/>
          <w:color w:val="000000" w:themeColor="text1"/>
          <w:sz w:val="28"/>
          <w:szCs w:val="28"/>
          <w:highlight w:val="none"/>
          <w14:textFill>
            <w14:solidFill>
              <w14:schemeClr w14:val="tx1"/>
            </w14:solidFill>
          </w14:textFill>
        </w:rPr>
        <w:t>，全面、公正地掌握服务工作的总体状况,</w:t>
      </w:r>
      <w:r>
        <w:rPr>
          <w:rFonts w:hint="eastAsia" w:ascii="仿宋_GB2312" w:hAnsi="Times New Roman" w:eastAsia="仿宋_GB2312"/>
          <w:color w:val="000000" w:themeColor="text1"/>
          <w:kern w:val="0"/>
          <w:sz w:val="28"/>
          <w:szCs w:val="28"/>
          <w:highlight w:val="none"/>
          <w14:textFill>
            <w14:solidFill>
              <w14:schemeClr w14:val="tx1"/>
            </w14:solidFill>
          </w14:textFill>
        </w:rPr>
        <w:t>了解客户对我司服务的满意程度和</w:t>
      </w:r>
      <w:r>
        <w:rPr>
          <w:rFonts w:hint="eastAsia" w:ascii="仿宋_GB2312" w:hAnsi="Times New Roman" w:eastAsia="仿宋_GB2312"/>
          <w:color w:val="000000" w:themeColor="text1"/>
          <w:sz w:val="28"/>
          <w:szCs w:val="28"/>
          <w:highlight w:val="none"/>
          <w14:textFill>
            <w14:solidFill>
              <w14:schemeClr w14:val="tx1"/>
            </w14:solidFill>
          </w14:textFill>
        </w:rPr>
        <w:t>真实需求，针对存在的问题，结合</w:t>
      </w:r>
      <w:r>
        <w:rPr>
          <w:rFonts w:hint="eastAsia" w:ascii="仿宋_GB2312" w:eastAsia="仿宋_GB2312"/>
          <w:color w:val="000000" w:themeColor="text1"/>
          <w:sz w:val="28"/>
          <w:szCs w:val="28"/>
          <w:highlight w:val="none"/>
          <w:lang w:val="en-US" w:eastAsia="zh-CN"/>
          <w14:textFill>
            <w14:solidFill>
              <w14:schemeClr w14:val="tx1"/>
            </w14:solidFill>
          </w14:textFill>
        </w:rPr>
        <w:t>采购方</w:t>
      </w:r>
      <w:r>
        <w:rPr>
          <w:rFonts w:hint="eastAsia" w:ascii="仿宋_GB2312" w:hAnsi="Times New Roman" w:eastAsia="仿宋_GB2312"/>
          <w:color w:val="000000" w:themeColor="text1"/>
          <w:sz w:val="28"/>
          <w:szCs w:val="28"/>
          <w:highlight w:val="none"/>
          <w14:textFill>
            <w14:solidFill>
              <w14:schemeClr w14:val="tx1"/>
            </w14:solidFill>
          </w14:textFill>
        </w:rPr>
        <w:t>的服务战略及每年工作部署，研究提出进一步优化管理和服务的措施，促进管理水平和服务质量的不断提高。通过本次调查，应至少达到如下目标：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一）</w:t>
      </w:r>
      <w:r>
        <w:rPr>
          <w:rFonts w:hint="eastAsia" w:ascii="仿宋_GB2312" w:hAnsi="Times New Roman" w:eastAsia="仿宋_GB2312"/>
          <w:color w:val="000000" w:themeColor="text1"/>
          <w:sz w:val="28"/>
          <w:szCs w:val="28"/>
          <w:highlight w:val="none"/>
          <w14:textFill>
            <w14:solidFill>
              <w14:schemeClr w14:val="tx1"/>
            </w14:solidFill>
          </w14:textFill>
        </w:rPr>
        <w:t>帮助完成</w:t>
      </w:r>
      <w:r>
        <w:rPr>
          <w:rFonts w:hint="eastAsia" w:ascii="仿宋_GB2312" w:eastAsia="仿宋_GB2312"/>
          <w:color w:val="000000" w:themeColor="text1"/>
          <w:sz w:val="28"/>
          <w:szCs w:val="28"/>
          <w:highlight w:val="none"/>
          <w:lang w:val="en-US" w:eastAsia="zh-CN"/>
          <w14:textFill>
            <w14:solidFill>
              <w14:schemeClr w14:val="tx1"/>
            </w14:solidFill>
          </w14:textFill>
        </w:rPr>
        <w:t>采购方</w:t>
      </w:r>
      <w:r>
        <w:rPr>
          <w:rFonts w:hint="eastAsia" w:ascii="仿宋_GB2312" w:hAnsi="Times New Roman" w:eastAsia="仿宋_GB2312"/>
          <w:color w:val="000000" w:themeColor="text1"/>
          <w:sz w:val="28"/>
          <w:szCs w:val="28"/>
          <w:highlight w:val="none"/>
          <w14:textFill>
            <w14:solidFill>
              <w14:schemeClr w14:val="tx1"/>
            </w14:solidFill>
          </w14:textFill>
        </w:rPr>
        <w:t>下属单位服务质量的管理与监控；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二）</w:t>
      </w:r>
      <w:r>
        <w:rPr>
          <w:rFonts w:hint="eastAsia" w:ascii="仿宋_GB2312" w:hAnsi="Times New Roman" w:eastAsia="仿宋_GB2312"/>
          <w:color w:val="000000" w:themeColor="text1"/>
          <w:sz w:val="28"/>
          <w:szCs w:val="28"/>
          <w:highlight w:val="none"/>
          <w14:textFill>
            <w14:solidFill>
              <w14:schemeClr w14:val="tx1"/>
            </w14:solidFill>
          </w14:textFill>
        </w:rPr>
        <w:t>帮助</w:t>
      </w:r>
      <w:r>
        <w:rPr>
          <w:rFonts w:hint="eastAsia" w:ascii="仿宋_GB2312" w:eastAsia="仿宋_GB2312"/>
          <w:color w:val="000000" w:themeColor="text1"/>
          <w:sz w:val="28"/>
          <w:szCs w:val="28"/>
          <w:highlight w:val="none"/>
          <w:lang w:val="en-US" w:eastAsia="zh-CN"/>
          <w14:textFill>
            <w14:solidFill>
              <w14:schemeClr w14:val="tx1"/>
            </w14:solidFill>
          </w14:textFill>
        </w:rPr>
        <w:t>采购方</w:t>
      </w:r>
      <w:r>
        <w:rPr>
          <w:rFonts w:hint="eastAsia" w:ascii="仿宋_GB2312" w:hAnsi="Times New Roman" w:eastAsia="仿宋_GB2312"/>
          <w:color w:val="000000" w:themeColor="text1"/>
          <w:sz w:val="28"/>
          <w:szCs w:val="28"/>
          <w:highlight w:val="none"/>
          <w14:textFill>
            <w14:solidFill>
              <w14:schemeClr w14:val="tx1"/>
            </w14:solidFill>
          </w14:textFill>
        </w:rPr>
        <w:t>下属单位获取旅客、航空公司、货主货代、驻场单位及内部员工对服务效果的评价；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三）</w:t>
      </w:r>
      <w:r>
        <w:rPr>
          <w:rFonts w:hint="eastAsia" w:ascii="仿宋_GB2312" w:hAnsi="Times New Roman" w:eastAsia="仿宋_GB2312"/>
          <w:color w:val="000000" w:themeColor="text1"/>
          <w:sz w:val="28"/>
          <w:szCs w:val="28"/>
          <w:highlight w:val="none"/>
          <w14:textFill>
            <w14:solidFill>
              <w14:schemeClr w14:val="tx1"/>
            </w14:solidFill>
          </w14:textFill>
        </w:rPr>
        <w:t>帮助</w:t>
      </w:r>
      <w:r>
        <w:rPr>
          <w:rFonts w:hint="eastAsia" w:ascii="仿宋_GB2312" w:eastAsia="仿宋_GB2312"/>
          <w:color w:val="000000" w:themeColor="text1"/>
          <w:sz w:val="28"/>
          <w:szCs w:val="28"/>
          <w:highlight w:val="none"/>
          <w:lang w:val="en-US" w:eastAsia="zh-CN"/>
          <w14:textFill>
            <w14:solidFill>
              <w14:schemeClr w14:val="tx1"/>
            </w14:solidFill>
          </w14:textFill>
        </w:rPr>
        <w:t>采购方</w:t>
      </w:r>
      <w:r>
        <w:rPr>
          <w:rFonts w:hint="eastAsia" w:ascii="仿宋_GB2312" w:hAnsi="Times New Roman" w:eastAsia="仿宋_GB2312"/>
          <w:color w:val="000000" w:themeColor="text1"/>
          <w:sz w:val="28"/>
          <w:szCs w:val="28"/>
          <w:highlight w:val="none"/>
          <w14:textFill>
            <w14:solidFill>
              <w14:schemeClr w14:val="tx1"/>
            </w14:solidFill>
          </w14:textFill>
        </w:rPr>
        <w:t>下属单位明确自身服务的优势与劣势，改善客户服务手段；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四）</w:t>
      </w:r>
      <w:r>
        <w:rPr>
          <w:rFonts w:hint="eastAsia" w:ascii="仿宋_GB2312" w:hAnsi="Times New Roman" w:eastAsia="仿宋_GB2312"/>
          <w:color w:val="000000" w:themeColor="text1"/>
          <w:sz w:val="28"/>
          <w:szCs w:val="28"/>
          <w:highlight w:val="none"/>
          <w14:textFill>
            <w14:solidFill>
              <w14:schemeClr w14:val="tx1"/>
            </w14:solidFill>
          </w14:textFill>
        </w:rPr>
        <w:t>帮助</w:t>
      </w:r>
      <w:r>
        <w:rPr>
          <w:rFonts w:hint="eastAsia" w:ascii="仿宋_GB2312" w:eastAsia="仿宋_GB2312"/>
          <w:color w:val="000000" w:themeColor="text1"/>
          <w:sz w:val="28"/>
          <w:szCs w:val="28"/>
          <w:highlight w:val="none"/>
          <w:lang w:val="en-US" w:eastAsia="zh-CN"/>
          <w14:textFill>
            <w14:solidFill>
              <w14:schemeClr w14:val="tx1"/>
            </w14:solidFill>
          </w14:textFill>
        </w:rPr>
        <w:t>采购方</w:t>
      </w:r>
      <w:r>
        <w:rPr>
          <w:rFonts w:hint="eastAsia" w:ascii="仿宋_GB2312" w:hAnsi="Times New Roman" w:eastAsia="仿宋_GB2312"/>
          <w:color w:val="000000" w:themeColor="text1"/>
          <w:sz w:val="28"/>
          <w:szCs w:val="28"/>
          <w:highlight w:val="none"/>
          <w14:textFill>
            <w14:solidFill>
              <w14:schemeClr w14:val="tx1"/>
            </w14:solidFill>
          </w14:textFill>
        </w:rPr>
        <w:t>下属单位寻找提高客户满意度与忠诚度的行动策略，并提出相应建议。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黑体" w:hAnsi="黑体" w:eastAsia="黑体" w:cs="黑体"/>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sz w:val="28"/>
          <w:szCs w:val="28"/>
          <w:highlight w:val="none"/>
          <w14:textFill>
            <w14:solidFill>
              <w14:schemeClr w14:val="tx1"/>
            </w14:solidFill>
          </w14:textFill>
        </w:rPr>
        <w:t>二、调查对象和方式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调查对象为航空公司、旅客、货主货代、驻场单位、内部员工等有业务往来的机构和个人。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调查方式至少包含以调查问卷、直面访谈等多种方式。年度调查的次数</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不少于</w:t>
      </w:r>
      <w:r>
        <w:rPr>
          <w:rFonts w:hint="eastAsia" w:ascii="仿宋_GB2312" w:hAnsi="宋体" w:eastAsia="仿宋_GB2312"/>
          <w:color w:val="000000" w:themeColor="text1"/>
          <w:sz w:val="28"/>
          <w:szCs w:val="28"/>
          <w:highlight w:val="none"/>
          <w14:textFill>
            <w14:solidFill>
              <w14:schemeClr w14:val="tx1"/>
            </w14:solidFill>
          </w14:textFill>
        </w:rPr>
        <w:t>2</w:t>
      </w:r>
      <w:r>
        <w:rPr>
          <w:rFonts w:hint="eastAsia" w:ascii="仿宋_GB2312" w:hAnsi="Times New Roman" w:eastAsia="仿宋_GB2312"/>
          <w:color w:val="000000" w:themeColor="text1"/>
          <w:sz w:val="28"/>
          <w:szCs w:val="28"/>
          <w:highlight w:val="none"/>
          <w14:textFill>
            <w14:solidFill>
              <w14:schemeClr w14:val="tx1"/>
            </w14:solidFill>
          </w14:textFill>
        </w:rPr>
        <w:t>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Times New Roman" w:eastAsia="仿宋_GB2312"/>
          <w:color w:val="000000" w:themeColor="text1"/>
          <w:sz w:val="28"/>
          <w:szCs w:val="28"/>
          <w:highlight w:val="none"/>
          <w14:textFill>
            <w14:solidFill>
              <w14:schemeClr w14:val="tx1"/>
            </w14:solidFill>
          </w14:textFill>
        </w:rPr>
        <w:t>旅客满意度数据采集将采用在线旅客满意度调查的方式进行，如遇样本量不足的情况，应采取现场发放问卷方式确保样本量的调查。其他调查对象如航空公司、货主和货运代理、驻场单位、内部员工等有业务往来的机构和个人均以调查问卷或访谈等方式完成调查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黑体" w:hAnsi="黑体" w:eastAsia="黑体" w:cs="黑体"/>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sz w:val="28"/>
          <w:szCs w:val="28"/>
          <w:highlight w:val="none"/>
          <w:lang w:val="en-US" w:eastAsia="zh-CN"/>
          <w14:textFill>
            <w14:solidFill>
              <w14:schemeClr w14:val="tx1"/>
            </w14:solidFill>
          </w14:textFill>
        </w:rPr>
        <w:t>三、</w:t>
      </w:r>
      <w:r>
        <w:rPr>
          <w:rFonts w:hint="eastAsia" w:ascii="黑体" w:hAnsi="黑体" w:eastAsia="黑体" w:cs="黑体"/>
          <w:b w:val="0"/>
          <w:bCs/>
          <w:color w:val="000000" w:themeColor="text1"/>
          <w:sz w:val="28"/>
          <w:szCs w:val="28"/>
          <w:highlight w:val="none"/>
          <w14:textFill>
            <w14:solidFill>
              <w14:schemeClr w14:val="tx1"/>
            </w14:solidFill>
          </w14:textFill>
        </w:rPr>
        <w:t>调查样本及规模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eastAsia="zh-CN"/>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一）问卷调查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仿宋_GB2312" w:hAnsi="Times New Roman" w:eastAsia="仿宋_GB2312"/>
          <w:color w:val="000000" w:themeColor="text1"/>
          <w:sz w:val="28"/>
          <w:szCs w:val="28"/>
          <w:highlight w:val="none"/>
          <w14:textFill>
            <w14:solidFill>
              <w14:schemeClr w14:val="tx1"/>
            </w14:solidFill>
          </w14:textFill>
        </w:rPr>
        <w:t>根据各机场各类客户的数量设置相应的问卷数，每年整体有效问卷抽样数量至少不低于以下标准：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Times New Roman"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白云国际机场</w:t>
      </w:r>
      <w:r>
        <w:rPr>
          <w:rFonts w:hint="eastAsia" w:ascii="仿宋_GB2312" w:hAnsi="Times New Roman"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3000</w:t>
      </w:r>
      <w:r>
        <w:rPr>
          <w:rFonts w:hint="eastAsia" w:ascii="仿宋_GB2312" w:hAnsi="Times New Roman" w:eastAsia="仿宋_GB2312"/>
          <w:color w:val="000000" w:themeColor="text1"/>
          <w:sz w:val="28"/>
          <w:szCs w:val="28"/>
          <w:highlight w:val="none"/>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Times New Roman" w:eastAsia="仿宋_GB2312"/>
          <w:color w:val="000000" w:themeColor="text1"/>
          <w:sz w:val="28"/>
          <w:szCs w:val="28"/>
          <w:highlight w:val="none"/>
          <w14:textFill>
            <w14:solidFill>
              <w14:schemeClr w14:val="tx1"/>
            </w14:solidFill>
          </w14:textFill>
        </w:rPr>
      </w:pPr>
      <w:r>
        <w:rPr>
          <w:rFonts w:hint="eastAsia" w:ascii="仿宋_GB2312" w:hAnsi="Times New Roman" w:eastAsia="仿宋_GB2312"/>
          <w:color w:val="000000" w:themeColor="text1"/>
          <w:sz w:val="28"/>
          <w:szCs w:val="28"/>
          <w:highlight w:val="none"/>
          <w14:textFill>
            <w14:solidFill>
              <w14:schemeClr w14:val="tx1"/>
            </w14:solidFill>
          </w14:textFill>
        </w:rPr>
        <w:t>揭阳潮汕机场：</w:t>
      </w:r>
      <w:r>
        <w:rPr>
          <w:rFonts w:hint="eastAsia" w:ascii="仿宋_GB2312" w:eastAsia="仿宋_GB2312"/>
          <w:color w:val="000000" w:themeColor="text1"/>
          <w:sz w:val="28"/>
          <w:szCs w:val="28"/>
          <w:highlight w:val="none"/>
          <w:lang w:val="en-US" w:eastAsia="zh-CN"/>
          <w14:textFill>
            <w14:solidFill>
              <w14:schemeClr w14:val="tx1"/>
            </w14:solidFill>
          </w14:textFill>
        </w:rPr>
        <w:t>1000</w:t>
      </w:r>
      <w:r>
        <w:rPr>
          <w:rFonts w:hint="eastAsia" w:ascii="仿宋_GB2312" w:hAnsi="Times New Roman" w:eastAsia="仿宋_GB2312"/>
          <w:color w:val="000000" w:themeColor="text1"/>
          <w:sz w:val="28"/>
          <w:szCs w:val="28"/>
          <w:highlight w:val="none"/>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Times New Roman" w:eastAsia="仿宋_GB2312"/>
          <w:color w:val="000000" w:themeColor="text1"/>
          <w:sz w:val="28"/>
          <w:szCs w:val="28"/>
          <w:highlight w:val="none"/>
          <w14:textFill>
            <w14:solidFill>
              <w14:schemeClr w14:val="tx1"/>
            </w14:solidFill>
          </w14:textFill>
        </w:rPr>
      </w:pPr>
      <w:r>
        <w:rPr>
          <w:rFonts w:hint="eastAsia" w:ascii="仿宋_GB2312" w:hAnsi="Times New Roman" w:eastAsia="仿宋_GB2312"/>
          <w:color w:val="000000" w:themeColor="text1"/>
          <w:sz w:val="28"/>
          <w:szCs w:val="28"/>
          <w:highlight w:val="none"/>
          <w14:textFill>
            <w14:solidFill>
              <w14:schemeClr w14:val="tx1"/>
            </w14:solidFill>
          </w14:textFill>
        </w:rPr>
        <w:t>湛江机场：</w:t>
      </w:r>
      <w:r>
        <w:rPr>
          <w:rFonts w:hint="eastAsia" w:ascii="仿宋_GB2312" w:eastAsia="仿宋_GB2312"/>
          <w:color w:val="000000" w:themeColor="text1"/>
          <w:sz w:val="28"/>
          <w:szCs w:val="28"/>
          <w:highlight w:val="none"/>
          <w:lang w:val="en-US" w:eastAsia="zh-CN"/>
          <w14:textFill>
            <w14:solidFill>
              <w14:schemeClr w14:val="tx1"/>
            </w14:solidFill>
          </w14:textFill>
        </w:rPr>
        <w:t>800</w:t>
      </w:r>
      <w:r>
        <w:rPr>
          <w:rFonts w:hint="eastAsia" w:ascii="仿宋_GB2312" w:hAnsi="Times New Roman" w:eastAsia="仿宋_GB2312"/>
          <w:color w:val="000000" w:themeColor="text1"/>
          <w:sz w:val="28"/>
          <w:szCs w:val="28"/>
          <w:highlight w:val="none"/>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Times New Roman" w:eastAsia="仿宋_GB2312"/>
          <w:color w:val="000000" w:themeColor="text1"/>
          <w:sz w:val="28"/>
          <w:szCs w:val="28"/>
          <w:highlight w:val="none"/>
          <w14:textFill>
            <w14:solidFill>
              <w14:schemeClr w14:val="tx1"/>
            </w14:solidFill>
          </w14:textFill>
        </w:rPr>
      </w:pPr>
      <w:r>
        <w:rPr>
          <w:rFonts w:hint="eastAsia" w:ascii="仿宋_GB2312" w:hAnsi="Times New Roman" w:eastAsia="仿宋_GB2312"/>
          <w:color w:val="000000" w:themeColor="text1"/>
          <w:sz w:val="28"/>
          <w:szCs w:val="28"/>
          <w:highlight w:val="none"/>
          <w14:textFill>
            <w14:solidFill>
              <w14:schemeClr w14:val="tx1"/>
            </w14:solidFill>
          </w14:textFill>
        </w:rPr>
        <w:t>梅州机场：</w:t>
      </w:r>
      <w:r>
        <w:rPr>
          <w:rFonts w:hint="eastAsia" w:ascii="仿宋_GB2312" w:eastAsia="仿宋_GB2312"/>
          <w:color w:val="000000" w:themeColor="text1"/>
          <w:sz w:val="28"/>
          <w:szCs w:val="28"/>
          <w:highlight w:val="none"/>
          <w:lang w:val="en-US" w:eastAsia="zh-CN"/>
          <w14:textFill>
            <w14:solidFill>
              <w14:schemeClr w14:val="tx1"/>
            </w14:solidFill>
          </w14:textFill>
        </w:rPr>
        <w:t>500</w:t>
      </w:r>
      <w:r>
        <w:rPr>
          <w:rFonts w:hint="eastAsia" w:ascii="仿宋_GB2312" w:hAnsi="Times New Roman" w:eastAsia="仿宋_GB2312"/>
          <w:color w:val="000000" w:themeColor="text1"/>
          <w:sz w:val="28"/>
          <w:szCs w:val="28"/>
          <w:highlight w:val="none"/>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Times New Roman" w:eastAsia="仿宋_GB2312"/>
          <w:color w:val="000000" w:themeColor="text1"/>
          <w:sz w:val="28"/>
          <w:szCs w:val="28"/>
          <w:highlight w:val="none"/>
          <w:lang w:eastAsia="zh-CN"/>
          <w14:textFill>
            <w14:solidFill>
              <w14:schemeClr w14:val="tx1"/>
            </w14:solidFill>
          </w14:textFill>
        </w:rPr>
      </w:pPr>
      <w:r>
        <w:rPr>
          <w:rFonts w:hint="eastAsia" w:ascii="仿宋_GB2312" w:hAnsi="Times New Roman" w:eastAsia="仿宋_GB2312"/>
          <w:color w:val="000000" w:themeColor="text1"/>
          <w:sz w:val="28"/>
          <w:szCs w:val="28"/>
          <w:highlight w:val="none"/>
          <w14:textFill>
            <w14:solidFill>
              <w14:schemeClr w14:val="tx1"/>
            </w14:solidFill>
          </w14:textFill>
        </w:rPr>
        <w:t>惠州机场</w:t>
      </w:r>
      <w:r>
        <w:rPr>
          <w:rFonts w:hint="eastAsia" w:ascii="仿宋_GB2312" w:hAnsi="Times New Roman" w:eastAsia="仿宋_GB2312"/>
          <w:color w:val="000000" w:themeColor="text1"/>
          <w:sz w:val="28"/>
          <w:szCs w:val="28"/>
          <w:highlight w:val="none"/>
          <w:lang w:eastAsia="zh-CN"/>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600</w:t>
      </w:r>
      <w:r>
        <w:rPr>
          <w:rFonts w:hint="eastAsia" w:ascii="仿宋_GB2312" w:hAnsi="Times New Roman" w:eastAsia="仿宋_GB2312"/>
          <w:color w:val="000000" w:themeColor="text1"/>
          <w:sz w:val="28"/>
          <w:szCs w:val="28"/>
          <w:highlight w:val="none"/>
          <w14:textFill>
            <w14:solidFill>
              <w14:schemeClr w14:val="tx1"/>
            </w14:solidFill>
          </w14:textFill>
        </w:rPr>
        <w:t>份</w:t>
      </w:r>
      <w:r>
        <w:rPr>
          <w:rFonts w:hint="eastAsia" w:ascii="仿宋_GB2312" w:hAnsi="Times New Roman" w:eastAsia="仿宋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color w:val="000000" w:themeColor="text1"/>
          <w:sz w:val="28"/>
          <w:szCs w:val="28"/>
          <w:highlight w:val="none"/>
          <w:lang w:val="en-US" w:eastAsia="zh-CN"/>
          <w14:textFill>
            <w14:solidFill>
              <w14:schemeClr w14:val="tx1"/>
            </w14:solidFill>
          </w14:textFill>
        </w:rPr>
      </w:pP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韶关机场：</w:t>
      </w:r>
      <w:r>
        <w:rPr>
          <w:rFonts w:hint="eastAsia" w:ascii="仿宋_GB2312" w:eastAsia="仿宋_GB2312"/>
          <w:color w:val="000000" w:themeColor="text1"/>
          <w:sz w:val="28"/>
          <w:szCs w:val="28"/>
          <w:highlight w:val="none"/>
          <w:lang w:val="en-US" w:eastAsia="zh-CN"/>
          <w14:textFill>
            <w14:solidFill>
              <w14:schemeClr w14:val="tx1"/>
            </w14:solidFill>
          </w14:textFill>
        </w:rPr>
        <w:t>500份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Times New Roman" w:eastAsia="仿宋_GB2312"/>
          <w:color w:val="000000" w:themeColor="text1"/>
          <w:sz w:val="28"/>
          <w:szCs w:val="28"/>
          <w:highlight w:val="none"/>
          <w:lang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物流公司</w:t>
      </w:r>
      <w:r>
        <w:rPr>
          <w:rFonts w:hint="eastAsia" w:ascii="仿宋_GB2312" w:hAnsi="Times New Roman"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en-US" w:eastAsia="zh-CN"/>
          <w14:textFill>
            <w14:solidFill>
              <w14:schemeClr w14:val="tx1"/>
            </w14:solidFill>
          </w14:textFill>
        </w:rPr>
        <w:t>100</w:t>
      </w:r>
      <w:r>
        <w:rPr>
          <w:rFonts w:hint="eastAsia" w:ascii="仿宋_GB2312" w:hAnsi="Times New Roman" w:eastAsia="仿宋_GB2312"/>
          <w:color w:val="000000" w:themeColor="text1"/>
          <w:sz w:val="28"/>
          <w:szCs w:val="28"/>
          <w:highlight w:val="none"/>
          <w14:textFill>
            <w14:solidFill>
              <w14:schemeClr w14:val="tx1"/>
            </w14:solidFill>
          </w14:textFill>
        </w:rPr>
        <w:t>份</w:t>
      </w:r>
      <w:r>
        <w:rPr>
          <w:rFonts w:hint="eastAsia" w:ascii="仿宋_GB2312" w:eastAsia="仿宋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t>（二）访谈调查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pP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根据各机场业务量确定相应的访谈样本数量，每年整体访谈抽样数量至少不低于以下标准：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白云国际机场</w:t>
      </w: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：所有驻场航空公司的30%（以调研当月代理总数量为准）；及其他服务对象总数量不少于150个；</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pPr>
      <w:r>
        <w:rPr>
          <w:rFonts w:hint="eastAsia" w:ascii="仿宋_GB2312" w:hAnsi="Times New Roman" w:eastAsia="仿宋_GB2312"/>
          <w:color w:val="000000" w:themeColor="text1"/>
          <w:sz w:val="28"/>
          <w:szCs w:val="28"/>
          <w:highlight w:val="none"/>
          <w14:textFill>
            <w14:solidFill>
              <w14:schemeClr w14:val="tx1"/>
            </w14:solidFill>
          </w14:textFill>
        </w:rPr>
        <w:t>揭阳潮汕机场</w:t>
      </w: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：所有驻场航空公司的30%（以调研当月代理总数量为准）；及其他服务对象总数量不少于80个；</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pP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湛江</w:t>
      </w:r>
      <w:r>
        <w:rPr>
          <w:rFonts w:hint="eastAsia" w:ascii="仿宋_GB2312" w:hAnsi="Times New Roman" w:eastAsia="仿宋_GB2312"/>
          <w:color w:val="000000" w:themeColor="text1"/>
          <w:sz w:val="28"/>
          <w:szCs w:val="28"/>
          <w:highlight w:val="none"/>
          <w14:textFill>
            <w14:solidFill>
              <w14:schemeClr w14:val="tx1"/>
            </w14:solidFill>
          </w14:textFill>
        </w:rPr>
        <w:t>机场</w:t>
      </w: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：所有驻场航空公司的30%（以调研当月代理总数量为准）；及其他服务对象总数量不少于60个；</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pP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梅州</w:t>
      </w:r>
      <w:r>
        <w:rPr>
          <w:rFonts w:hint="eastAsia" w:ascii="仿宋_GB2312" w:hAnsi="Times New Roman" w:eastAsia="仿宋_GB2312"/>
          <w:color w:val="000000" w:themeColor="text1"/>
          <w:sz w:val="28"/>
          <w:szCs w:val="28"/>
          <w:highlight w:val="none"/>
          <w14:textFill>
            <w14:solidFill>
              <w14:schemeClr w14:val="tx1"/>
            </w14:solidFill>
          </w14:textFill>
        </w:rPr>
        <w:t>机场</w:t>
      </w: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：所有驻场航空公司的30%（以调研当月代理总数量为准）；及其他服务对象总数量不少于30个；</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pP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惠州</w:t>
      </w:r>
      <w:r>
        <w:rPr>
          <w:rFonts w:hint="eastAsia" w:ascii="仿宋_GB2312" w:hAnsi="Times New Roman" w:eastAsia="仿宋_GB2312"/>
          <w:color w:val="000000" w:themeColor="text1"/>
          <w:sz w:val="28"/>
          <w:szCs w:val="28"/>
          <w:highlight w:val="none"/>
          <w14:textFill>
            <w14:solidFill>
              <w14:schemeClr w14:val="tx1"/>
            </w14:solidFill>
          </w14:textFill>
        </w:rPr>
        <w:t>机场</w:t>
      </w: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：所有驻场航空公司的30%（以调研当月代理总数量为准）；及其他服务对象总数量不少于50个；</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pP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韶关</w:t>
      </w:r>
      <w:r>
        <w:rPr>
          <w:rFonts w:hint="eastAsia" w:ascii="仿宋_GB2312" w:hAnsi="Times New Roman" w:eastAsia="仿宋_GB2312"/>
          <w:color w:val="000000" w:themeColor="text1"/>
          <w:sz w:val="28"/>
          <w:szCs w:val="28"/>
          <w:highlight w:val="none"/>
          <w14:textFill>
            <w14:solidFill>
              <w14:schemeClr w14:val="tx1"/>
            </w14:solidFill>
          </w14:textFill>
        </w:rPr>
        <w:t>机场</w:t>
      </w: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：所有驻场航空公司的30%（以调研当月代理总数量为准）；及其他服务对象总数量不少于30个；</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物流公司</w:t>
      </w: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：所有代理航空公司的30%（以调研当月代理总数量为准）；及其货主货代等其他服务对象总数量不少于30个。</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t>（三）神秘旅客及其他调研</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ascii="仿宋_GB2312" w:hAnsi="Times New Roman"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供应商</w:t>
      </w: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需结合各机场实际情况，合理安排神秘顾客及其他调研方式样本数量。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黑体" w:hAnsi="黑体" w:eastAsia="黑体" w:cs="黑体"/>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sz w:val="28"/>
          <w:szCs w:val="28"/>
          <w:highlight w:val="none"/>
          <w14:textFill>
            <w14:solidFill>
              <w14:schemeClr w14:val="tx1"/>
            </w14:solidFill>
          </w14:textFill>
        </w:rPr>
        <w:t>四、调查的基本内容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b w:val="0"/>
          <w:bCs/>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应包括</w:t>
      </w:r>
      <w:r>
        <w:rPr>
          <w:rFonts w:hint="eastAsia" w:ascii="仿宋" w:hAnsi="仿宋" w:eastAsia="仿宋" w:cs="仿宋"/>
          <w:b w:val="0"/>
          <w:bCs/>
          <w:color w:val="000000" w:themeColor="text1"/>
          <w:sz w:val="28"/>
          <w:szCs w:val="28"/>
          <w:highlight w:val="none"/>
          <w14:textFill>
            <w14:solidFill>
              <w14:schemeClr w14:val="tx1"/>
            </w14:solidFill>
          </w14:textFill>
        </w:rPr>
        <w:t>但不限于以下内容</w:t>
      </w:r>
      <w:r>
        <w:rPr>
          <w:rFonts w:hint="eastAsia" w:ascii="仿宋" w:hAnsi="仿宋" w:eastAsia="仿宋" w:cs="仿宋"/>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楷体" w:hAnsi="楷体" w:eastAsia="楷体" w:cs="楷体"/>
          <w:b w:val="0"/>
          <w:bCs/>
          <w:color w:val="000000" w:themeColor="text1"/>
          <w:sz w:val="28"/>
          <w:szCs w:val="28"/>
          <w:highlight w:val="none"/>
          <w14:textFill>
            <w14:solidFill>
              <w14:schemeClr w14:val="tx1"/>
            </w14:solidFill>
          </w14:textFill>
        </w:rPr>
      </w:pPr>
      <w:r>
        <w:rPr>
          <w:rFonts w:hint="eastAsia" w:ascii="楷体" w:hAnsi="楷体" w:eastAsia="楷体" w:cs="楷体"/>
          <w:b w:val="0"/>
          <w:bCs/>
          <w:color w:val="000000" w:themeColor="text1"/>
          <w:sz w:val="28"/>
          <w:szCs w:val="28"/>
          <w:highlight w:val="none"/>
          <w:lang w:eastAsia="zh-CN"/>
          <w14:textFill>
            <w14:solidFill>
              <w14:schemeClr w14:val="tx1"/>
            </w14:solidFill>
          </w14:textFill>
        </w:rPr>
        <w:t>（</w:t>
      </w:r>
      <w:r>
        <w:rPr>
          <w:rFonts w:hint="eastAsia" w:ascii="楷体" w:hAnsi="楷体" w:eastAsia="楷体" w:cs="楷体"/>
          <w:b w:val="0"/>
          <w:bCs/>
          <w:color w:val="000000" w:themeColor="text1"/>
          <w:sz w:val="28"/>
          <w:szCs w:val="28"/>
          <w:highlight w:val="none"/>
          <w:lang w:val="en-US" w:eastAsia="zh-CN"/>
          <w14:textFill>
            <w14:solidFill>
              <w14:schemeClr w14:val="tx1"/>
            </w14:solidFill>
          </w14:textFill>
        </w:rPr>
        <w:t>一）</w:t>
      </w:r>
      <w:r>
        <w:rPr>
          <w:rFonts w:hint="eastAsia" w:ascii="楷体" w:hAnsi="楷体" w:eastAsia="楷体" w:cs="楷体"/>
          <w:b w:val="0"/>
          <w:bCs/>
          <w:color w:val="000000" w:themeColor="text1"/>
          <w:sz w:val="28"/>
          <w:szCs w:val="28"/>
          <w:highlight w:val="none"/>
          <w14:textFill>
            <w14:solidFill>
              <w14:schemeClr w14:val="tx1"/>
            </w14:solidFill>
          </w14:textFill>
        </w:rPr>
        <w:t>航空公司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ascii="仿宋_GB2312" w:hAnsi="Times New Roman" w:eastAsia="仿宋_GB2312"/>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w:t>
      </w:r>
      <w:r>
        <w:rPr>
          <w:rFonts w:hint="eastAsia" w:ascii="仿宋_GB2312" w:hAnsi="Times New Roman" w:eastAsia="仿宋_GB2312"/>
          <w:b/>
          <w:color w:val="000000" w:themeColor="text1"/>
          <w:sz w:val="28"/>
          <w:szCs w:val="28"/>
          <w:highlight w:val="none"/>
          <w14:textFill>
            <w14:solidFill>
              <w14:schemeClr w14:val="tx1"/>
            </w14:solidFill>
          </w14:textFill>
        </w:rPr>
        <w:tab/>
      </w:r>
      <w:r>
        <w:rPr>
          <w:rFonts w:hint="eastAsia" w:ascii="仿宋_GB2312" w:hAnsi="Times New Roman" w:eastAsia="仿宋_GB2312"/>
          <w:b/>
          <w:color w:val="000000" w:themeColor="text1"/>
          <w:sz w:val="28"/>
          <w:szCs w:val="28"/>
          <w:highlight w:val="none"/>
          <w14:textFill>
            <w14:solidFill>
              <w14:schemeClr w14:val="tx1"/>
            </w14:solidFill>
          </w14:textFill>
        </w:rPr>
        <w:t>安全保障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w:t>
      </w:r>
      <w:r>
        <w:rPr>
          <w:rFonts w:hint="eastAsia" w:ascii="仿宋_GB2312" w:hAnsi="Times New Roman" w:eastAsia="仿宋_GB2312"/>
          <w:b/>
          <w:color w:val="000000" w:themeColor="text1"/>
          <w:sz w:val="28"/>
          <w:szCs w:val="28"/>
          <w:highlight w:val="none"/>
          <w14:textFill>
            <w14:solidFill>
              <w14:schemeClr w14:val="tx1"/>
            </w14:solidFill>
          </w14:textFill>
        </w:rPr>
        <w:tab/>
      </w:r>
      <w:r>
        <w:rPr>
          <w:rFonts w:hint="eastAsia" w:ascii="仿宋_GB2312" w:hAnsi="Times New Roman" w:eastAsia="仿宋_GB2312"/>
          <w:bCs/>
          <w:color w:val="000000" w:themeColor="text1"/>
          <w:sz w:val="28"/>
          <w:szCs w:val="28"/>
          <w:highlight w:val="none"/>
          <w14:textFill>
            <w14:solidFill>
              <w14:schemeClr w14:val="tx1"/>
            </w14:solidFill>
          </w14:textFill>
        </w:rPr>
        <w:t>机坪封闭性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_GB2312" w:hAnsi="Times New Roman" w:eastAsia="仿宋_GB2312"/>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跑道及滑行道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起降灯光设备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航空器监护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ascii="仿宋_GB2312" w:hAnsi="Times New Roman" w:eastAsia="仿宋_GB2312"/>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w:t>
      </w:r>
      <w:r>
        <w:rPr>
          <w:rFonts w:hint="eastAsia" w:ascii="仿宋_GB2312" w:hAnsi="Times New Roman" w:eastAsia="仿宋_GB2312"/>
          <w:b/>
          <w:color w:val="000000" w:themeColor="text1"/>
          <w:sz w:val="28"/>
          <w:szCs w:val="28"/>
          <w:highlight w:val="none"/>
          <w14:textFill>
            <w14:solidFill>
              <w14:schemeClr w14:val="tx1"/>
            </w14:solidFill>
          </w14:textFill>
        </w:rPr>
        <w:tab/>
      </w:r>
      <w:r>
        <w:rPr>
          <w:rFonts w:hint="eastAsia" w:ascii="仿宋_GB2312" w:hAnsi="Times New Roman" w:eastAsia="仿宋_GB2312"/>
          <w:b/>
          <w:color w:val="000000" w:themeColor="text1"/>
          <w:sz w:val="28"/>
          <w:szCs w:val="28"/>
          <w:highlight w:val="none"/>
          <w14:textFill>
            <w14:solidFill>
              <w14:schemeClr w14:val="tx1"/>
            </w14:solidFill>
          </w14:textFill>
        </w:rPr>
        <w:t>运行保障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w:t>
      </w:r>
      <w:r>
        <w:rPr>
          <w:rFonts w:hint="eastAsia" w:ascii="仿宋_GB2312" w:hAnsi="Times New Roman" w:eastAsia="仿宋_GB2312"/>
          <w:b/>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廊桥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客梯车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摆渡车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其他特种车辆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停机位分配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ascii="仿宋_GB2312" w:hAnsi="Times New Roman" w:eastAsia="仿宋_GB2312"/>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w:t>
      </w:r>
      <w:r>
        <w:rPr>
          <w:rFonts w:hint="eastAsia" w:ascii="仿宋_GB2312" w:hAnsi="Times New Roman" w:eastAsia="仿宋_GB2312"/>
          <w:b/>
          <w:color w:val="000000" w:themeColor="text1"/>
          <w:sz w:val="28"/>
          <w:szCs w:val="28"/>
          <w:highlight w:val="none"/>
          <w14:textFill>
            <w14:solidFill>
              <w14:schemeClr w14:val="tx1"/>
            </w14:solidFill>
          </w14:textFill>
        </w:rPr>
        <w:tab/>
      </w:r>
      <w:r>
        <w:rPr>
          <w:rFonts w:hint="eastAsia" w:ascii="仿宋_GB2312" w:hAnsi="Times New Roman" w:eastAsia="仿宋_GB2312"/>
          <w:b/>
          <w:color w:val="000000" w:themeColor="text1"/>
          <w:sz w:val="28"/>
          <w:szCs w:val="28"/>
          <w:highlight w:val="none"/>
          <w14:textFill>
            <w14:solidFill>
              <w14:schemeClr w14:val="tx1"/>
            </w14:solidFill>
          </w14:textFill>
        </w:rPr>
        <w:t>服务保障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w:t>
      </w:r>
      <w:r>
        <w:rPr>
          <w:rFonts w:hint="eastAsia" w:ascii="仿宋_GB2312" w:hAnsi="Times New Roman" w:eastAsia="仿宋_GB2312"/>
          <w:b/>
          <w:color w:val="000000" w:themeColor="text1"/>
          <w:sz w:val="28"/>
          <w:szCs w:val="28"/>
          <w:highlight w:val="none"/>
          <w14:textFill>
            <w14:solidFill>
              <w14:schemeClr w14:val="tx1"/>
            </w14:solidFill>
          </w14:textFill>
        </w:rPr>
        <w:tab/>
      </w:r>
      <w:r>
        <w:rPr>
          <w:rFonts w:hint="eastAsia" w:ascii="仿宋_GB2312" w:hAnsi="Times New Roman" w:eastAsia="仿宋_GB2312"/>
          <w:bCs/>
          <w:color w:val="000000" w:themeColor="text1"/>
          <w:sz w:val="28"/>
          <w:szCs w:val="28"/>
          <w:highlight w:val="none"/>
          <w14:textFill>
            <w14:solidFill>
              <w14:schemeClr w14:val="tx1"/>
            </w14:solidFill>
          </w14:textFill>
        </w:rPr>
        <w:t>行李服务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登机服务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客舱清洁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w:t>
      </w:r>
      <w:r>
        <w:rPr>
          <w:rFonts w:hint="eastAsia" w:ascii="仿宋_GB2312" w:hAnsi="Times New Roman" w:eastAsia="仿宋_GB2312"/>
          <w:b/>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舱单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不正常航班（含备降航班）保障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特殊旅客服务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服务流程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服务改进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楷体" w:hAnsi="楷体" w:eastAsia="楷体" w:cs="楷体"/>
          <w:b w:val="0"/>
          <w:bCs/>
          <w:color w:val="000000" w:themeColor="text1"/>
          <w:sz w:val="28"/>
          <w:szCs w:val="28"/>
          <w:highlight w:val="none"/>
          <w:lang w:eastAsia="zh-CN"/>
          <w14:textFill>
            <w14:solidFill>
              <w14:schemeClr w14:val="tx1"/>
            </w14:solidFill>
          </w14:textFill>
        </w:rPr>
      </w:pPr>
      <w:r>
        <w:rPr>
          <w:rFonts w:hint="eastAsia" w:ascii="楷体" w:hAnsi="楷体" w:eastAsia="楷体" w:cs="楷体"/>
          <w:b w:val="0"/>
          <w:bCs/>
          <w:color w:val="000000" w:themeColor="text1"/>
          <w:sz w:val="28"/>
          <w:szCs w:val="28"/>
          <w:highlight w:val="none"/>
          <w:lang w:eastAsia="zh-CN"/>
          <w14:textFill>
            <w14:solidFill>
              <w14:schemeClr w14:val="tx1"/>
            </w14:solidFill>
          </w14:textFill>
        </w:rPr>
        <w:t>（</w:t>
      </w:r>
      <w:r>
        <w:rPr>
          <w:rFonts w:hint="eastAsia" w:ascii="楷体" w:hAnsi="楷体" w:eastAsia="楷体" w:cs="楷体"/>
          <w:b w:val="0"/>
          <w:bCs/>
          <w:color w:val="000000" w:themeColor="text1"/>
          <w:sz w:val="28"/>
          <w:szCs w:val="28"/>
          <w:highlight w:val="none"/>
          <w:lang w:val="en-US" w:eastAsia="zh-CN"/>
          <w14:textFill>
            <w14:solidFill>
              <w14:schemeClr w14:val="tx1"/>
            </w14:solidFill>
          </w14:textFill>
        </w:rPr>
        <w:t>二）</w:t>
      </w:r>
      <w:r>
        <w:rPr>
          <w:rFonts w:hint="eastAsia" w:ascii="楷体" w:hAnsi="楷体" w:eastAsia="楷体" w:cs="楷体"/>
          <w:b w:val="0"/>
          <w:bCs/>
          <w:color w:val="000000" w:themeColor="text1"/>
          <w:sz w:val="28"/>
          <w:szCs w:val="28"/>
          <w:highlight w:val="none"/>
          <w:lang w:eastAsia="zh-CN"/>
          <w14:textFill>
            <w14:solidFill>
              <w14:schemeClr w14:val="tx1"/>
            </w14:solidFill>
          </w14:textFill>
        </w:rPr>
        <w:t>货主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w:t>
      </w:r>
      <w:r>
        <w:rPr>
          <w:rFonts w:hint="eastAsia" w:ascii="仿宋_GB2312" w:hAnsi="Times New Roman" w:eastAsia="仿宋_GB2312"/>
          <w:b/>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货站环境及设施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货物交运服务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货物安检服务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货物提取服务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不正常运输服务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系统及智慧化服务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楷体" w:hAnsi="楷体" w:eastAsia="楷体" w:cs="楷体"/>
          <w:b w:val="0"/>
          <w:bCs/>
          <w:color w:val="000000" w:themeColor="text1"/>
          <w:sz w:val="28"/>
          <w:szCs w:val="28"/>
          <w:highlight w:val="none"/>
          <w:lang w:eastAsia="zh-CN"/>
          <w14:textFill>
            <w14:solidFill>
              <w14:schemeClr w14:val="tx1"/>
            </w14:solidFill>
          </w14:textFill>
        </w:rPr>
      </w:pPr>
      <w:r>
        <w:rPr>
          <w:rFonts w:hint="eastAsia" w:ascii="楷体" w:hAnsi="楷体" w:eastAsia="楷体" w:cs="楷体"/>
          <w:b w:val="0"/>
          <w:bCs/>
          <w:color w:val="000000" w:themeColor="text1"/>
          <w:sz w:val="28"/>
          <w:szCs w:val="28"/>
          <w:highlight w:val="none"/>
          <w:lang w:eastAsia="zh-CN"/>
          <w14:textFill>
            <w14:solidFill>
              <w14:schemeClr w14:val="tx1"/>
            </w14:solidFill>
          </w14:textFill>
        </w:rPr>
        <w:t>（</w:t>
      </w:r>
      <w:r>
        <w:rPr>
          <w:rFonts w:hint="eastAsia" w:ascii="楷体" w:hAnsi="楷体" w:eastAsia="楷体" w:cs="楷体"/>
          <w:b w:val="0"/>
          <w:bCs/>
          <w:color w:val="000000" w:themeColor="text1"/>
          <w:sz w:val="28"/>
          <w:szCs w:val="28"/>
          <w:highlight w:val="none"/>
          <w:lang w:val="en-US" w:eastAsia="zh-CN"/>
          <w14:textFill>
            <w14:solidFill>
              <w14:schemeClr w14:val="tx1"/>
            </w14:solidFill>
          </w14:textFill>
        </w:rPr>
        <w:t>三）</w:t>
      </w:r>
      <w:r>
        <w:rPr>
          <w:rFonts w:hint="eastAsia" w:ascii="楷体" w:hAnsi="楷体" w:eastAsia="楷体" w:cs="楷体"/>
          <w:b w:val="0"/>
          <w:bCs/>
          <w:color w:val="000000" w:themeColor="text1"/>
          <w:sz w:val="28"/>
          <w:szCs w:val="28"/>
          <w:highlight w:val="none"/>
          <w:lang w:eastAsia="zh-CN"/>
          <w14:textFill>
            <w14:solidFill>
              <w14:schemeClr w14:val="tx1"/>
            </w14:solidFill>
          </w14:textFill>
        </w:rPr>
        <w:t>旅客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w:t>
      </w:r>
      <w:r>
        <w:rPr>
          <w:rFonts w:hint="eastAsia" w:ascii="仿宋_GB2312" w:hAnsi="Times New Roman" w:eastAsia="仿宋_GB2312"/>
          <w:b/>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机场交通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值机服务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安检服务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行李服务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环境卫生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信息服务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离港与到港服务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不正常航班服务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特殊旅客服务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机场投诉处理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楷体" w:hAnsi="楷体" w:eastAsia="楷体" w:cs="楷体"/>
          <w:b w:val="0"/>
          <w:bCs/>
          <w:color w:val="000000" w:themeColor="text1"/>
          <w:sz w:val="28"/>
          <w:szCs w:val="28"/>
          <w:highlight w:val="none"/>
          <w:lang w:eastAsia="zh-CN"/>
          <w14:textFill>
            <w14:solidFill>
              <w14:schemeClr w14:val="tx1"/>
            </w14:solidFill>
          </w14:textFill>
        </w:rPr>
      </w:pPr>
      <w:r>
        <w:rPr>
          <w:rFonts w:hint="eastAsia" w:ascii="楷体" w:hAnsi="楷体" w:eastAsia="楷体" w:cs="楷体"/>
          <w:b w:val="0"/>
          <w:bCs/>
          <w:color w:val="000000" w:themeColor="text1"/>
          <w:sz w:val="28"/>
          <w:szCs w:val="28"/>
          <w:highlight w:val="none"/>
          <w:lang w:val="en-US" w:eastAsia="zh-CN"/>
          <w14:textFill>
            <w14:solidFill>
              <w14:schemeClr w14:val="tx1"/>
            </w14:solidFill>
          </w14:textFill>
        </w:rPr>
        <w:t>（四）</w:t>
      </w:r>
      <w:r>
        <w:rPr>
          <w:rFonts w:hint="eastAsia" w:ascii="楷体" w:hAnsi="楷体" w:eastAsia="楷体" w:cs="楷体"/>
          <w:b w:val="0"/>
          <w:bCs/>
          <w:color w:val="000000" w:themeColor="text1"/>
          <w:sz w:val="28"/>
          <w:szCs w:val="28"/>
          <w:highlight w:val="none"/>
          <w:lang w:eastAsia="zh-CN"/>
          <w14:textFill>
            <w14:solidFill>
              <w14:schemeClr w14:val="tx1"/>
            </w14:solidFill>
          </w14:textFill>
        </w:rPr>
        <w:t>商业租户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机场商业餐饮服务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w:t>
      </w:r>
      <w:r>
        <w:rPr>
          <w:rFonts w:hint="eastAsia" w:ascii="仿宋_GB2312" w:hAnsi="Times New Roman" w:eastAsia="仿宋_GB2312"/>
          <w:b/>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办公场所管理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机场商户管理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安检服务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楷体" w:hAnsi="楷体" w:eastAsia="楷体" w:cs="楷体"/>
          <w:b w:val="0"/>
          <w:bCs/>
          <w:color w:val="000000" w:themeColor="text1"/>
          <w:sz w:val="28"/>
          <w:szCs w:val="28"/>
          <w:highlight w:val="none"/>
          <w:lang w:eastAsia="zh-CN"/>
          <w14:textFill>
            <w14:solidFill>
              <w14:schemeClr w14:val="tx1"/>
            </w14:solidFill>
          </w14:textFill>
        </w:rPr>
      </w:pPr>
      <w:r>
        <w:rPr>
          <w:rFonts w:hint="eastAsia" w:ascii="楷体" w:hAnsi="楷体" w:eastAsia="楷体" w:cs="楷体"/>
          <w:b w:val="0"/>
          <w:bCs/>
          <w:color w:val="000000" w:themeColor="text1"/>
          <w:sz w:val="28"/>
          <w:szCs w:val="28"/>
          <w:highlight w:val="none"/>
          <w:lang w:eastAsia="zh-CN"/>
          <w14:textFill>
            <w14:solidFill>
              <w14:schemeClr w14:val="tx1"/>
            </w14:solidFill>
          </w14:textFill>
        </w:rPr>
        <w:t>（</w:t>
      </w:r>
      <w:r>
        <w:rPr>
          <w:rFonts w:hint="eastAsia" w:ascii="楷体" w:hAnsi="楷体" w:eastAsia="楷体" w:cs="楷体"/>
          <w:b w:val="0"/>
          <w:bCs/>
          <w:color w:val="000000" w:themeColor="text1"/>
          <w:sz w:val="28"/>
          <w:szCs w:val="28"/>
          <w:highlight w:val="none"/>
          <w:lang w:val="en-US" w:eastAsia="zh-CN"/>
          <w14:textFill>
            <w14:solidFill>
              <w14:schemeClr w14:val="tx1"/>
            </w14:solidFill>
          </w14:textFill>
        </w:rPr>
        <w:t>五）</w:t>
      </w:r>
      <w:r>
        <w:rPr>
          <w:rFonts w:hint="eastAsia" w:ascii="楷体" w:hAnsi="楷体" w:eastAsia="楷体" w:cs="楷体"/>
          <w:b w:val="0"/>
          <w:bCs/>
          <w:color w:val="000000" w:themeColor="text1"/>
          <w:sz w:val="28"/>
          <w:szCs w:val="28"/>
          <w:highlight w:val="none"/>
          <w:lang w:eastAsia="zh-CN"/>
          <w14:textFill>
            <w14:solidFill>
              <w14:schemeClr w14:val="tx1"/>
            </w14:solidFill>
          </w14:textFill>
        </w:rPr>
        <w:t>内部员工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ascii="仿宋_GB2312" w:hAnsi="Times New Roman" w:eastAsia="仿宋_GB2312"/>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w:t>
      </w:r>
      <w:r>
        <w:rPr>
          <w:rFonts w:hint="eastAsia" w:ascii="仿宋_GB2312" w:hAnsi="Times New Roman" w:eastAsia="仿宋_GB2312"/>
          <w:b/>
          <w:color w:val="000000" w:themeColor="text1"/>
          <w:sz w:val="28"/>
          <w:szCs w:val="28"/>
          <w:highlight w:val="none"/>
          <w14:textFill>
            <w14:solidFill>
              <w14:schemeClr w14:val="tx1"/>
            </w14:solidFill>
          </w14:textFill>
        </w:rPr>
        <w:tab/>
      </w:r>
      <w:r>
        <w:rPr>
          <w:rFonts w:hint="eastAsia" w:ascii="仿宋_GB2312" w:hAnsi="Times New Roman" w:eastAsia="仿宋_GB2312"/>
          <w:bCs/>
          <w:color w:val="000000" w:themeColor="text1"/>
          <w:sz w:val="28"/>
          <w:szCs w:val="28"/>
          <w:highlight w:val="none"/>
          <w14:textFill>
            <w14:solidFill>
              <w14:schemeClr w14:val="tx1"/>
            </w14:solidFill>
          </w14:textFill>
        </w:rPr>
        <w:t>规章制度（工作手册）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工作适应性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工作氛围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工作回报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成长发展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后勤保障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ab/>
      </w:r>
      <w:r>
        <w:rPr>
          <w:rFonts w:hint="eastAsia" w:ascii="仿宋_GB2312" w:hAnsi="Times New Roman" w:eastAsia="仿宋_GB2312"/>
          <w:color w:val="000000" w:themeColor="text1"/>
          <w:sz w:val="28"/>
          <w:szCs w:val="28"/>
          <w:highlight w:val="none"/>
          <w14:textFill>
            <w14:solidFill>
              <w14:schemeClr w14:val="tx1"/>
            </w14:solidFill>
          </w14:textFill>
        </w:rPr>
        <w:t>工作认知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黑体" w:hAnsi="黑体" w:eastAsia="黑体" w:cs="黑体"/>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sz w:val="28"/>
          <w:szCs w:val="28"/>
          <w:highlight w:val="none"/>
          <w14:textFill>
            <w14:solidFill>
              <w14:schemeClr w14:val="tx1"/>
            </w14:solidFill>
          </w14:textFill>
        </w:rPr>
        <w:t>五、服务质量测评分析方法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仿宋_GB2312" w:hAnsi="Times New Roman" w:eastAsia="仿宋_GB2312"/>
          <w:color w:val="000000" w:themeColor="text1"/>
          <w:sz w:val="28"/>
          <w:szCs w:val="28"/>
          <w:highlight w:val="none"/>
          <w14:textFill>
            <w14:solidFill>
              <w14:schemeClr w14:val="tx1"/>
            </w14:solidFill>
          </w14:textFill>
        </w:rPr>
        <w:t>应采取科学、先进的分析方法对甲方下辖各机场服务质量调研结果进行分析，得到各种影响因素，并与</w:t>
      </w:r>
      <w:r>
        <w:rPr>
          <w:rFonts w:hint="eastAsia" w:ascii="仿宋_GB2312" w:eastAsia="仿宋_GB2312"/>
          <w:color w:val="000000" w:themeColor="text1"/>
          <w:sz w:val="28"/>
          <w:szCs w:val="28"/>
          <w:highlight w:val="none"/>
          <w:lang w:val="en-US" w:eastAsia="zh-CN"/>
          <w14:textFill>
            <w14:solidFill>
              <w14:schemeClr w14:val="tx1"/>
            </w14:solidFill>
          </w14:textFill>
        </w:rPr>
        <w:t>同量级</w:t>
      </w:r>
      <w:r>
        <w:rPr>
          <w:rFonts w:hint="eastAsia" w:ascii="仿宋_GB2312" w:hAnsi="Times New Roman" w:eastAsia="仿宋_GB2312"/>
          <w:color w:val="000000" w:themeColor="text1"/>
          <w:sz w:val="28"/>
          <w:szCs w:val="28"/>
          <w:highlight w:val="none"/>
          <w14:textFill>
            <w14:solidFill>
              <w14:schemeClr w14:val="tx1"/>
            </w14:solidFill>
          </w14:textFill>
        </w:rPr>
        <w:t>或先进机场服务水平进行横向比较。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黑体" w:hAnsi="黑体" w:eastAsia="黑体" w:cs="黑体"/>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sz w:val="28"/>
          <w:szCs w:val="28"/>
          <w:highlight w:val="none"/>
          <w14:textFill>
            <w14:solidFill>
              <w14:schemeClr w14:val="tx1"/>
            </w14:solidFill>
          </w14:textFill>
        </w:rPr>
        <w:t>六、服务质量测评指标体系设计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_GB2312" w:hAnsi="Times New Roman" w:eastAsia="仿宋_GB2312"/>
          <w:color w:val="000000" w:themeColor="text1"/>
          <w:sz w:val="28"/>
          <w:szCs w:val="28"/>
          <w:highlight w:val="none"/>
          <w14:textFill>
            <w14:solidFill>
              <w14:schemeClr w14:val="tx1"/>
            </w14:solidFill>
          </w14:textFill>
        </w:rPr>
      </w:pPr>
      <w:r>
        <w:rPr>
          <w:rFonts w:hint="eastAsia" w:ascii="仿宋_GB2312" w:hAnsi="Times New Roman" w:eastAsia="仿宋_GB2312"/>
          <w:color w:val="000000" w:themeColor="text1"/>
          <w:sz w:val="28"/>
          <w:szCs w:val="28"/>
          <w:highlight w:val="none"/>
          <w14:textFill>
            <w14:solidFill>
              <w14:schemeClr w14:val="tx1"/>
            </w14:solidFill>
          </w14:textFill>
        </w:rPr>
        <w:t>基于</w:t>
      </w:r>
      <w:r>
        <w:rPr>
          <w:rFonts w:hint="eastAsia" w:ascii="仿宋_GB2312" w:eastAsia="仿宋_GB2312"/>
          <w:color w:val="000000" w:themeColor="text1"/>
          <w:sz w:val="28"/>
          <w:szCs w:val="28"/>
          <w:highlight w:val="none"/>
          <w:lang w:eastAsia="zh-CN"/>
          <w14:textFill>
            <w14:solidFill>
              <w14:schemeClr w14:val="tx1"/>
            </w14:solidFill>
          </w14:textFill>
        </w:rPr>
        <w:t>采购方</w:t>
      </w:r>
      <w:r>
        <w:rPr>
          <w:rFonts w:hint="eastAsia" w:ascii="仿宋_GB2312" w:hAnsi="Times New Roman" w:eastAsia="仿宋_GB2312"/>
          <w:color w:val="000000" w:themeColor="text1"/>
          <w:sz w:val="28"/>
          <w:szCs w:val="28"/>
          <w:highlight w:val="none"/>
          <w14:textFill>
            <w14:solidFill>
              <w14:schemeClr w14:val="tx1"/>
            </w14:solidFill>
          </w14:textFill>
        </w:rPr>
        <w:t>运营架构和服务特点，借鉴国内外对机场服务质量调查与评价经验，结合民航业的竞争形势，研究并提出客户</w:t>
      </w:r>
      <w:r>
        <w:rPr>
          <w:rFonts w:hint="eastAsia" w:ascii="仿宋_GB2312" w:eastAsia="仿宋_GB2312"/>
          <w:color w:val="000000" w:themeColor="text1"/>
          <w:sz w:val="28"/>
          <w:szCs w:val="28"/>
          <w:highlight w:val="none"/>
          <w:lang w:val="en-US" w:eastAsia="zh-CN"/>
          <w14:textFill>
            <w14:solidFill>
              <w14:schemeClr w14:val="tx1"/>
            </w14:solidFill>
          </w14:textFill>
        </w:rPr>
        <w:t>交互</w:t>
      </w:r>
      <w:r>
        <w:rPr>
          <w:rFonts w:hint="eastAsia" w:ascii="仿宋_GB2312" w:hAnsi="Times New Roman" w:eastAsia="仿宋_GB2312"/>
          <w:color w:val="000000" w:themeColor="text1"/>
          <w:sz w:val="28"/>
          <w:szCs w:val="28"/>
          <w:highlight w:val="none"/>
          <w14:textFill>
            <w14:solidFill>
              <w14:schemeClr w14:val="tx1"/>
            </w14:solidFill>
          </w14:textFill>
        </w:rPr>
        <w:t>界面（渠道、产品、服务）影响客户感知和服务质量的关键指标和核心要素，设计年度指标专项研究问卷，结合</w:t>
      </w:r>
      <w:r>
        <w:rPr>
          <w:rFonts w:hint="eastAsia" w:ascii="仿宋_GB2312" w:eastAsia="仿宋_GB2312"/>
          <w:color w:val="000000" w:themeColor="text1"/>
          <w:sz w:val="28"/>
          <w:szCs w:val="28"/>
          <w:highlight w:val="none"/>
          <w:lang w:val="en-US" w:eastAsia="zh-CN"/>
          <w14:textFill>
            <w14:solidFill>
              <w14:schemeClr w14:val="tx1"/>
            </w14:solidFill>
          </w14:textFill>
        </w:rPr>
        <w:t>采购方</w:t>
      </w:r>
      <w:r>
        <w:rPr>
          <w:rFonts w:hint="eastAsia" w:ascii="仿宋_GB2312" w:hAnsi="Times New Roman" w:eastAsia="仿宋_GB2312"/>
          <w:color w:val="000000" w:themeColor="text1"/>
          <w:sz w:val="28"/>
          <w:szCs w:val="28"/>
          <w:highlight w:val="none"/>
          <w14:textFill>
            <w14:solidFill>
              <w14:schemeClr w14:val="tx1"/>
            </w14:solidFill>
          </w14:textFill>
        </w:rPr>
        <w:t>服务工作战略及年度服务工作重点要求，制定相关评估方案。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黑体" w:hAnsi="黑体" w:eastAsia="黑体" w:cs="黑体"/>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sz w:val="28"/>
          <w:szCs w:val="28"/>
          <w:highlight w:val="none"/>
          <w14:textFill>
            <w14:solidFill>
              <w14:schemeClr w14:val="tx1"/>
            </w14:solidFill>
          </w14:textFill>
        </w:rPr>
        <w:t>七、报告编制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outlineLvl w:val="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Times New Roman" w:eastAsia="仿宋_GB2312"/>
          <w:color w:val="000000" w:themeColor="text1"/>
          <w:sz w:val="28"/>
          <w:szCs w:val="28"/>
          <w:highlight w:val="none"/>
          <w14:textFill>
            <w14:solidFill>
              <w14:schemeClr w14:val="tx1"/>
            </w14:solidFill>
          </w14:textFill>
        </w:rPr>
        <w:t>针对全年开展2期服务质量测评，依据客户满意度调查数据、客户服务信息进行客户满意度及各运营服务保障环节服务质量的深度分析，以书面形式提出针对性的客户满意度评价、提升策略和服务质量改进建议，并提供服务质量研究报告。</w:t>
      </w:r>
    </w:p>
    <w:p>
      <w:pPr>
        <w:widowControl w:val="0"/>
        <w:kinsoku/>
        <w:overflowPunct/>
        <w:topLinePunct w:val="0"/>
        <w:bidi w:val="0"/>
        <w:rPr>
          <w:rFonts w:ascii="仿宋_GB2312" w:eastAsia="仿宋_GB2312"/>
          <w:b/>
          <w:color w:val="000000" w:themeColor="text1"/>
          <w:kern w:val="44"/>
          <w:sz w:val="44"/>
          <w:szCs w:val="20"/>
          <w:highlight w:val="none"/>
          <w14:textFill>
            <w14:solidFill>
              <w14:schemeClr w14:val="tx1"/>
            </w14:solidFill>
          </w14:textFill>
        </w:rPr>
      </w:pPr>
      <w:r>
        <w:rPr>
          <w:rFonts w:ascii="仿宋_GB2312" w:eastAsia="仿宋_GB2312"/>
          <w:b/>
          <w:color w:val="000000" w:themeColor="text1"/>
          <w:kern w:val="44"/>
          <w:sz w:val="44"/>
          <w:szCs w:val="20"/>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firstLine="315"/>
        <w:jc w:val="center"/>
        <w:textAlignment w:val="auto"/>
        <w:outlineLvl w:val="0"/>
        <w:rPr>
          <w:rFonts w:hint="eastAsia" w:ascii="宋体" w:hAnsi="宋体" w:eastAsia="宋体" w:cs="宋体"/>
          <w:b/>
          <w:color w:val="000000" w:themeColor="text1"/>
          <w:kern w:val="44"/>
          <w:sz w:val="44"/>
          <w:szCs w:val="44"/>
          <w:highlight w:val="none"/>
          <w14:textFill>
            <w14:solidFill>
              <w14:schemeClr w14:val="tx1"/>
            </w14:solidFill>
          </w14:textFill>
        </w:rPr>
      </w:pPr>
      <w:r>
        <w:rPr>
          <w:rFonts w:hint="eastAsia" w:ascii="宋体" w:hAnsi="宋体" w:eastAsia="宋体" w:cs="宋体"/>
          <w:b/>
          <w:color w:val="000000" w:themeColor="text1"/>
          <w:kern w:val="44"/>
          <w:sz w:val="44"/>
          <w:szCs w:val="44"/>
          <w:highlight w:val="none"/>
          <w14:textFill>
            <w14:solidFill>
              <w14:schemeClr w14:val="tx1"/>
            </w14:solidFill>
          </w14:textFill>
        </w:rPr>
        <w:t>第</w:t>
      </w:r>
      <w:r>
        <w:rPr>
          <w:rFonts w:hint="eastAsia" w:ascii="宋体" w:hAnsi="宋体" w:eastAsia="宋体" w:cs="宋体"/>
          <w:b/>
          <w:color w:val="000000" w:themeColor="text1"/>
          <w:kern w:val="44"/>
          <w:sz w:val="44"/>
          <w:szCs w:val="44"/>
          <w:highlight w:val="none"/>
          <w:lang w:val="en-US" w:eastAsia="zh-CN"/>
          <w14:textFill>
            <w14:solidFill>
              <w14:schemeClr w14:val="tx1"/>
            </w14:solidFill>
          </w14:textFill>
        </w:rPr>
        <w:t>四</w:t>
      </w:r>
      <w:r>
        <w:rPr>
          <w:rFonts w:hint="eastAsia" w:ascii="宋体" w:hAnsi="宋体" w:eastAsia="宋体" w:cs="宋体"/>
          <w:b/>
          <w:color w:val="000000" w:themeColor="text1"/>
          <w:kern w:val="44"/>
          <w:sz w:val="44"/>
          <w:szCs w:val="44"/>
          <w:highlight w:val="none"/>
          <w14:textFill>
            <w14:solidFill>
              <w14:schemeClr w14:val="tx1"/>
            </w14:solidFill>
          </w14:textFill>
        </w:rPr>
        <w:t>部分</w:t>
      </w:r>
      <w:r>
        <w:rPr>
          <w:rFonts w:hint="eastAsia" w:ascii="宋体" w:hAnsi="宋体" w:cs="宋体"/>
          <w:b/>
          <w:color w:val="000000" w:themeColor="text1"/>
          <w:kern w:val="44"/>
          <w:sz w:val="44"/>
          <w:szCs w:val="44"/>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44"/>
          <w:sz w:val="44"/>
          <w:szCs w:val="44"/>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44"/>
          <w:sz w:val="44"/>
          <w:szCs w:val="44"/>
          <w:highlight w:val="none"/>
          <w14:textFill>
            <w14:solidFill>
              <w14:schemeClr w14:val="tx1"/>
            </w14:solidFill>
          </w14:textFill>
        </w:rPr>
        <w:t>评审办法</w:t>
      </w:r>
    </w:p>
    <w:p>
      <w:pPr>
        <w:widowControl w:val="0"/>
        <w:kinsoku/>
        <w:overflowPunct/>
        <w:topLinePunct w:val="0"/>
        <w:bidi w:val="0"/>
        <w:spacing w:line="240" w:lineRule="auto"/>
        <w:rPr>
          <w:rFonts w:hint="eastAsia" w:ascii="仿宋_GB2312" w:hAnsi="仿宋" w:eastAsia="仿宋_GB2312"/>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bidi w:val="0"/>
        <w:adjustRightInd/>
        <w:snapToGrid/>
        <w:spacing w:line="240" w:lineRule="auto"/>
        <w:ind w:firstLine="560" w:firstLineChars="200"/>
        <w:textAlignment w:val="auto"/>
        <w:outlineLvl w:val="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一、</w:t>
      </w:r>
      <w:r>
        <w:rPr>
          <w:rFonts w:hint="eastAsia" w:ascii="黑体" w:hAnsi="黑体" w:eastAsia="黑体" w:cs="黑体"/>
          <w:color w:val="000000" w:themeColor="text1"/>
          <w:sz w:val="28"/>
          <w:szCs w:val="28"/>
          <w:highlight w:val="none"/>
          <w14:textFill>
            <w14:solidFill>
              <w14:schemeClr w14:val="tx1"/>
            </w14:solidFill>
          </w14:textFill>
        </w:rPr>
        <w:t>评</w:t>
      </w:r>
      <w:r>
        <w:rPr>
          <w:rFonts w:hint="eastAsia" w:ascii="黑体" w:hAnsi="黑体" w:eastAsia="黑体" w:cs="黑体"/>
          <w:color w:val="000000" w:themeColor="text1"/>
          <w:sz w:val="28"/>
          <w:szCs w:val="28"/>
          <w:highlight w:val="none"/>
          <w:lang w:val="en-US" w:eastAsia="zh-CN"/>
          <w14:textFill>
            <w14:solidFill>
              <w14:schemeClr w14:val="tx1"/>
            </w14:solidFill>
          </w14:textFill>
        </w:rPr>
        <w:t>审</w:t>
      </w:r>
      <w:r>
        <w:rPr>
          <w:rFonts w:hint="eastAsia" w:ascii="黑体" w:hAnsi="黑体" w:eastAsia="黑体" w:cs="黑体"/>
          <w:color w:val="000000" w:themeColor="text1"/>
          <w:sz w:val="28"/>
          <w:szCs w:val="28"/>
          <w:highlight w:val="none"/>
          <w14:textFill>
            <w14:solidFill>
              <w14:schemeClr w14:val="tx1"/>
            </w14:solidFill>
          </w14:textFill>
        </w:rPr>
        <w:t>方法</w:t>
      </w:r>
    </w:p>
    <w:p>
      <w:pPr>
        <w:keepNext w:val="0"/>
        <w:keepLines w:val="0"/>
        <w:pageBreakBefore w:val="0"/>
        <w:widowControl w:val="0"/>
        <w:kinsoku/>
        <w:wordWrap/>
        <w:overflowPunct/>
        <w:topLinePunct w:val="0"/>
        <w:bidi w:val="0"/>
        <w:adjustRightInd/>
        <w:snapToGrid/>
        <w:spacing w:line="240" w:lineRule="auto"/>
        <w:ind w:firstLine="560" w:firstLineChars="200"/>
        <w:textAlignment w:val="auto"/>
        <w:outlineLvl w:val="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本次评审采用综合评分法，评分按技术</w:t>
      </w:r>
      <w:r>
        <w:rPr>
          <w:rFonts w:hint="eastAsia" w:ascii="仿宋_GB2312" w:hAnsi="仿宋" w:eastAsia="仿宋_GB2312"/>
          <w:color w:val="000000" w:themeColor="text1"/>
          <w:sz w:val="28"/>
          <w:szCs w:val="28"/>
          <w:highlight w:val="none"/>
          <w:lang w:eastAsia="zh-CN"/>
          <w14:textFill>
            <w14:solidFill>
              <w14:schemeClr w14:val="tx1"/>
            </w14:solidFill>
          </w14:textFill>
        </w:rPr>
        <w:t>、</w:t>
      </w:r>
      <w:r>
        <w:rPr>
          <w:rFonts w:hint="eastAsia" w:ascii="仿宋_GB2312" w:hAnsi="仿宋" w:eastAsia="仿宋_GB2312"/>
          <w:color w:val="000000" w:themeColor="text1"/>
          <w:sz w:val="28"/>
          <w:szCs w:val="28"/>
          <w:highlight w:val="none"/>
          <w14:textFill>
            <w14:solidFill>
              <w14:schemeClr w14:val="tx1"/>
            </w14:solidFill>
          </w14:textFill>
        </w:rPr>
        <w:t>商务</w:t>
      </w:r>
      <w:r>
        <w:rPr>
          <w:rFonts w:hint="eastAsia" w:ascii="仿宋_GB2312" w:hAnsi="仿宋" w:eastAsia="仿宋_GB2312"/>
          <w:color w:val="000000" w:themeColor="text1"/>
          <w:sz w:val="28"/>
          <w:szCs w:val="28"/>
          <w:highlight w:val="none"/>
          <w:lang w:eastAsia="zh-CN"/>
          <w14:textFill>
            <w14:solidFill>
              <w14:schemeClr w14:val="tx1"/>
            </w14:solidFill>
          </w14:textFill>
        </w:rPr>
        <w:t>、</w:t>
      </w:r>
      <w:r>
        <w:rPr>
          <w:rFonts w:hint="eastAsia" w:ascii="仿宋_GB2312" w:hAnsi="仿宋" w:eastAsia="仿宋_GB2312"/>
          <w:color w:val="000000" w:themeColor="text1"/>
          <w:sz w:val="28"/>
          <w:szCs w:val="28"/>
          <w:highlight w:val="none"/>
          <w14:textFill>
            <w14:solidFill>
              <w14:schemeClr w14:val="tx1"/>
            </w14:solidFill>
          </w14:textFill>
        </w:rPr>
        <w:t>价格</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三</w:t>
      </w:r>
      <w:r>
        <w:rPr>
          <w:rFonts w:hint="eastAsia" w:ascii="仿宋_GB2312" w:hAnsi="仿宋" w:eastAsia="仿宋_GB2312"/>
          <w:color w:val="000000" w:themeColor="text1"/>
          <w:sz w:val="28"/>
          <w:szCs w:val="28"/>
          <w:highlight w:val="none"/>
          <w14:textFill>
            <w14:solidFill>
              <w14:schemeClr w14:val="tx1"/>
            </w14:solidFill>
          </w14:textFill>
        </w:rPr>
        <w:t>部分分别打分的方式进行。</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三</w:t>
      </w:r>
      <w:r>
        <w:rPr>
          <w:rFonts w:hint="eastAsia" w:ascii="仿宋_GB2312" w:hAnsi="仿宋" w:eastAsia="仿宋_GB2312"/>
          <w:color w:val="000000" w:themeColor="text1"/>
          <w:sz w:val="28"/>
          <w:szCs w:val="28"/>
          <w:highlight w:val="none"/>
          <w14:textFill>
            <w14:solidFill>
              <w14:schemeClr w14:val="tx1"/>
            </w14:solidFill>
          </w14:textFill>
        </w:rPr>
        <w:t>项总分为100分，其中技术</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得分占50分、</w:t>
      </w:r>
      <w:r>
        <w:rPr>
          <w:rFonts w:hint="eastAsia" w:ascii="仿宋_GB2312" w:hAnsi="仿宋" w:eastAsia="仿宋_GB2312"/>
          <w:color w:val="000000" w:themeColor="text1"/>
          <w:sz w:val="28"/>
          <w:szCs w:val="28"/>
          <w:highlight w:val="none"/>
          <w14:textFill>
            <w14:solidFill>
              <w14:schemeClr w14:val="tx1"/>
            </w14:solidFill>
          </w14:textFill>
        </w:rPr>
        <w:t>商务占</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2</w:t>
      </w:r>
      <w:r>
        <w:rPr>
          <w:rFonts w:hint="eastAsia" w:ascii="仿宋_GB2312" w:hAnsi="仿宋" w:eastAsia="仿宋_GB2312"/>
          <w:color w:val="000000" w:themeColor="text1"/>
          <w:sz w:val="28"/>
          <w:szCs w:val="28"/>
          <w:highlight w:val="none"/>
          <w14:textFill>
            <w14:solidFill>
              <w14:schemeClr w14:val="tx1"/>
            </w14:solidFill>
          </w14:textFill>
        </w:rPr>
        <w:t>0分</w:t>
      </w:r>
      <w:r>
        <w:rPr>
          <w:rFonts w:hint="eastAsia" w:ascii="仿宋_GB2312" w:hAnsi="仿宋" w:eastAsia="仿宋_GB2312"/>
          <w:color w:val="000000" w:themeColor="text1"/>
          <w:sz w:val="28"/>
          <w:szCs w:val="28"/>
          <w:highlight w:val="none"/>
          <w:lang w:eastAsia="zh-CN"/>
          <w14:textFill>
            <w14:solidFill>
              <w14:schemeClr w14:val="tx1"/>
            </w14:solidFill>
          </w14:textFill>
        </w:rPr>
        <w:t>，</w:t>
      </w:r>
      <w:r>
        <w:rPr>
          <w:rFonts w:hint="eastAsia" w:ascii="仿宋_GB2312" w:hAnsi="仿宋" w:eastAsia="仿宋_GB2312"/>
          <w:color w:val="000000" w:themeColor="text1"/>
          <w:sz w:val="28"/>
          <w:szCs w:val="28"/>
          <w:highlight w:val="none"/>
          <w14:textFill>
            <w14:solidFill>
              <w14:schemeClr w14:val="tx1"/>
            </w14:solidFill>
          </w14:textFill>
        </w:rPr>
        <w:t>价格占30分</w:t>
      </w:r>
      <w:r>
        <w:rPr>
          <w:rFonts w:hint="eastAsia" w:ascii="仿宋_GB2312" w:hAnsi="仿宋" w:eastAsia="仿宋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548" w:firstLineChars="196"/>
        <w:jc w:val="left"/>
        <w:textAlignment w:val="auto"/>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lang w:val="en-US" w:eastAsia="zh-CN"/>
          <w14:textFill>
            <w14:solidFill>
              <w14:schemeClr w14:val="tx1"/>
            </w14:solidFill>
          </w14:textFill>
        </w:rPr>
        <w:t>二、</w:t>
      </w:r>
      <w:r>
        <w:rPr>
          <w:rFonts w:hint="eastAsia" w:ascii="黑体" w:hAnsi="黑体" w:eastAsia="黑体"/>
          <w:color w:val="000000" w:themeColor="text1"/>
          <w:sz w:val="28"/>
          <w:szCs w:val="28"/>
          <w:highlight w:val="none"/>
          <w14:textFill>
            <w14:solidFill>
              <w14:schemeClr w14:val="tx1"/>
            </w14:solidFill>
          </w14:textFill>
        </w:rPr>
        <w:t>评审步骤</w:t>
      </w:r>
    </w:p>
    <w:p>
      <w:pPr>
        <w:keepNext w:val="0"/>
        <w:keepLines w:val="0"/>
        <w:pageBreakBefore w:val="0"/>
        <w:widowControl w:val="0"/>
        <w:kinsoku/>
        <w:wordWrap/>
        <w:overflowPunct/>
        <w:topLinePunct w:val="0"/>
        <w:bidi w:val="0"/>
        <w:adjustRightInd/>
        <w:snapToGrid/>
        <w:spacing w:line="240" w:lineRule="auto"/>
        <w:ind w:firstLine="560" w:firstLineChars="200"/>
        <w:textAlignment w:val="auto"/>
        <w:outlineLvl w:val="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按</w:t>
      </w:r>
      <w:r>
        <w:rPr>
          <w:rFonts w:hint="eastAsia" w:ascii="仿宋_GB2312" w:hAnsi="仿宋" w:eastAsia="仿宋_GB2312"/>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olor w:val="000000" w:themeColor="text1"/>
          <w:sz w:val="28"/>
          <w:szCs w:val="28"/>
          <w:highlight w:val="none"/>
          <w14:textFill>
            <w14:solidFill>
              <w14:schemeClr w14:val="tx1"/>
            </w14:solidFill>
          </w14:textFill>
        </w:rPr>
        <w:t>相关规章制度进行评审，由</w:t>
      </w:r>
      <w:r>
        <w:rPr>
          <w:rFonts w:hint="eastAsia" w:ascii="仿宋_GB2312" w:hAnsi="仿宋" w:eastAsia="仿宋_GB2312"/>
          <w:color w:val="000000" w:themeColor="text1"/>
          <w:sz w:val="28"/>
          <w:szCs w:val="28"/>
          <w:highlight w:val="none"/>
          <w:lang w:eastAsia="zh-CN"/>
          <w14:textFill>
            <w14:solidFill>
              <w14:schemeClr w14:val="tx1"/>
            </w14:solidFill>
          </w14:textFill>
        </w:rPr>
        <w:t>采购方</w:t>
      </w:r>
      <w:r>
        <w:rPr>
          <w:rFonts w:hint="eastAsia" w:ascii="仿宋_GB2312" w:hAnsi="仿宋" w:eastAsia="仿宋_GB2312"/>
          <w:color w:val="000000" w:themeColor="text1"/>
          <w:sz w:val="28"/>
          <w:szCs w:val="28"/>
          <w:highlight w:val="none"/>
          <w14:textFill>
            <w14:solidFill>
              <w14:schemeClr w14:val="tx1"/>
            </w14:solidFill>
          </w14:textFill>
        </w:rPr>
        <w:t>组成评</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审委员会。</w:t>
      </w:r>
      <w:r>
        <w:rPr>
          <w:rFonts w:hint="eastAsia" w:ascii="仿宋_GB2312" w:hAnsi="仿宋" w:eastAsia="仿宋_GB2312"/>
          <w:color w:val="000000" w:themeColor="text1"/>
          <w:sz w:val="28"/>
          <w:szCs w:val="28"/>
          <w:highlight w:val="none"/>
          <w14:textFill>
            <w14:solidFill>
              <w14:schemeClr w14:val="tx1"/>
            </w14:solidFill>
          </w14:textFill>
        </w:rPr>
        <w:t>评</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审委员</w:t>
      </w:r>
      <w:r>
        <w:rPr>
          <w:rFonts w:hint="eastAsia" w:ascii="仿宋_GB2312" w:hAnsi="仿宋" w:eastAsia="仿宋_GB2312"/>
          <w:color w:val="000000" w:themeColor="text1"/>
          <w:sz w:val="28"/>
          <w:szCs w:val="28"/>
          <w:highlight w:val="none"/>
          <w14:textFill>
            <w14:solidFill>
              <w14:schemeClr w14:val="tx1"/>
            </w14:solidFill>
          </w14:textFill>
        </w:rPr>
        <w:t>对</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的报名文件进行评审，评审步骤为符合性审查、价格评审、技术商务评审、综合评价。</w:t>
      </w:r>
    </w:p>
    <w:p>
      <w:pPr>
        <w:widowControl w:val="0"/>
        <w:kinsoku/>
        <w:overflowPunct/>
        <w:topLinePunct w:val="0"/>
        <w:bidi w:val="0"/>
        <w:spacing w:line="240" w:lineRule="auto"/>
        <w:ind w:firstLine="560" w:firstLineChars="200"/>
        <w:outlineLvl w:val="0"/>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lang w:eastAsia="zh-CN"/>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一）</w:t>
      </w:r>
      <w:r>
        <w:rPr>
          <w:rFonts w:hint="eastAsia" w:ascii="楷体" w:hAnsi="楷体" w:eastAsia="楷体" w:cs="楷体"/>
          <w:color w:val="000000" w:themeColor="text1"/>
          <w:sz w:val="28"/>
          <w:szCs w:val="28"/>
          <w:highlight w:val="none"/>
          <w14:textFill>
            <w14:solidFill>
              <w14:schemeClr w14:val="tx1"/>
            </w14:solidFill>
          </w14:textFill>
        </w:rPr>
        <w:t>符合性检查</w:t>
      </w:r>
    </w:p>
    <w:p>
      <w:pPr>
        <w:widowControl w:val="0"/>
        <w:kinsoku/>
        <w:overflowPunct/>
        <w:topLinePunct w:val="0"/>
        <w:bidi w:val="0"/>
        <w:spacing w:line="240" w:lineRule="auto"/>
        <w:ind w:firstLine="560" w:firstLineChars="200"/>
        <w:outlineLvl w:val="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如报名文件实质上没有响应采购文件的要求，其报名将被拒绝，</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不得通过修正或</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撤销</w:t>
      </w:r>
      <w:r>
        <w:rPr>
          <w:rFonts w:hint="eastAsia" w:ascii="仿宋_GB2312" w:hAnsi="仿宋" w:eastAsia="仿宋_GB2312"/>
          <w:color w:val="000000" w:themeColor="text1"/>
          <w:sz w:val="28"/>
          <w:szCs w:val="28"/>
          <w:highlight w:val="none"/>
          <w14:textFill>
            <w14:solidFill>
              <w14:schemeClr w14:val="tx1"/>
            </w14:solidFill>
          </w14:textFill>
        </w:rPr>
        <w:t>报名文件内容，从而使其</w:t>
      </w:r>
      <w:r>
        <w:rPr>
          <w:rFonts w:hint="eastAsia" w:ascii="仿宋_GB2312" w:hAnsi="仿宋" w:eastAsia="仿宋_GB2312"/>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olor w:val="000000" w:themeColor="text1"/>
          <w:sz w:val="28"/>
          <w:szCs w:val="28"/>
          <w:highlight w:val="none"/>
          <w14:textFill>
            <w14:solidFill>
              <w14:schemeClr w14:val="tx1"/>
            </w14:solidFill>
          </w14:textFill>
        </w:rPr>
        <w:t>成为实质上响应的采购文件。如有不符合下列情况之一的，其</w:t>
      </w:r>
      <w:r>
        <w:rPr>
          <w:rFonts w:hint="eastAsia" w:ascii="仿宋_GB2312" w:hAnsi="仿宋" w:eastAsia="仿宋_GB2312"/>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olor w:val="000000" w:themeColor="text1"/>
          <w:sz w:val="28"/>
          <w:szCs w:val="28"/>
          <w:highlight w:val="none"/>
          <w14:textFill>
            <w14:solidFill>
              <w14:schemeClr w14:val="tx1"/>
            </w14:solidFill>
          </w14:textFill>
        </w:rPr>
        <w:t>将被拒绝：</w:t>
      </w:r>
    </w:p>
    <w:p>
      <w:pPr>
        <w:widowControl w:val="0"/>
        <w:kinsoku/>
        <w:overflowPunct/>
        <w:topLinePunct w:val="0"/>
        <w:bidi w:val="0"/>
        <w:spacing w:line="240" w:lineRule="auto"/>
        <w:ind w:firstLine="560" w:firstLineChars="200"/>
        <w:outlineLvl w:val="0"/>
        <w:rPr>
          <w:rFonts w:hint="default" w:ascii="仿宋_GB2312" w:hAnsi="仿宋" w:eastAsia="仿宋_GB2312"/>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1.</w:t>
      </w:r>
      <w:r>
        <w:rPr>
          <w:rFonts w:hint="eastAsia" w:ascii="仿宋_GB2312" w:hAnsi="仿宋" w:eastAsia="仿宋_GB2312"/>
          <w:color w:val="000000" w:themeColor="text1"/>
          <w:sz w:val="28"/>
          <w:szCs w:val="28"/>
          <w:highlight w:val="none"/>
          <w14:textFill>
            <w14:solidFill>
              <w14:schemeClr w14:val="tx1"/>
            </w14:solidFill>
          </w14:textFill>
        </w:rPr>
        <w:t>合格的</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：完全符合第一部分</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邀请</w:t>
      </w:r>
      <w:r>
        <w:rPr>
          <w:rFonts w:hint="eastAsia" w:ascii="仿宋_GB2312" w:hAnsi="仿宋" w:eastAsia="仿宋_GB2312"/>
          <w:color w:val="000000" w:themeColor="text1"/>
          <w:sz w:val="28"/>
          <w:szCs w:val="28"/>
          <w:highlight w:val="none"/>
          <w14:textFill>
            <w14:solidFill>
              <w14:schemeClr w14:val="tx1"/>
            </w14:solidFill>
          </w14:textFill>
        </w:rPr>
        <w:t>函中“合格的</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”的要求。</w:t>
      </w:r>
    </w:p>
    <w:p>
      <w:pPr>
        <w:widowControl w:val="0"/>
        <w:kinsoku/>
        <w:overflowPunct/>
        <w:topLinePunct w:val="0"/>
        <w:bidi w:val="0"/>
        <w:spacing w:line="240" w:lineRule="auto"/>
        <w:ind w:firstLine="560" w:firstLineChars="200"/>
        <w:outlineLvl w:val="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2.</w:t>
      </w:r>
      <w:r>
        <w:rPr>
          <w:rFonts w:hint="eastAsia" w:ascii="仿宋_GB2312" w:hAnsi="仿宋" w:eastAsia="仿宋_GB2312"/>
          <w:color w:val="000000" w:themeColor="text1"/>
          <w:sz w:val="28"/>
          <w:szCs w:val="28"/>
          <w:highlight w:val="none"/>
          <w14:textFill>
            <w14:solidFill>
              <w14:schemeClr w14:val="tx1"/>
            </w14:solidFill>
          </w14:textFill>
        </w:rPr>
        <w:t>报价：</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总报价和每年报价均</w:t>
      </w:r>
      <w:r>
        <w:rPr>
          <w:rFonts w:hint="eastAsia" w:ascii="仿宋_GB2312" w:hAnsi="仿宋" w:eastAsia="仿宋_GB2312"/>
          <w:color w:val="000000" w:themeColor="text1"/>
          <w:sz w:val="28"/>
          <w:szCs w:val="28"/>
          <w:highlight w:val="none"/>
          <w14:textFill>
            <w14:solidFill>
              <w14:schemeClr w14:val="tx1"/>
            </w14:solidFill>
          </w14:textFill>
        </w:rPr>
        <w:t>不得超过采购限价；在项目有效期内价格固定不变，不得以任何理由予以变更。</w:t>
      </w:r>
    </w:p>
    <w:p>
      <w:pPr>
        <w:widowControl w:val="0"/>
        <w:kinsoku/>
        <w:overflowPunct/>
        <w:topLinePunct w:val="0"/>
        <w:bidi w:val="0"/>
        <w:spacing w:line="240" w:lineRule="auto"/>
        <w:ind w:firstLine="560" w:firstLineChars="200"/>
        <w:outlineLvl w:val="0"/>
        <w:rPr>
          <w:rFonts w:hint="default" w:ascii="仿宋_GB2312" w:hAnsi="仿宋" w:eastAsia="仿宋_GB2312"/>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3.</w:t>
      </w:r>
      <w:r>
        <w:rPr>
          <w:rFonts w:hint="eastAsia" w:ascii="仿宋_GB2312" w:hAnsi="仿宋" w:eastAsia="仿宋_GB2312"/>
          <w:color w:val="000000" w:themeColor="text1"/>
          <w:sz w:val="28"/>
          <w:szCs w:val="28"/>
          <w:highlight w:val="none"/>
          <w14:textFill>
            <w14:solidFill>
              <w14:schemeClr w14:val="tx1"/>
            </w14:solidFill>
          </w14:textFill>
        </w:rPr>
        <w:t>报</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价表</w:t>
      </w:r>
      <w:r>
        <w:rPr>
          <w:rFonts w:hint="eastAsia" w:ascii="仿宋_GB2312" w:hAnsi="仿宋" w:eastAsia="仿宋_GB2312"/>
          <w:color w:val="000000" w:themeColor="text1"/>
          <w:sz w:val="28"/>
          <w:szCs w:val="28"/>
          <w:highlight w:val="none"/>
          <w14:textFill>
            <w14:solidFill>
              <w14:schemeClr w14:val="tx1"/>
            </w14:solidFill>
          </w14:textFill>
        </w:rPr>
        <w:t>：有法定代表人或授权代表签字/签章，并加盖公章。</w:t>
      </w:r>
    </w:p>
    <w:p>
      <w:pPr>
        <w:widowControl w:val="0"/>
        <w:kinsoku/>
        <w:overflowPunct/>
        <w:topLinePunct w:val="0"/>
        <w:bidi w:val="0"/>
        <w:spacing w:line="240" w:lineRule="auto"/>
        <w:ind w:firstLine="560" w:firstLineChars="200"/>
        <w:outlineLvl w:val="0"/>
        <w:rPr>
          <w:rFonts w:hint="default" w:ascii="仿宋_GB2312" w:hAnsi="仿宋" w:eastAsia="仿宋_GB2312"/>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4.报价</w:t>
      </w:r>
      <w:r>
        <w:rPr>
          <w:rFonts w:hint="eastAsia" w:ascii="仿宋_GB2312" w:hAnsi="仿宋" w:eastAsia="仿宋_GB2312"/>
          <w:color w:val="000000" w:themeColor="text1"/>
          <w:sz w:val="28"/>
          <w:szCs w:val="28"/>
          <w:highlight w:val="none"/>
          <w14:textFill>
            <w14:solidFill>
              <w14:schemeClr w14:val="tx1"/>
            </w14:solidFill>
          </w14:textFill>
        </w:rPr>
        <w:t>文件应包括本采购文件第</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五</w:t>
      </w:r>
      <w:r>
        <w:rPr>
          <w:rFonts w:hint="eastAsia" w:ascii="仿宋_GB2312" w:hAnsi="仿宋" w:eastAsia="仿宋_GB2312"/>
          <w:color w:val="000000" w:themeColor="text1"/>
          <w:sz w:val="28"/>
          <w:szCs w:val="28"/>
          <w:highlight w:val="none"/>
          <w14:textFill>
            <w14:solidFill>
              <w14:schemeClr w14:val="tx1"/>
            </w14:solidFill>
          </w14:textFill>
        </w:rPr>
        <w:t>部分《</w:t>
      </w:r>
      <w:r>
        <w:rPr>
          <w:rFonts w:hint="eastAsia" w:ascii="仿宋_GB2312" w:hAnsi="仿宋" w:eastAsia="仿宋_GB2312"/>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olor w:val="000000" w:themeColor="text1"/>
          <w:sz w:val="28"/>
          <w:szCs w:val="28"/>
          <w:highlight w:val="none"/>
          <w14:textFill>
            <w14:solidFill>
              <w14:schemeClr w14:val="tx1"/>
            </w14:solidFill>
          </w14:textFill>
        </w:rPr>
        <w:t>格式》中列明的全部资料且全部资料有加盖公章。</w:t>
      </w:r>
    </w:p>
    <w:p>
      <w:pPr>
        <w:widowControl w:val="0"/>
        <w:kinsoku/>
        <w:overflowPunct/>
        <w:topLinePunct w:val="0"/>
        <w:bidi w:val="0"/>
        <w:spacing w:line="240" w:lineRule="auto"/>
        <w:ind w:firstLine="560" w:firstLineChars="200"/>
        <w:outlineLvl w:val="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5.</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须提供法定代表人/负责人资格证明书复印件并加盖公章。</w:t>
      </w:r>
    </w:p>
    <w:p>
      <w:pPr>
        <w:widowControl w:val="0"/>
        <w:kinsoku/>
        <w:overflowPunct/>
        <w:topLinePunct w:val="0"/>
        <w:bidi w:val="0"/>
        <w:spacing w:line="240" w:lineRule="auto"/>
        <w:ind w:firstLine="560" w:firstLineChars="200"/>
        <w:outlineLvl w:val="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6.</w:t>
      </w:r>
      <w:r>
        <w:rPr>
          <w:rFonts w:hint="eastAsia" w:ascii="仿宋_GB2312" w:hAnsi="仿宋" w:eastAsia="仿宋_GB2312"/>
          <w:color w:val="000000" w:themeColor="text1"/>
          <w:sz w:val="28"/>
          <w:szCs w:val="28"/>
          <w:highlight w:val="none"/>
          <w14:textFill>
            <w14:solidFill>
              <w14:schemeClr w14:val="tx1"/>
            </w14:solidFill>
          </w14:textFill>
        </w:rPr>
        <w:t>如</w:t>
      </w:r>
      <w:r>
        <w:rPr>
          <w:rFonts w:hint="eastAsia" w:ascii="仿宋_GB2312" w:hAnsi="仿宋" w:eastAsia="仿宋_GB2312"/>
          <w:color w:val="000000" w:themeColor="text1"/>
          <w:sz w:val="28"/>
          <w:szCs w:val="28"/>
          <w:highlight w:val="none"/>
          <w:lang w:eastAsia="zh-CN"/>
          <w14:textFill>
            <w14:solidFill>
              <w14:schemeClr w14:val="tx1"/>
            </w14:solidFill>
          </w14:textFill>
        </w:rPr>
        <w:t>报名文件</w:t>
      </w:r>
      <w:r>
        <w:rPr>
          <w:rFonts w:hint="eastAsia" w:ascii="仿宋_GB2312" w:hAnsi="仿宋" w:eastAsia="仿宋_GB2312"/>
          <w:color w:val="000000" w:themeColor="text1"/>
          <w:sz w:val="28"/>
          <w:szCs w:val="28"/>
          <w:highlight w:val="none"/>
          <w14:textFill>
            <w14:solidFill>
              <w14:schemeClr w14:val="tx1"/>
            </w14:solidFill>
          </w14:textFill>
        </w:rPr>
        <w:t>签署人不是法定代表人，须提供法定代表人授权委托书。</w:t>
      </w:r>
    </w:p>
    <w:p>
      <w:pPr>
        <w:widowControl w:val="0"/>
        <w:kinsoku/>
        <w:overflowPunct/>
        <w:topLinePunct w:val="0"/>
        <w:bidi w:val="0"/>
        <w:spacing w:line="240" w:lineRule="auto"/>
        <w:ind w:firstLine="560" w:firstLineChars="200"/>
        <w:outlineLvl w:val="0"/>
        <w:rPr>
          <w:rFonts w:hint="eastAsia" w:ascii="仿宋_GB2312" w:hAnsi="仿宋" w:eastAsia="仿宋_GB2312"/>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7.报名函</w:t>
      </w:r>
      <w:r>
        <w:rPr>
          <w:rFonts w:hint="eastAsia" w:ascii="仿宋_GB2312" w:hAnsi="仿宋" w:eastAsia="仿宋_GB2312"/>
          <w:color w:val="000000" w:themeColor="text1"/>
          <w:sz w:val="28"/>
          <w:szCs w:val="28"/>
          <w:highlight w:val="none"/>
          <w14:textFill>
            <w14:solidFill>
              <w14:schemeClr w14:val="tx1"/>
            </w14:solidFill>
          </w14:textFill>
        </w:rPr>
        <w:t>：完全响应招标文件第</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六</w:t>
      </w:r>
      <w:r>
        <w:rPr>
          <w:rFonts w:hint="eastAsia" w:ascii="仿宋_GB2312" w:hAnsi="仿宋" w:eastAsia="仿宋_GB2312"/>
          <w:color w:val="000000" w:themeColor="text1"/>
          <w:sz w:val="28"/>
          <w:szCs w:val="28"/>
          <w:highlight w:val="none"/>
          <w14:textFill>
            <w14:solidFill>
              <w14:schemeClr w14:val="tx1"/>
            </w14:solidFill>
          </w14:textFill>
        </w:rPr>
        <w:t>部分中的全部</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合同</w:t>
      </w:r>
      <w:r>
        <w:rPr>
          <w:rFonts w:hint="eastAsia" w:ascii="仿宋_GB2312" w:hAnsi="仿宋" w:eastAsia="仿宋_GB2312"/>
          <w:color w:val="000000" w:themeColor="text1"/>
          <w:sz w:val="28"/>
          <w:szCs w:val="28"/>
          <w:highlight w:val="none"/>
          <w14:textFill>
            <w14:solidFill>
              <w14:schemeClr w14:val="tx1"/>
            </w14:solidFill>
          </w14:textFill>
        </w:rPr>
        <w:t>条款</w:t>
      </w:r>
      <w:r>
        <w:rPr>
          <w:rFonts w:hint="eastAsia" w:ascii="仿宋_GB2312" w:hAnsi="仿宋" w:eastAsia="仿宋_GB2312"/>
          <w:color w:val="000000" w:themeColor="text1"/>
          <w:sz w:val="28"/>
          <w:szCs w:val="28"/>
          <w:highlight w:val="none"/>
          <w:lang w:eastAsia="zh-CN"/>
          <w14:textFill>
            <w14:solidFill>
              <w14:schemeClr w14:val="tx1"/>
            </w14:solidFill>
          </w14:textFill>
        </w:rPr>
        <w:t>。</w:t>
      </w:r>
    </w:p>
    <w:p>
      <w:pPr>
        <w:widowControl w:val="0"/>
        <w:kinsoku/>
        <w:overflowPunct/>
        <w:topLinePunct w:val="0"/>
        <w:bidi w:val="0"/>
        <w:spacing w:line="240" w:lineRule="auto"/>
        <w:ind w:firstLine="560" w:firstLineChars="200"/>
        <w:outlineLvl w:val="0"/>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eastAsia="zh-CN"/>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二）</w:t>
      </w:r>
      <w:r>
        <w:rPr>
          <w:rFonts w:hint="eastAsia" w:ascii="楷体" w:hAnsi="楷体" w:eastAsia="楷体" w:cs="楷体"/>
          <w:color w:val="000000" w:themeColor="text1"/>
          <w:sz w:val="28"/>
          <w:szCs w:val="28"/>
          <w:highlight w:val="none"/>
          <w14:textFill>
            <w14:solidFill>
              <w14:schemeClr w14:val="tx1"/>
            </w14:solidFill>
          </w14:textFill>
        </w:rPr>
        <w:t>技术</w:t>
      </w:r>
      <w:r>
        <w:rPr>
          <w:rFonts w:hint="eastAsia" w:ascii="楷体" w:hAnsi="楷体" w:eastAsia="楷体" w:cs="楷体"/>
          <w:color w:val="000000" w:themeColor="text1"/>
          <w:sz w:val="28"/>
          <w:szCs w:val="28"/>
          <w:highlight w:val="none"/>
          <w:lang w:val="en-US" w:eastAsia="zh-CN"/>
          <w14:textFill>
            <w14:solidFill>
              <w14:schemeClr w14:val="tx1"/>
            </w14:solidFill>
          </w14:textFill>
        </w:rPr>
        <w:t>和商务评审（70分）</w:t>
      </w:r>
    </w:p>
    <w:p>
      <w:pPr>
        <w:pStyle w:val="26"/>
        <w:rPr>
          <w:rFonts w:hint="default"/>
          <w:lang w:val="en-US" w:eastAsia="zh-CN"/>
        </w:rPr>
      </w:pPr>
      <w:r>
        <w:rPr>
          <w:rFonts w:hint="eastAsia" w:ascii="仿宋_GB2312" w:hAnsi="仿宋" w:eastAsia="仿宋_GB2312"/>
          <w:color w:val="000000" w:themeColor="text1"/>
          <w:sz w:val="28"/>
          <w:szCs w:val="28"/>
          <w:highlight w:val="none"/>
          <w14:textFill>
            <w14:solidFill>
              <w14:schemeClr w14:val="tx1"/>
            </w14:solidFill>
          </w14:textFill>
        </w:rPr>
        <w:t>通过符合性审查的</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hAnsi="仿宋"/>
          <w:color w:val="000000" w:themeColor="text1"/>
          <w:sz w:val="28"/>
          <w:szCs w:val="28"/>
          <w:highlight w:val="none"/>
          <w:lang w:val="en-US" w:eastAsia="zh-CN"/>
          <w14:textFill>
            <w14:solidFill>
              <w14:schemeClr w14:val="tx1"/>
            </w14:solidFill>
          </w14:textFill>
        </w:rPr>
        <w:t>进入技术和商务评审环节。</w:t>
      </w:r>
    </w:p>
    <w:p>
      <w:pPr>
        <w:keepNext w:val="0"/>
        <w:keepLines w:val="0"/>
        <w:pageBreakBefore w:val="0"/>
        <w:widowControl w:val="0"/>
        <w:kinsoku/>
        <w:wordWrap/>
        <w:overflowPunct/>
        <w:topLinePunct w:val="0"/>
        <w:bidi w:val="0"/>
        <w:spacing w:line="240" w:lineRule="auto"/>
        <w:ind w:left="0" w:firstLine="562" w:firstLineChars="200"/>
        <w:textAlignment w:val="auto"/>
        <w:rPr>
          <w:rFonts w:hint="default" w:ascii="仿宋_GB2312" w:hAnsi="仿宋" w:eastAsia="仿宋_GB2312"/>
          <w:b/>
          <w:bCs/>
          <w:color w:val="000000" w:themeColor="text1"/>
          <w:sz w:val="28"/>
          <w:szCs w:val="28"/>
          <w:highlight w:val="none"/>
          <w:lang w:val="en-US" w:eastAsia="zh-CN"/>
          <w14:textFill>
            <w14:solidFill>
              <w14:schemeClr w14:val="tx1"/>
            </w14:solidFill>
          </w14:textFill>
        </w:rPr>
      </w:pPr>
      <w:r>
        <w:rPr>
          <w:rFonts w:hint="eastAsia" w:ascii="仿宋_GB2312" w:hAnsi="仿宋" w:eastAsia="仿宋_GB2312"/>
          <w:b/>
          <w:bCs/>
          <w:color w:val="000000" w:themeColor="text1"/>
          <w:sz w:val="28"/>
          <w:szCs w:val="28"/>
          <w:highlight w:val="none"/>
          <w:lang w:val="en-US" w:eastAsia="zh-CN"/>
          <w14:textFill>
            <w14:solidFill>
              <w14:schemeClr w14:val="tx1"/>
            </w14:solidFill>
          </w14:textFill>
        </w:rPr>
        <w:t>1、技术评分细则（50分）</w:t>
      </w:r>
    </w:p>
    <w:tbl>
      <w:tblPr>
        <w:tblStyle w:val="14"/>
        <w:tblW w:w="53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360"/>
        <w:gridCol w:w="6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评审内容</w:t>
            </w:r>
          </w:p>
        </w:tc>
        <w:tc>
          <w:tcPr>
            <w:tcW w:w="69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分值</w:t>
            </w:r>
          </w:p>
        </w:tc>
        <w:tc>
          <w:tcPr>
            <w:tcW w:w="3406"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p>
        </w:tc>
        <w:tc>
          <w:tcPr>
            <w:tcW w:w="69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15</w:t>
            </w:r>
          </w:p>
        </w:tc>
        <w:tc>
          <w:tcPr>
            <w:tcW w:w="3406" w:type="pct"/>
            <w:tcBorders>
              <w:tl2br w:val="nil"/>
              <w:tr2bl w:val="nil"/>
            </w:tcBorders>
            <w:shd w:val="clear" w:color="auto" w:fill="auto"/>
            <w:noWrap w:val="0"/>
            <w:vAlign w:val="center"/>
          </w:tcPr>
          <w:p>
            <w:pPr>
              <w:spacing w:line="4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1.评分依据</w:t>
            </w:r>
          </w:p>
          <w:p>
            <w:pPr>
              <w:spacing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依据供应商提供的服务方案及计划按以下标准进行</w:t>
            </w:r>
            <w:r>
              <w:rPr>
                <w:rFonts w:hint="eastAsia" w:ascii="宋体" w:hAnsi="宋体" w:cs="宋体"/>
                <w:color w:val="000000" w:themeColor="text1"/>
                <w:sz w:val="24"/>
                <w:szCs w:val="24"/>
                <w:highlight w:val="none"/>
                <w:lang w:val="en-US" w:eastAsia="zh-CN"/>
                <w14:textFill>
                  <w14:solidFill>
                    <w14:schemeClr w14:val="tx1"/>
                  </w14:solidFill>
                </w14:textFill>
              </w:rPr>
              <w:t>综合</w:t>
            </w:r>
            <w:r>
              <w:rPr>
                <w:rFonts w:hint="eastAsia" w:ascii="宋体" w:hAnsi="宋体" w:eastAsia="宋体" w:cs="宋体"/>
                <w:color w:val="000000" w:themeColor="text1"/>
                <w:sz w:val="24"/>
                <w:szCs w:val="24"/>
                <w:highlight w:val="none"/>
                <w:lang w:val="en-US" w:eastAsia="zh-CN"/>
                <w14:textFill>
                  <w14:solidFill>
                    <w14:schemeClr w14:val="tx1"/>
                  </w14:solidFill>
                </w14:textFill>
              </w:rPr>
              <w:t>比较评</w:t>
            </w:r>
            <w:r>
              <w:rPr>
                <w:rFonts w:hint="eastAsia" w:ascii="宋体" w:hAnsi="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lang w:val="en-US" w:eastAsia="zh-CN"/>
                <w14:textFill>
                  <w14:solidFill>
                    <w14:schemeClr w14:val="tx1"/>
                  </w14:solidFill>
                </w14:textFill>
              </w:rPr>
              <w:t>，确定优中差并据此打分。</w:t>
            </w:r>
          </w:p>
          <w:p>
            <w:pPr>
              <w:spacing w:line="4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2.评分标准</w:t>
            </w:r>
          </w:p>
          <w:p>
            <w:pPr>
              <w:spacing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1）优（1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分）：对项目要求理解透彻，服务方案切实可行，对用户需求完全响应，提供的服务标准、保障机制等优于采购文件要求；</w:t>
            </w:r>
          </w:p>
          <w:p>
            <w:pPr>
              <w:spacing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2）中（</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分）：对项目要求基本理解，服务方案基本可行，对用户需求完全响应，提供的服务标准、保障机制等满足采购文件要求；</w:t>
            </w:r>
          </w:p>
          <w:p>
            <w:pPr>
              <w:spacing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3）差（0-</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分）：对项目要求理解存在偏差，服务方案需要做调整，对用户需求要求存在偏离。</w:t>
            </w:r>
          </w:p>
          <w:p>
            <w:pPr>
              <w:spacing w:line="4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3.证明文件</w:t>
            </w:r>
          </w:p>
          <w:p>
            <w:pPr>
              <w:spacing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服务方案和项目实施计划。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89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数据能力</w:t>
            </w:r>
          </w:p>
        </w:tc>
        <w:tc>
          <w:tcPr>
            <w:tcW w:w="69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3406" w:type="pct"/>
            <w:tcBorders>
              <w:tl2br w:val="nil"/>
              <w:tr2bl w:val="nil"/>
            </w:tcBorders>
            <w:shd w:val="clear" w:color="auto" w:fill="auto"/>
            <w:noWrap w:val="0"/>
            <w:vAlign w:val="center"/>
          </w:tcPr>
          <w:p>
            <w:pPr>
              <w:spacing w:line="4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1.评分依据</w:t>
            </w:r>
          </w:p>
          <w:p>
            <w:pPr>
              <w:widowControl w:val="0"/>
              <w:spacing w:line="400" w:lineRule="exact"/>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依据供应商是否具有与完成本项目相关的大数据分析能力按以下标准进行</w:t>
            </w:r>
            <w:r>
              <w:rPr>
                <w:rFonts w:hint="eastAsia" w:ascii="宋体" w:hAnsi="宋体" w:cs="宋体"/>
                <w:color w:val="000000" w:themeColor="text1"/>
                <w:sz w:val="24"/>
                <w:szCs w:val="24"/>
                <w:highlight w:val="none"/>
                <w:lang w:val="en-US" w:eastAsia="zh-CN"/>
                <w14:textFill>
                  <w14:solidFill>
                    <w14:schemeClr w14:val="tx1"/>
                  </w14:solidFill>
                </w14:textFill>
              </w:rPr>
              <w:t>综合</w:t>
            </w:r>
            <w:r>
              <w:rPr>
                <w:rFonts w:hint="eastAsia" w:ascii="宋体" w:hAnsi="宋体" w:eastAsia="宋体" w:cs="宋体"/>
                <w:color w:val="000000" w:themeColor="text1"/>
                <w:sz w:val="24"/>
                <w:szCs w:val="24"/>
                <w:highlight w:val="none"/>
                <w:lang w:val="en-US" w:eastAsia="zh-CN"/>
                <w14:textFill>
                  <w14:solidFill>
                    <w14:schemeClr w14:val="tx1"/>
                  </w14:solidFill>
                </w14:textFill>
              </w:rPr>
              <w:t>比较评</w:t>
            </w:r>
            <w:r>
              <w:rPr>
                <w:rFonts w:hint="eastAsia" w:ascii="宋体" w:hAnsi="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lang w:val="en-US" w:eastAsia="zh-CN"/>
                <w14:textFill>
                  <w14:solidFill>
                    <w14:schemeClr w14:val="tx1"/>
                  </w14:solidFill>
                </w14:textFill>
              </w:rPr>
              <w:t>，确定优中差并据此打分。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2.评分标准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2.1信息化工具（5分）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1）优（4-5分）：已有成熟测评系统或信息平台；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2）中（2-3分）：已有基本可用的测评系统或信息平台；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3）差（0-1分）：没有成型的测评系统或信息理台。</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2.2大数据能力（5分）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1）优（4-5分）：信息数据库完整，每季度提供对比分析数据；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2）中（2-3分）：信息数据库相对完整，每半年提供对比分析数据；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3）差（0-1分）：信息数据库样本较少，每年提供对比分析数据。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2.3研究模型方法（5分）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1）优（4-5分）：研究所用的算法模型、调查及数据分析方法科学可行，根据采购方实际情况个性化定制。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2）中（2-3分）：研究所用算法模型、调查及数据分析方法基本可行,符合采购方的基本需求。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3）差（0-1分）：研究所用算法模型、调查及数据分析方析与本项目要求差距较大。</w:t>
            </w:r>
          </w:p>
          <w:p>
            <w:pPr>
              <w:spacing w:line="4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3.证明文件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相应的证明文件及描述性说明材料。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pct"/>
            <w:tcBorders>
              <w:tl2br w:val="nil"/>
              <w:tr2bl w:val="nil"/>
            </w:tcBorders>
            <w:shd w:val="clear" w:color="auto" w:fill="auto"/>
            <w:noWrap w:val="0"/>
            <w:vAlign w:val="center"/>
          </w:tcPr>
          <w:p>
            <w:pPr>
              <w:widowControl w:val="0"/>
              <w:spacing w:line="400" w:lineRule="exact"/>
              <w:jc w:val="center"/>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测评报告设计</w:t>
            </w:r>
          </w:p>
        </w:tc>
        <w:tc>
          <w:tcPr>
            <w:tcW w:w="69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3406" w:type="pct"/>
            <w:tcBorders>
              <w:tl2br w:val="nil"/>
              <w:tr2bl w:val="nil"/>
            </w:tcBorders>
            <w:shd w:val="clear" w:color="auto" w:fill="auto"/>
            <w:noWrap w:val="0"/>
            <w:vAlign w:val="center"/>
          </w:tcPr>
          <w:p>
            <w:pPr>
              <w:spacing w:line="400" w:lineRule="exact"/>
              <w:ind w:firstLine="0" w:firstLine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1.评分依据</w:t>
            </w:r>
          </w:p>
          <w:p>
            <w:pPr>
              <w:widowControl w:val="0"/>
              <w:spacing w:line="400" w:lineRule="exact"/>
              <w:ind w:firstLine="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依据供应商针对</w:t>
            </w:r>
            <w:r>
              <w:rPr>
                <w:rFonts w:hint="eastAsia" w:ascii="宋体" w:hAnsi="宋体" w:eastAsia="宋体" w:cs="宋体"/>
                <w:color w:val="000000" w:themeColor="text1"/>
                <w:sz w:val="24"/>
                <w:szCs w:val="24"/>
                <w:highlight w:val="none"/>
                <w:lang w:eastAsia="zh-CN"/>
                <w14:textFill>
                  <w14:solidFill>
                    <w14:schemeClr w14:val="tx1"/>
                  </w14:solidFill>
                </w14:textFill>
              </w:rPr>
              <w:t>本项目的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测评报告的框架设计按以下标准进行综合比较评审，确定优中差并据此打分。</w:t>
            </w:r>
          </w:p>
          <w:p>
            <w:pPr>
              <w:spacing w:line="400" w:lineRule="exact"/>
              <w:ind w:firstLine="0" w:firstLine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2.评分标准</w:t>
            </w:r>
          </w:p>
          <w:p>
            <w:pPr>
              <w:widowControl w:val="0"/>
              <w:spacing w:line="400" w:lineRule="exact"/>
              <w:ind w:firstLine="480" w:firstLineChars="20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1）优（7-10分）：测评维度和数据采样</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根据民航专业特点科学设计，</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报告框架</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逻辑</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清晰，</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服务工作</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重难点分析</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专业</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精</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，合理化建议切实可行。</w:t>
            </w:r>
          </w:p>
          <w:p>
            <w:pPr>
              <w:widowControl w:val="0"/>
              <w:spacing w:line="400" w:lineRule="exact"/>
              <w:ind w:firstLine="480" w:firstLineChars="200"/>
              <w:jc w:val="left"/>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2）中（3-6分）：测评维度和数据采样</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基本合理，报告框架</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相对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完整，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服务工作</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重难点分析基本到位，合理化建议基本可行。</w:t>
            </w:r>
          </w:p>
          <w:p>
            <w:pPr>
              <w:spacing w:line="400" w:lineRule="exact"/>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3）差（0-</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分）：测评维度和数据采样设</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计</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与用户需求有偏</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离</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，报告框架</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需要调整，服务工作重难点分析和合理化建设与实际有偏差。</w:t>
            </w:r>
          </w:p>
          <w:p>
            <w:pPr>
              <w:spacing w:line="400" w:lineRule="exact"/>
              <w:ind w:firstLine="0" w:firstLine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3.证明文件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w:t>
            </w:r>
            <w:r>
              <w:rPr>
                <w:rFonts w:hint="eastAsia" w:ascii="宋体" w:hAnsi="宋体" w:cs="宋体"/>
                <w:color w:val="000000" w:themeColor="text1"/>
                <w:sz w:val="24"/>
                <w:szCs w:val="24"/>
                <w:highlight w:val="none"/>
                <w:lang w:val="en-US" w:eastAsia="zh-CN"/>
                <w14:textFill>
                  <w14:solidFill>
                    <w14:schemeClr w14:val="tx1"/>
                  </w14:solidFill>
                </w14:textFill>
              </w:rPr>
              <w:t>测评报告设计方案。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pct"/>
            <w:tcBorders>
              <w:tl2br w:val="nil"/>
              <w:tr2bl w:val="nil"/>
            </w:tcBorders>
            <w:shd w:val="clear" w:color="auto" w:fill="auto"/>
            <w:noWrap w:val="0"/>
            <w:vAlign w:val="center"/>
          </w:tcPr>
          <w:p>
            <w:pPr>
              <w:widowControl w:val="0"/>
              <w:kinsoku/>
              <w:overflowPunct/>
              <w:topLinePunct w:val="0"/>
              <w:bidi w:val="0"/>
              <w:spacing w:line="400" w:lineRule="exact"/>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增值服务</w:t>
            </w:r>
          </w:p>
        </w:tc>
        <w:tc>
          <w:tcPr>
            <w:tcW w:w="698" w:type="pct"/>
            <w:tcBorders>
              <w:tl2br w:val="nil"/>
              <w:tr2bl w:val="nil"/>
            </w:tcBorders>
            <w:shd w:val="clear" w:color="auto" w:fill="auto"/>
            <w:noWrap w:val="0"/>
            <w:vAlign w:val="center"/>
          </w:tcPr>
          <w:p>
            <w:pPr>
              <w:widowControl w:val="0"/>
              <w:kinsoku/>
              <w:overflowPunct/>
              <w:topLinePunct w:val="0"/>
              <w:bidi w:val="0"/>
              <w:spacing w:line="400" w:lineRule="exact"/>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w:t>
            </w:r>
          </w:p>
        </w:tc>
        <w:tc>
          <w:tcPr>
            <w:tcW w:w="3406" w:type="pct"/>
            <w:tcBorders>
              <w:tl2br w:val="nil"/>
              <w:tr2bl w:val="nil"/>
            </w:tcBorders>
            <w:shd w:val="clear" w:color="auto" w:fill="auto"/>
            <w:noWrap w:val="0"/>
            <w:vAlign w:val="center"/>
          </w:tcPr>
          <w:p>
            <w:pPr>
              <w:widowControl/>
              <w:spacing w:line="400" w:lineRule="exact"/>
              <w:ind w:firstLine="0" w:firstLine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1.评分依据</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依据供应商</w:t>
            </w:r>
            <w:r>
              <w:rPr>
                <w:rFonts w:hint="eastAsia" w:ascii="宋体" w:hAnsi="宋体" w:eastAsia="宋体" w:cs="宋体"/>
                <w:color w:val="000000" w:themeColor="text1"/>
                <w:sz w:val="24"/>
                <w:szCs w:val="24"/>
                <w:highlight w:val="none"/>
                <w:lang w:eastAsia="zh-CN"/>
                <w14:textFill>
                  <w14:solidFill>
                    <w14:schemeClr w14:val="tx1"/>
                  </w14:solidFill>
                </w14:textFill>
              </w:rPr>
              <w:t>承诺提供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的增值数据服务，以及</w:t>
            </w:r>
            <w:r>
              <w:rPr>
                <w:rFonts w:hint="eastAsia" w:ascii="宋体" w:hAnsi="宋体" w:eastAsia="宋体" w:cs="宋体"/>
                <w:color w:val="000000" w:themeColor="text1"/>
                <w:sz w:val="24"/>
                <w:szCs w:val="24"/>
                <w:highlight w:val="none"/>
                <w:lang w:eastAsia="zh-CN"/>
                <w14:textFill>
                  <w14:solidFill>
                    <w14:schemeClr w14:val="tx1"/>
                  </w14:solidFill>
                </w14:textFill>
              </w:rPr>
              <w:t>数据来源的广度，提出建议的合理性、有效性</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进行综合比较打分。</w:t>
            </w:r>
          </w:p>
          <w:p>
            <w:pPr>
              <w:widowControl/>
              <w:spacing w:line="400" w:lineRule="exact"/>
              <w:ind w:firstLine="0" w:firstLine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2.评分标准</w:t>
            </w:r>
          </w:p>
          <w:p>
            <w:pPr>
              <w:widowControl/>
              <w:spacing w:line="400" w:lineRule="exact"/>
              <w:ind w:firstLine="482" w:firstLineChars="20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2.1与行业内其他机场对比数据（5分）</w:t>
            </w:r>
          </w:p>
          <w:p>
            <w:pPr>
              <w:widowControl/>
              <w:spacing w:line="40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承诺提供</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采购方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各成员机场的服务质量与行业内其它机场的对比数据，并</w:t>
            </w:r>
            <w:r>
              <w:rPr>
                <w:rFonts w:hint="eastAsia" w:ascii="宋体" w:hAnsi="宋体" w:eastAsia="宋体" w:cs="宋体"/>
                <w:color w:val="000000" w:themeColor="text1"/>
                <w:sz w:val="24"/>
                <w:szCs w:val="24"/>
                <w:highlight w:val="none"/>
                <w:lang w:eastAsia="zh-CN"/>
                <w14:textFill>
                  <w14:solidFill>
                    <w14:schemeClr w14:val="tx1"/>
                  </w14:solidFill>
                </w14:textFill>
              </w:rPr>
              <w:t>提供针对性的改进提升建议。</w:t>
            </w:r>
          </w:p>
          <w:p>
            <w:pPr>
              <w:widowControl/>
              <w:spacing w:line="40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优4-5分，中2-3分，差0-1分，缺项不得分。</w:t>
            </w:r>
          </w:p>
          <w:p>
            <w:pPr>
              <w:widowControl/>
              <w:spacing w:line="400" w:lineRule="exact"/>
              <w:ind w:firstLine="482" w:firstLineChars="20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2.1主要航司对机场服务评价对比数据（5分）</w:t>
            </w:r>
          </w:p>
          <w:p>
            <w:pPr>
              <w:widowControl/>
              <w:spacing w:line="400" w:lineRule="exact"/>
              <w:ind w:firstLine="480" w:firstLineChars="20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承诺提供主要航空公司对</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采购方各成员机场的</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服务评价</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与</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行业内其它机场的对比数据，并</w:t>
            </w:r>
            <w:r>
              <w:rPr>
                <w:rFonts w:hint="eastAsia" w:ascii="宋体" w:hAnsi="宋体" w:eastAsia="宋体" w:cs="宋体"/>
                <w:color w:val="000000" w:themeColor="text1"/>
                <w:sz w:val="24"/>
                <w:szCs w:val="24"/>
                <w:highlight w:val="none"/>
                <w:lang w:eastAsia="zh-CN"/>
                <w14:textFill>
                  <w14:solidFill>
                    <w14:schemeClr w14:val="tx1"/>
                  </w14:solidFill>
                </w14:textFill>
              </w:rPr>
              <w:t>提供针对性的改进提升建议。</w:t>
            </w:r>
          </w:p>
          <w:p>
            <w:pPr>
              <w:widowControl/>
              <w:spacing w:line="400" w:lineRule="exact"/>
              <w:ind w:firstLine="480" w:firstLineChars="20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优4-5分，中2-3分，差0-1分，缺项不得分。</w:t>
            </w:r>
          </w:p>
          <w:p>
            <w:pPr>
              <w:widowControl/>
              <w:kinsoku/>
              <w:overflowPunct/>
              <w:topLinePunct w:val="0"/>
              <w:bidi w:val="0"/>
              <w:adjustRightInd/>
              <w:spacing w:line="400" w:lineRule="exact"/>
              <w:ind w:firstLine="0" w:firstLineChars="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3.证明文件</w:t>
            </w:r>
          </w:p>
          <w:p>
            <w:pPr>
              <w:widowControl/>
              <w:kinsoku/>
              <w:overflowPunct/>
              <w:topLinePunct w:val="0"/>
              <w:bidi w:val="0"/>
              <w:adjustRightInd/>
              <w:spacing w:line="40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提供相应数据能力证明，及承诺书。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pct"/>
            <w:tcBorders>
              <w:tl2br w:val="nil"/>
              <w:tr2bl w:val="nil"/>
            </w:tcBorders>
            <w:shd w:val="clear" w:color="auto" w:fill="auto"/>
            <w:noWrap w:val="0"/>
            <w:vAlign w:val="center"/>
          </w:tcPr>
          <w:p>
            <w:pPr>
              <w:widowControl w:val="0"/>
              <w:kinsoku/>
              <w:overflowPunct/>
              <w:topLinePunct w:val="0"/>
              <w:bidi w:val="0"/>
              <w:spacing w:line="4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合计</w:t>
            </w:r>
          </w:p>
        </w:tc>
        <w:tc>
          <w:tcPr>
            <w:tcW w:w="698" w:type="pct"/>
            <w:tcBorders>
              <w:tl2br w:val="nil"/>
              <w:tr2bl w:val="nil"/>
            </w:tcBorders>
            <w:shd w:val="clear" w:color="auto" w:fill="auto"/>
            <w:noWrap w:val="0"/>
            <w:vAlign w:val="center"/>
          </w:tcPr>
          <w:p>
            <w:pPr>
              <w:widowControl w:val="0"/>
              <w:kinsoku/>
              <w:overflowPunct/>
              <w:topLinePunct w:val="0"/>
              <w:bidi w:val="0"/>
              <w:spacing w:line="400" w:lineRule="exact"/>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50</w:t>
            </w:r>
          </w:p>
        </w:tc>
        <w:tc>
          <w:tcPr>
            <w:tcW w:w="3406" w:type="pct"/>
            <w:tcBorders>
              <w:tl2br w:val="nil"/>
              <w:tr2bl w:val="nil"/>
            </w:tcBorders>
            <w:shd w:val="clear" w:color="auto" w:fill="auto"/>
            <w:noWrap w:val="0"/>
            <w:vAlign w:val="center"/>
          </w:tcPr>
          <w:p>
            <w:pPr>
              <w:widowControl/>
              <w:kinsoku/>
              <w:overflowPunct/>
              <w:topLinePunct w:val="0"/>
              <w:bidi w:val="0"/>
              <w:adjustRightInd/>
              <w:spacing w:line="40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r>
    </w:tbl>
    <w:p>
      <w:pPr>
        <w:keepNext w:val="0"/>
        <w:keepLines w:val="0"/>
        <w:pageBreakBefore w:val="0"/>
        <w:widowControl w:val="0"/>
        <w:kinsoku/>
        <w:wordWrap/>
        <w:overflowPunct/>
        <w:topLinePunct w:val="0"/>
        <w:bidi w:val="0"/>
        <w:adjustRightInd/>
        <w:snapToGrid/>
        <w:spacing w:line="240" w:lineRule="auto"/>
        <w:ind w:left="0" w:firstLine="562" w:firstLineChars="200"/>
        <w:jc w:val="both"/>
        <w:textAlignment w:val="auto"/>
        <w:rPr>
          <w:rFonts w:hint="default" w:ascii="仿宋_GB2312" w:hAnsi="仿宋" w:eastAsia="仿宋_GB2312"/>
          <w:b/>
          <w:bCs/>
          <w:color w:val="000000" w:themeColor="text1"/>
          <w:sz w:val="28"/>
          <w:szCs w:val="28"/>
          <w:highlight w:val="none"/>
          <w:lang w:val="en-US" w:eastAsia="zh-CN"/>
          <w14:textFill>
            <w14:solidFill>
              <w14:schemeClr w14:val="tx1"/>
            </w14:solidFill>
          </w14:textFill>
        </w:rPr>
      </w:pPr>
      <w:r>
        <w:rPr>
          <w:rFonts w:hint="eastAsia" w:ascii="仿宋_GB2312" w:hAnsi="仿宋" w:eastAsia="仿宋_GB2312"/>
          <w:b/>
          <w:bCs/>
          <w:color w:val="000000" w:themeColor="text1"/>
          <w:sz w:val="28"/>
          <w:szCs w:val="28"/>
          <w:highlight w:val="none"/>
          <w:lang w:val="en-US" w:eastAsia="zh-CN"/>
          <w14:textFill>
            <w14:solidFill>
              <w14:schemeClr w14:val="tx1"/>
            </w14:solidFill>
          </w14:textFill>
        </w:rPr>
        <w:t>2.商务评分细则（20分）</w:t>
      </w:r>
    </w:p>
    <w:tbl>
      <w:tblPr>
        <w:tblStyle w:val="14"/>
        <w:tblW w:w="53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360"/>
        <w:gridCol w:w="6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评审内容</w:t>
            </w:r>
          </w:p>
        </w:tc>
        <w:tc>
          <w:tcPr>
            <w:tcW w:w="69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分值</w:t>
            </w:r>
          </w:p>
        </w:tc>
        <w:tc>
          <w:tcPr>
            <w:tcW w:w="3406"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sz w:val="24"/>
                <w:szCs w:val="24"/>
                <w:highlight w:val="none"/>
                <w:lang w:val="en-US" w:eastAsia="zh-CN"/>
                <w14:textFill>
                  <w14:solidFill>
                    <w14:schemeClr w14:val="tx1"/>
                  </w14:solidFill>
                </w14:textFill>
              </w:rPr>
              <w:t>效业绩</w:t>
            </w:r>
          </w:p>
        </w:tc>
        <w:tc>
          <w:tcPr>
            <w:tcW w:w="69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3406" w:type="pct"/>
            <w:tcBorders>
              <w:tl2br w:val="nil"/>
              <w:tr2bl w:val="nil"/>
            </w:tcBorders>
            <w:shd w:val="clear" w:color="auto" w:fill="auto"/>
            <w:noWrap w:val="0"/>
            <w:vAlign w:val="top"/>
          </w:tcPr>
          <w:p>
            <w:pPr>
              <w:spacing w:line="4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1.评分依据</w:t>
            </w:r>
          </w:p>
          <w:p>
            <w:pPr>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依据供应商提供的“有效业绩”打分</w:t>
            </w:r>
            <w:r>
              <w:rPr>
                <w:rFonts w:hint="eastAsia" w:ascii="宋体" w:hAnsi="宋体" w:eastAsia="宋体" w:cs="宋体"/>
                <w:color w:val="000000" w:themeColor="text1"/>
                <w:sz w:val="24"/>
                <w:highlight w:val="none"/>
                <w:lang w:val="en-US" w:eastAsia="zh-CN"/>
                <w14:textFill>
                  <w14:solidFill>
                    <w14:schemeClr w14:val="tx1"/>
                  </w14:solidFill>
                </w14:textFill>
              </w:rPr>
              <w:t>。有效业绩指（同时满足以下要求）：</w:t>
            </w:r>
          </w:p>
          <w:p>
            <w:pPr>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1）合同期限：自2019年1月1日至报价截止时间，正在执行中或已完成的项目，合同期限不少于1年；</w:t>
            </w:r>
          </w:p>
          <w:p>
            <w:pPr>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2）合同金额：年均合同金额人民币30万元以上；</w:t>
            </w:r>
          </w:p>
          <w:p>
            <w:pPr>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3）应用范围：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大型企业事业单位及政府部门公众服务类测评调查项目</w:t>
            </w:r>
          </w:p>
          <w:p>
            <w:pPr>
              <w:spacing w:line="4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2.评分标准</w:t>
            </w:r>
          </w:p>
          <w:p>
            <w:pPr>
              <w:adjustRightIn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1）民航运输业相关项目业绩的每1个得1分；</w:t>
            </w:r>
          </w:p>
          <w:p>
            <w:pPr>
              <w:adjustRightInd/>
              <w:spacing w:line="40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2）非民航运输业相关项目业绩的每1个得0.5分。</w:t>
            </w:r>
          </w:p>
          <w:p>
            <w:pPr>
              <w:spacing w:line="4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3.证明文件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提供合同或协议的关键页复印件，</w:t>
            </w:r>
            <w:r>
              <w:rPr>
                <w:rFonts w:hint="eastAsia" w:ascii="宋体" w:hAnsi="宋体" w:eastAsia="宋体" w:cs="宋体"/>
                <w:color w:val="000000" w:themeColor="text1"/>
                <w:sz w:val="24"/>
                <w:szCs w:val="24"/>
                <w:highlight w:val="none"/>
                <w14:textFill>
                  <w14:solidFill>
                    <w14:schemeClr w14:val="tx1"/>
                  </w14:solidFill>
                </w14:textFill>
              </w:rPr>
              <w:t>需清晰地反映签订合同双方的单位、项目名称、含签订合同双方的落款盖章、签订日期、项目金额、业绩应用范围。合同签约主体须与</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一致。所有材料须加盖</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公章。未提供或未按要求提供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不得分</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pct"/>
            <w:tcBorders>
              <w:tl2br w:val="nil"/>
              <w:tr2bl w:val="nil"/>
            </w:tcBorders>
            <w:shd w:val="clear" w:color="auto" w:fill="auto"/>
            <w:noWrap w:val="0"/>
            <w:vAlign w:val="center"/>
          </w:tcPr>
          <w:p>
            <w:pPr>
              <w:widowControl w:val="0"/>
              <w:kinsoku/>
              <w:overflowPunct/>
              <w:topLinePunct w:val="0"/>
              <w:bidi w:val="0"/>
              <w:spacing w:line="400" w:lineRule="exact"/>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业主评价</w:t>
            </w:r>
          </w:p>
        </w:tc>
        <w:tc>
          <w:tcPr>
            <w:tcW w:w="698" w:type="pct"/>
            <w:tcBorders>
              <w:tl2br w:val="nil"/>
              <w:tr2bl w:val="nil"/>
            </w:tcBorders>
            <w:shd w:val="clear" w:color="auto" w:fill="auto"/>
            <w:noWrap w:val="0"/>
            <w:vAlign w:val="center"/>
          </w:tcPr>
          <w:p>
            <w:pPr>
              <w:widowControl w:val="0"/>
              <w:kinsoku/>
              <w:overflowPunct/>
              <w:topLinePunct w:val="0"/>
              <w:bidi w:val="0"/>
              <w:spacing w:line="400" w:lineRule="exact"/>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w:t>
            </w:r>
          </w:p>
        </w:tc>
        <w:tc>
          <w:tcPr>
            <w:tcW w:w="3406" w:type="pct"/>
            <w:tcBorders>
              <w:tl2br w:val="nil"/>
              <w:tr2bl w:val="nil"/>
            </w:tcBorders>
            <w:shd w:val="clear" w:color="auto" w:fill="auto"/>
            <w:noWrap w:val="0"/>
            <w:vAlign w:val="center"/>
          </w:tcPr>
          <w:p>
            <w:pPr>
              <w:widowControl/>
              <w:spacing w:line="400" w:lineRule="exact"/>
              <w:ind w:firstLine="0" w:firstLine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1.评分依据</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依据供应商曾获得的业主评价打分</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widowControl/>
              <w:spacing w:line="400" w:lineRule="exact"/>
              <w:ind w:firstLine="0" w:firstLine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2.评分标准</w:t>
            </w:r>
          </w:p>
          <w:p>
            <w:pPr>
              <w:widowControl/>
              <w:spacing w:line="400" w:lineRule="exact"/>
              <w:ind w:firstLine="480" w:firstLineChars="20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曾经获得过航空运输业客户良好评价的，得4分；</w:t>
            </w:r>
          </w:p>
          <w:p>
            <w:pPr>
              <w:widowControl/>
              <w:spacing w:line="400" w:lineRule="exact"/>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获得过交通运输业（除航空外）客户良好评价的，得3分；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3）获得过其他行业客户良好评价的，得2分；</w:t>
            </w:r>
          </w:p>
          <w:p>
            <w:pPr>
              <w:widowControl/>
              <w:spacing w:line="400" w:lineRule="exact"/>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4）缺项不得分。</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3.证明文件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提供相关证明材料，并加盖业主公章（如属复印件须加盖供应商公章）。</w:t>
            </w:r>
            <w:r>
              <w:rPr>
                <w:rFonts w:hint="eastAsia" w:ascii="宋体" w:hAnsi="宋体" w:eastAsia="宋体" w:cs="宋体"/>
                <w:color w:val="000000" w:themeColor="text1"/>
                <w:sz w:val="24"/>
                <w:szCs w:val="24"/>
                <w:highlight w:val="none"/>
                <w14:textFill>
                  <w14:solidFill>
                    <w14:schemeClr w14:val="tx1"/>
                  </w14:solidFill>
                </w14:textFill>
              </w:rPr>
              <w:t>未提供或未按要求提供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pct"/>
            <w:tcBorders>
              <w:tl2br w:val="nil"/>
              <w:tr2bl w:val="nil"/>
            </w:tcBorders>
            <w:shd w:val="clear" w:color="auto" w:fill="auto"/>
            <w:noWrap w:val="0"/>
            <w:vAlign w:val="center"/>
          </w:tcPr>
          <w:p>
            <w:pPr>
              <w:widowControl w:val="0"/>
              <w:kinsoku/>
              <w:overflowPunct/>
              <w:topLinePunct w:val="0"/>
              <w:bidi w:val="0"/>
              <w:adjustRightInd w:val="0"/>
              <w:spacing w:line="400" w:lineRule="exact"/>
              <w:jc w:val="center"/>
              <w:textAlignment w:val="baseline"/>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服务团队负责人</w:t>
            </w:r>
          </w:p>
        </w:tc>
        <w:tc>
          <w:tcPr>
            <w:tcW w:w="698" w:type="pct"/>
            <w:tcBorders>
              <w:tl2br w:val="nil"/>
              <w:tr2bl w:val="nil"/>
            </w:tcBorders>
            <w:shd w:val="clear" w:color="auto" w:fill="auto"/>
            <w:noWrap w:val="0"/>
            <w:vAlign w:val="center"/>
          </w:tcPr>
          <w:p>
            <w:pPr>
              <w:widowControl w:val="0"/>
              <w:kinsoku/>
              <w:overflowPunct/>
              <w:topLinePunct w:val="0"/>
              <w:bidi w:val="0"/>
              <w:spacing w:line="400" w:lineRule="exact"/>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w:t>
            </w:r>
          </w:p>
        </w:tc>
        <w:tc>
          <w:tcPr>
            <w:tcW w:w="3406" w:type="pct"/>
            <w:tcBorders>
              <w:tl2br w:val="nil"/>
              <w:tr2bl w:val="nil"/>
            </w:tcBorders>
            <w:shd w:val="clear" w:color="auto" w:fill="auto"/>
            <w:noWrap w:val="0"/>
            <w:vAlign w:val="center"/>
          </w:tcPr>
          <w:p>
            <w:pPr>
              <w:spacing w:line="4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1.评分依据</w:t>
            </w:r>
          </w:p>
          <w:p>
            <w:pPr>
              <w:spacing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依据供应商对本项目配置的服务团队负责人</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的学历、经验和业绩等</w:t>
            </w:r>
            <w:r>
              <w:rPr>
                <w:rFonts w:hint="eastAsia" w:ascii="宋体" w:hAnsi="宋体" w:eastAsia="宋体" w:cs="宋体"/>
                <w:color w:val="000000" w:themeColor="text1"/>
                <w:sz w:val="24"/>
                <w:highlight w:val="none"/>
                <w:lang w:val="en-US" w:eastAsia="zh-CN"/>
                <w14:textFill>
                  <w14:solidFill>
                    <w14:schemeClr w14:val="tx1"/>
                  </w14:solidFill>
                </w14:textFill>
              </w:rPr>
              <w:t>打分。</w:t>
            </w:r>
          </w:p>
          <w:p>
            <w:pPr>
              <w:spacing w:line="4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2.评分标准</w:t>
            </w:r>
          </w:p>
          <w:p>
            <w:pPr>
              <w:widowControl w:val="0"/>
              <w:kinsoku/>
              <w:overflowPunct/>
              <w:topLinePunct w:val="0"/>
              <w:bidi w:val="0"/>
              <w:adjustRightInd/>
              <w:spacing w:line="40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1）具有研究生或以上学历的，得1分；</w:t>
            </w:r>
          </w:p>
          <w:p>
            <w:pPr>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2）在2个以上大型企事业单位或政府机关满意度调查项目中担任负责人的得1分，每多1个项目负责人经历加1分，最多</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分；</w:t>
            </w:r>
          </w:p>
          <w:p>
            <w:pPr>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3）缺项不得分。</w:t>
            </w:r>
          </w:p>
          <w:p>
            <w:pPr>
              <w:spacing w:line="4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3.证明文件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提供服务人员</w:t>
            </w:r>
            <w:r>
              <w:rPr>
                <w:rFonts w:hint="eastAsia" w:ascii="宋体" w:hAnsi="宋体" w:eastAsia="宋体" w:cs="宋体"/>
                <w:color w:val="000000" w:themeColor="text1"/>
                <w:sz w:val="24"/>
                <w:szCs w:val="24"/>
                <w:highlight w:val="none"/>
                <w:lang w:val="en-US" w:eastAsia="zh-CN"/>
                <w14:textFill>
                  <w14:solidFill>
                    <w14:schemeClr w14:val="tx1"/>
                  </w14:solidFill>
                </w14:textFill>
              </w:rPr>
              <w:t>学历</w:t>
            </w:r>
            <w:r>
              <w:rPr>
                <w:rFonts w:hint="eastAsia" w:ascii="宋体" w:hAnsi="宋体" w:cs="宋体"/>
                <w:color w:val="000000" w:themeColor="text1"/>
                <w:sz w:val="24"/>
                <w:szCs w:val="24"/>
                <w:highlight w:val="none"/>
                <w:lang w:val="en-US" w:eastAsia="zh-CN"/>
                <w14:textFill>
                  <w14:solidFill>
                    <w14:schemeClr w14:val="tx1"/>
                  </w14:solidFill>
                </w14:textFill>
              </w:rPr>
              <w:t>经</w:t>
            </w:r>
            <w:r>
              <w:rPr>
                <w:rFonts w:hint="eastAsia" w:ascii="宋体" w:hAnsi="宋体" w:eastAsia="宋体" w:cs="宋体"/>
                <w:color w:val="000000" w:themeColor="text1"/>
                <w:sz w:val="24"/>
                <w:szCs w:val="24"/>
                <w:highlight w:val="none"/>
                <w:lang w:val="en-US" w:eastAsia="zh-CN"/>
                <w14:textFill>
                  <w14:solidFill>
                    <w14:schemeClr w14:val="tx1"/>
                  </w14:solidFill>
                </w14:textFill>
              </w:rPr>
              <w:t>明、工作</w:t>
            </w:r>
            <w:r>
              <w:rPr>
                <w:rFonts w:hint="eastAsia" w:ascii="宋体" w:hAnsi="宋体" w:eastAsia="宋体" w:cs="宋体"/>
                <w:color w:val="000000" w:themeColor="text1"/>
                <w:sz w:val="24"/>
                <w:szCs w:val="24"/>
                <w:highlight w:val="none"/>
                <w14:textFill>
                  <w14:solidFill>
                    <w14:schemeClr w14:val="tx1"/>
                  </w14:solidFill>
                </w14:textFill>
              </w:rPr>
              <w:t>经历证明（加盖</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服务团队成员</w:t>
            </w:r>
          </w:p>
        </w:tc>
        <w:tc>
          <w:tcPr>
            <w:tcW w:w="69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3406" w:type="pct"/>
            <w:tcBorders>
              <w:tl2br w:val="nil"/>
              <w:tr2bl w:val="nil"/>
            </w:tcBorders>
            <w:shd w:val="clear" w:color="auto" w:fill="auto"/>
            <w:noWrap w:val="0"/>
            <w:vAlign w:val="center"/>
          </w:tcPr>
          <w:p>
            <w:pPr>
              <w:spacing w:line="4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1.评分依据</w:t>
            </w:r>
          </w:p>
          <w:p>
            <w:pPr>
              <w:spacing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依据供应商对本项目配置的服务团队人数</w:t>
            </w:r>
            <w:r>
              <w:rPr>
                <w:rFonts w:hint="eastAsia" w:ascii="宋体" w:hAnsi="宋体" w:eastAsia="宋体" w:cs="宋体"/>
                <w:color w:val="000000" w:themeColor="text1"/>
                <w:sz w:val="24"/>
                <w:szCs w:val="24"/>
                <w:highlight w:val="none"/>
                <w:lang w:val="en-US" w:eastAsia="zh-CN"/>
                <w14:textFill>
                  <w14:solidFill>
                    <w14:schemeClr w14:val="tx1"/>
                  </w14:solidFill>
                </w14:textFill>
              </w:rPr>
              <w:t>、学历、经验等</w:t>
            </w:r>
            <w:r>
              <w:rPr>
                <w:rFonts w:hint="eastAsia" w:ascii="宋体" w:hAnsi="宋体" w:eastAsia="宋体" w:cs="宋体"/>
                <w:color w:val="000000" w:themeColor="text1"/>
                <w:sz w:val="24"/>
                <w:highlight w:val="none"/>
                <w:lang w:val="en-US" w:eastAsia="zh-CN"/>
                <w14:textFill>
                  <w14:solidFill>
                    <w14:schemeClr w14:val="tx1"/>
                  </w14:solidFill>
                </w14:textFill>
              </w:rPr>
              <w:t>打分。</w:t>
            </w:r>
          </w:p>
          <w:p>
            <w:pPr>
              <w:spacing w:line="4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2.评分标准</w:t>
            </w:r>
          </w:p>
          <w:p>
            <w:pPr>
              <w:adjustRightInd/>
              <w:spacing w:line="40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1）承诺项目每次调研派出人员不少于6人的，得1分；</w:t>
            </w:r>
          </w:p>
          <w:p>
            <w:pPr>
              <w:spacing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）全部团队成员均参与过大型企事业单位或政府机关满意度调查项目的，得1分；</w:t>
            </w:r>
          </w:p>
          <w:p>
            <w:pPr>
              <w:spacing w:line="400" w:lineRule="exact"/>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3）全部团队成员均具有本科或以上学历</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eastAsia="宋体" w:cs="宋体"/>
                <w:color w:val="000000" w:themeColor="text1"/>
                <w:sz w:val="24"/>
                <w:highlight w:val="none"/>
                <w:lang w:val="en-US" w:eastAsia="zh-CN"/>
                <w14:textFill>
                  <w14:solidFill>
                    <w14:schemeClr w14:val="tx1"/>
                  </w14:solidFill>
                </w14:textFill>
              </w:rPr>
              <w:t>得1分</w:t>
            </w:r>
            <w:r>
              <w:rPr>
                <w:rFonts w:hint="eastAsia" w:ascii="宋体" w:hAnsi="宋体" w:cs="宋体"/>
                <w:color w:val="000000" w:themeColor="text1"/>
                <w:sz w:val="24"/>
                <w:highlight w:val="none"/>
                <w:lang w:val="en-US" w:eastAsia="zh-CN"/>
                <w14:textFill>
                  <w14:solidFill>
                    <w14:schemeClr w14:val="tx1"/>
                  </w14:solidFill>
                </w14:textFill>
              </w:rPr>
              <w:t>；若</w:t>
            </w:r>
            <w:r>
              <w:rPr>
                <w:rFonts w:hint="eastAsia" w:ascii="宋体" w:hAnsi="宋体" w:eastAsia="宋体" w:cs="宋体"/>
                <w:color w:val="000000" w:themeColor="text1"/>
                <w:sz w:val="24"/>
                <w:highlight w:val="none"/>
                <w:lang w:val="en-US" w:eastAsia="zh-CN"/>
                <w14:textFill>
                  <w14:solidFill>
                    <w14:schemeClr w14:val="tx1"/>
                  </w14:solidFill>
                </w14:textFill>
              </w:rPr>
              <w:t>团队成员中有</w:t>
            </w:r>
            <w:r>
              <w:rPr>
                <w:rFonts w:hint="eastAsia" w:ascii="宋体" w:hAnsi="宋体" w:cs="宋体"/>
                <w:color w:val="000000" w:themeColor="text1"/>
                <w:sz w:val="24"/>
                <w:highlight w:val="none"/>
                <w:lang w:val="en-US" w:eastAsia="zh-CN"/>
                <w14:textFill>
                  <w14:solidFill>
                    <w14:schemeClr w14:val="tx1"/>
                  </w14:solidFill>
                </w14:textFill>
              </w:rPr>
              <w:t>2人（含）</w:t>
            </w:r>
            <w:r>
              <w:rPr>
                <w:rFonts w:hint="eastAsia" w:ascii="宋体" w:hAnsi="宋体" w:eastAsia="宋体" w:cs="宋体"/>
                <w:color w:val="000000" w:themeColor="text1"/>
                <w:sz w:val="24"/>
                <w:highlight w:val="none"/>
                <w:lang w:val="en-US" w:eastAsia="zh-CN"/>
                <w14:textFill>
                  <w14:solidFill>
                    <w14:schemeClr w14:val="tx1"/>
                  </w14:solidFill>
                </w14:textFill>
              </w:rPr>
              <w:t>以上</w:t>
            </w:r>
            <w:r>
              <w:rPr>
                <w:rFonts w:hint="eastAsia" w:ascii="宋体" w:hAnsi="宋体" w:cs="宋体"/>
                <w:color w:val="000000" w:themeColor="text1"/>
                <w:sz w:val="24"/>
                <w:highlight w:val="none"/>
                <w:lang w:val="en-US" w:eastAsia="zh-CN"/>
                <w14:textFill>
                  <w14:solidFill>
                    <w14:schemeClr w14:val="tx1"/>
                  </w14:solidFill>
                </w14:textFill>
              </w:rPr>
              <w:t>具有</w:t>
            </w:r>
            <w:r>
              <w:rPr>
                <w:rFonts w:hint="eastAsia" w:ascii="宋体" w:hAnsi="宋体" w:eastAsia="宋体" w:cs="宋体"/>
                <w:color w:val="000000" w:themeColor="text1"/>
                <w:sz w:val="24"/>
                <w:highlight w:val="none"/>
                <w:lang w:val="en-US" w:eastAsia="zh-CN"/>
                <w14:textFill>
                  <w14:solidFill>
                    <w14:schemeClr w14:val="tx1"/>
                  </w14:solidFill>
                </w14:textFill>
              </w:rPr>
              <w:t>博士研究生学历的，</w:t>
            </w:r>
            <w:r>
              <w:rPr>
                <w:rFonts w:hint="eastAsia" w:ascii="宋体" w:hAnsi="宋体" w:cs="宋体"/>
                <w:color w:val="000000" w:themeColor="text1"/>
                <w:sz w:val="24"/>
                <w:highlight w:val="none"/>
                <w:lang w:val="en-US" w:eastAsia="zh-CN"/>
                <w14:textFill>
                  <w14:solidFill>
                    <w14:schemeClr w14:val="tx1"/>
                  </w14:solidFill>
                </w14:textFill>
              </w:rPr>
              <w:t>加</w:t>
            </w:r>
            <w:r>
              <w:rPr>
                <w:rFonts w:hint="eastAsia" w:ascii="宋体" w:hAnsi="宋体" w:eastAsia="宋体" w:cs="宋体"/>
                <w:color w:val="000000" w:themeColor="text1"/>
                <w:sz w:val="24"/>
                <w:highlight w:val="none"/>
                <w:lang w:val="en-US" w:eastAsia="zh-CN"/>
                <w14:textFill>
                  <w14:solidFill>
                    <w14:schemeClr w14:val="tx1"/>
                  </w14:solidFill>
                </w14:textFill>
              </w:rPr>
              <w:t>1分</w:t>
            </w:r>
            <w:r>
              <w:rPr>
                <w:rFonts w:hint="eastAsia" w:ascii="宋体" w:hAnsi="宋体" w:cs="宋体"/>
                <w:color w:val="000000" w:themeColor="text1"/>
                <w:sz w:val="24"/>
                <w:highlight w:val="none"/>
                <w:lang w:val="en-US" w:eastAsia="zh-CN"/>
                <w14:textFill>
                  <w14:solidFill>
                    <w14:schemeClr w14:val="tx1"/>
                  </w14:solidFill>
                </w14:textFill>
              </w:rPr>
              <w:t>。</w:t>
            </w:r>
          </w:p>
          <w:p>
            <w:pPr>
              <w:spacing w:line="400" w:lineRule="exact"/>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团队成员中有2人（含）以上具有</w:t>
            </w:r>
            <w:r>
              <w:rPr>
                <w:rFonts w:hint="eastAsia" w:ascii="宋体" w:hAnsi="宋体" w:cs="宋体"/>
                <w:color w:val="000000" w:themeColor="text1"/>
                <w:sz w:val="24"/>
                <w:highlight w:val="none"/>
                <w:lang w:val="en-US" w:eastAsia="zh-CN"/>
                <w14:textFill>
                  <w14:solidFill>
                    <w14:schemeClr w14:val="tx1"/>
                  </w14:solidFill>
                </w14:textFill>
              </w:rPr>
              <w:t>高级职称的，得1分。</w:t>
            </w:r>
          </w:p>
          <w:p>
            <w:pPr>
              <w:spacing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）缺项不得分。</w:t>
            </w:r>
          </w:p>
          <w:p>
            <w:pPr>
              <w:spacing w:line="4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3.证明文件</w:t>
            </w:r>
          </w:p>
          <w:p>
            <w:pPr>
              <w:adjustRightInd/>
              <w:spacing w:line="40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团队人员配置及相应的学历、工作经历证明</w:t>
            </w:r>
            <w:r>
              <w:rPr>
                <w:rFonts w:hint="eastAsia" w:ascii="宋体" w:hAnsi="宋体" w:eastAsia="宋体" w:cs="宋体"/>
                <w:color w:val="000000" w:themeColor="text1"/>
                <w:sz w:val="24"/>
                <w:szCs w:val="24"/>
                <w:highlight w:val="none"/>
                <w14:textFill>
                  <w14:solidFill>
                    <w14:schemeClr w14:val="tx1"/>
                  </w14:solidFill>
                </w14:textFill>
              </w:rPr>
              <w:t>（加盖</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合计</w:t>
            </w:r>
          </w:p>
        </w:tc>
        <w:tc>
          <w:tcPr>
            <w:tcW w:w="69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p>
        </w:tc>
        <w:tc>
          <w:tcPr>
            <w:tcW w:w="3406"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tc>
      </w:tr>
    </w:tbl>
    <w:p>
      <w:pPr>
        <w:keepNext w:val="0"/>
        <w:keepLines w:val="0"/>
        <w:pageBreakBefore w:val="0"/>
        <w:widowControl w:val="0"/>
        <w:kinsoku/>
        <w:wordWrap/>
        <w:overflowPunct/>
        <w:topLinePunct w:val="0"/>
        <w:bidi w:val="0"/>
        <w:adjustRightInd/>
        <w:snapToGrid/>
        <w:spacing w:line="240" w:lineRule="auto"/>
        <w:ind w:left="0" w:firstLine="562" w:firstLineChars="200"/>
        <w:jc w:val="both"/>
        <w:textAlignment w:val="auto"/>
        <w:rPr>
          <w:rFonts w:hint="eastAsia" w:ascii="仿宋_GB2312" w:hAnsi="仿宋" w:eastAsia="仿宋_GB2312" w:cs="Times New Roman"/>
          <w:color w:val="000000" w:themeColor="text1"/>
          <w:sz w:val="28"/>
          <w:szCs w:val="28"/>
          <w:highlight w:val="none"/>
          <w14:textFill>
            <w14:solidFill>
              <w14:schemeClr w14:val="tx1"/>
            </w14:solidFill>
          </w14:textFill>
        </w:rPr>
      </w:pPr>
      <w:r>
        <w:rPr>
          <w:rFonts w:hint="eastAsia" w:ascii="仿宋_GB2312" w:hAnsi="仿宋" w:eastAsia="仿宋_GB2312"/>
          <w:b/>
          <w:bCs/>
          <w:color w:val="000000" w:themeColor="text1"/>
          <w:sz w:val="28"/>
          <w:szCs w:val="28"/>
          <w:highlight w:val="none"/>
          <w:lang w:val="en-US" w:eastAsia="zh-CN"/>
          <w14:textFill>
            <w14:solidFill>
              <w14:schemeClr w14:val="tx1"/>
            </w14:solidFill>
          </w14:textFill>
        </w:rPr>
        <w:t>3.计算方法：</w:t>
      </w:r>
      <w:r>
        <w:rPr>
          <w:rFonts w:hint="eastAsia" w:ascii="仿宋_GB2312" w:hAnsi="仿宋" w:eastAsia="仿宋_GB2312" w:cs="Times New Roman"/>
          <w:color w:val="000000" w:themeColor="text1"/>
          <w:sz w:val="28"/>
          <w:szCs w:val="28"/>
          <w:highlight w:val="none"/>
          <w14:textFill>
            <w14:solidFill>
              <w14:schemeClr w14:val="tx1"/>
            </w14:solidFill>
          </w14:textFill>
        </w:rPr>
        <w:t>按照评审程序、评分标准，评审委员会各成员分别就各个</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供应商</w:t>
      </w:r>
      <w:r>
        <w:rPr>
          <w:rFonts w:hint="eastAsia" w:ascii="仿宋_GB2312" w:hAnsi="仿宋" w:eastAsia="仿宋_GB2312" w:cs="Times New Roman"/>
          <w:color w:val="000000" w:themeColor="text1"/>
          <w:sz w:val="28"/>
          <w:szCs w:val="28"/>
          <w:highlight w:val="none"/>
          <w14:textFill>
            <w14:solidFill>
              <w14:schemeClr w14:val="tx1"/>
            </w14:solidFill>
          </w14:textFill>
        </w:rPr>
        <w:t>的技术状况、商务状况及其对采购文件要求的响应情况进行评议和比较，评出其技术</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w:t>
      </w:r>
      <w:r>
        <w:rPr>
          <w:rFonts w:hint="eastAsia" w:ascii="仿宋_GB2312" w:hAnsi="仿宋" w:eastAsia="仿宋_GB2312" w:cs="Times New Roman"/>
          <w:color w:val="000000" w:themeColor="text1"/>
          <w:sz w:val="28"/>
          <w:szCs w:val="28"/>
          <w:highlight w:val="none"/>
          <w14:textFill>
            <w14:solidFill>
              <w14:schemeClr w14:val="tx1"/>
            </w14:solidFill>
          </w14:textFill>
        </w:rPr>
        <w:t>商务评分。各评委的技术</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w:t>
      </w:r>
      <w:r>
        <w:rPr>
          <w:rFonts w:hint="eastAsia" w:ascii="仿宋_GB2312" w:hAnsi="仿宋" w:eastAsia="仿宋_GB2312" w:cs="Times New Roman"/>
          <w:color w:val="000000" w:themeColor="text1"/>
          <w:sz w:val="28"/>
          <w:szCs w:val="28"/>
          <w:highlight w:val="none"/>
          <w14:textFill>
            <w14:solidFill>
              <w14:schemeClr w14:val="tx1"/>
            </w14:solidFill>
          </w14:textFill>
        </w:rPr>
        <w:t>商务评分算术平均值即为该报价人的技术</w:t>
      </w:r>
      <w:r>
        <w:rPr>
          <w:rFonts w:hint="eastAsia" w:ascii="仿宋_GB2312" w:hAnsi="仿宋" w:eastAsia="仿宋_GB2312" w:cs="Times New Roman"/>
          <w:color w:val="000000" w:themeColor="text1"/>
          <w:sz w:val="28"/>
          <w:szCs w:val="28"/>
          <w:highlight w:val="none"/>
          <w:lang w:eastAsia="zh-CN"/>
          <w14:textFill>
            <w14:solidFill>
              <w14:schemeClr w14:val="tx1"/>
            </w14:solidFill>
          </w14:textFill>
        </w:rPr>
        <w:t>、</w:t>
      </w:r>
      <w:r>
        <w:rPr>
          <w:rFonts w:hint="eastAsia" w:ascii="仿宋_GB2312" w:hAnsi="仿宋" w:eastAsia="仿宋_GB2312" w:cs="Times New Roman"/>
          <w:color w:val="000000" w:themeColor="text1"/>
          <w:sz w:val="28"/>
          <w:szCs w:val="28"/>
          <w:highlight w:val="none"/>
          <w14:textFill>
            <w14:solidFill>
              <w14:schemeClr w14:val="tx1"/>
            </w14:solidFill>
          </w14:textFill>
        </w:rPr>
        <w:t>商务评分。</w:t>
      </w:r>
    </w:p>
    <w:p>
      <w:pPr>
        <w:keepNext w:val="0"/>
        <w:keepLines w:val="0"/>
        <w:pageBreakBefore w:val="0"/>
        <w:widowControl w:val="0"/>
        <w:kinsoku/>
        <w:wordWrap/>
        <w:overflowPunct/>
        <w:topLinePunct w:val="0"/>
        <w:bidi w:val="0"/>
        <w:adjustRightInd/>
        <w:snapToGrid/>
        <w:spacing w:line="240" w:lineRule="auto"/>
        <w:ind w:left="0" w:firstLine="560" w:firstLineChars="200"/>
        <w:jc w:val="both"/>
        <w:textAlignment w:val="auto"/>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技术商务得分从高到低排序，排在前5名的</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进入下一阶段的价格评审。不能进入价格评审的</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不进入综合得分的计算和最终排名。</w:t>
      </w:r>
    </w:p>
    <w:p>
      <w:pPr>
        <w:keepNext w:val="0"/>
        <w:keepLines w:val="0"/>
        <w:pageBreakBefore w:val="0"/>
        <w:widowControl w:val="0"/>
        <w:kinsoku/>
        <w:wordWrap/>
        <w:overflowPunct/>
        <w:topLinePunct w:val="0"/>
        <w:bidi w:val="0"/>
        <w:adjustRightInd/>
        <w:snapToGrid/>
        <w:spacing w:line="240" w:lineRule="auto"/>
        <w:ind w:firstLine="560" w:firstLineChars="200"/>
        <w:jc w:val="both"/>
        <w:textAlignment w:val="auto"/>
        <w:outlineLvl w:val="0"/>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t>（三）价格评审（30分）</w:t>
      </w:r>
    </w:p>
    <w:p>
      <w:pPr>
        <w:keepNext w:val="0"/>
        <w:keepLines w:val="0"/>
        <w:pageBreakBefore w:val="0"/>
        <w:widowControl w:val="0"/>
        <w:kinsoku/>
        <w:wordWrap/>
        <w:overflowPunct/>
        <w:topLinePunct w:val="0"/>
        <w:bidi w:val="0"/>
        <w:adjustRightInd/>
        <w:snapToGrid/>
        <w:spacing w:line="240" w:lineRule="auto"/>
        <w:ind w:left="0" w:firstLine="560" w:firstLineChars="200"/>
        <w:jc w:val="both"/>
        <w:textAlignment w:val="auto"/>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1.</w:t>
      </w:r>
      <w:r>
        <w:rPr>
          <w:rFonts w:hint="eastAsia" w:ascii="仿宋_GB2312" w:hAnsi="仿宋" w:eastAsia="仿宋_GB2312"/>
          <w:color w:val="000000" w:themeColor="text1"/>
          <w:sz w:val="28"/>
          <w:szCs w:val="28"/>
          <w:highlight w:val="none"/>
          <w14:textFill>
            <w14:solidFill>
              <w14:schemeClr w14:val="tx1"/>
            </w14:solidFill>
          </w14:textFill>
        </w:rPr>
        <w:t>价格评审为客观计算得分，总分为30分。价格得分计算方法如下：</w:t>
      </w:r>
    </w:p>
    <w:p>
      <w:pPr>
        <w:keepNext w:val="0"/>
        <w:keepLines w:val="0"/>
        <w:pageBreakBefore w:val="0"/>
        <w:widowControl w:val="0"/>
        <w:kinsoku/>
        <w:wordWrap/>
        <w:overflowPunct/>
        <w:topLinePunct w:val="0"/>
        <w:bidi w:val="0"/>
        <w:adjustRightInd/>
        <w:snapToGrid/>
        <w:spacing w:line="240" w:lineRule="auto"/>
        <w:ind w:left="0" w:firstLine="560" w:firstLineChars="200"/>
        <w:jc w:val="both"/>
        <w:textAlignment w:val="auto"/>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取进入价格评审阶段的全部</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的最终有效</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总</w:t>
      </w:r>
      <w:r>
        <w:rPr>
          <w:rFonts w:hint="eastAsia" w:ascii="仿宋_GB2312" w:hAnsi="仿宋" w:eastAsia="仿宋_GB2312"/>
          <w:color w:val="000000" w:themeColor="text1"/>
          <w:sz w:val="28"/>
          <w:szCs w:val="28"/>
          <w:highlight w:val="none"/>
          <w14:textFill>
            <w14:solidFill>
              <w14:schemeClr w14:val="tx1"/>
            </w14:solidFill>
          </w14:textFill>
        </w:rPr>
        <w:t>报价的算术平均值为基准价。</w:t>
      </w:r>
    </w:p>
    <w:p>
      <w:pPr>
        <w:keepNext w:val="0"/>
        <w:keepLines w:val="0"/>
        <w:pageBreakBefore w:val="0"/>
        <w:widowControl w:val="0"/>
        <w:kinsoku/>
        <w:wordWrap/>
        <w:overflowPunct/>
        <w:topLinePunct w:val="0"/>
        <w:bidi w:val="0"/>
        <w:adjustRightInd/>
        <w:snapToGrid/>
        <w:spacing w:line="240" w:lineRule="auto"/>
        <w:ind w:left="0" w:firstLine="560" w:firstLineChars="200"/>
        <w:jc w:val="both"/>
        <w:textAlignment w:val="auto"/>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lang w:eastAsia="zh-CN"/>
          <w14:textFill>
            <w14:solidFill>
              <w14:schemeClr w14:val="tx1"/>
            </w14:solidFill>
          </w14:textFill>
        </w:rPr>
        <w:t>（</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1）</w:t>
      </w:r>
      <w:r>
        <w:rPr>
          <w:rFonts w:hint="eastAsia" w:ascii="仿宋_GB2312" w:hAnsi="仿宋" w:eastAsia="仿宋_GB2312"/>
          <w:color w:val="000000" w:themeColor="text1"/>
          <w:sz w:val="28"/>
          <w:szCs w:val="28"/>
          <w:highlight w:val="none"/>
          <w14:textFill>
            <w14:solidFill>
              <w14:schemeClr w14:val="tx1"/>
            </w14:solidFill>
          </w14:textFill>
        </w:rPr>
        <w:t>总报价等于基准价时，得满分30分。</w:t>
      </w:r>
    </w:p>
    <w:p>
      <w:pPr>
        <w:keepNext w:val="0"/>
        <w:keepLines w:val="0"/>
        <w:pageBreakBefore w:val="0"/>
        <w:widowControl w:val="0"/>
        <w:kinsoku/>
        <w:wordWrap/>
        <w:overflowPunct/>
        <w:topLinePunct w:val="0"/>
        <w:bidi w:val="0"/>
        <w:adjustRightInd/>
        <w:snapToGrid/>
        <w:spacing w:line="240" w:lineRule="auto"/>
        <w:ind w:left="0" w:firstLine="560" w:firstLineChars="200"/>
        <w:jc w:val="both"/>
        <w:textAlignment w:val="auto"/>
        <w:rPr>
          <w:rFonts w:hint="eastAsia" w:ascii="仿宋_GB2312" w:hAnsi="仿宋" w:eastAsia="仿宋_GB2312"/>
          <w:color w:val="000000" w:themeColor="text1"/>
          <w:sz w:val="28"/>
          <w:szCs w:val="28"/>
          <w:highlight w:val="none"/>
          <w:lang w:eastAsia="zh-CN"/>
          <w14:textFill>
            <w14:solidFill>
              <w14:schemeClr w14:val="tx1"/>
            </w14:solidFill>
          </w14:textFill>
        </w:rPr>
      </w:pPr>
      <w:r>
        <w:rPr>
          <w:rFonts w:hint="eastAsia" w:ascii="仿宋_GB2312" w:hAnsi="仿宋" w:eastAsia="仿宋_GB2312"/>
          <w:color w:val="000000" w:themeColor="text1"/>
          <w:sz w:val="28"/>
          <w:szCs w:val="28"/>
          <w:highlight w:val="none"/>
          <w:lang w:eastAsia="zh-CN"/>
          <w14:textFill>
            <w14:solidFill>
              <w14:schemeClr w14:val="tx1"/>
            </w14:solidFill>
          </w14:textFill>
        </w:rPr>
        <w:t>（</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2）</w:t>
      </w:r>
      <w:r>
        <w:rPr>
          <w:rFonts w:hint="eastAsia" w:ascii="仿宋_GB2312" w:hAnsi="仿宋" w:eastAsia="仿宋_GB2312"/>
          <w:color w:val="000000" w:themeColor="text1"/>
          <w:sz w:val="28"/>
          <w:szCs w:val="28"/>
          <w:highlight w:val="none"/>
          <w14:textFill>
            <w14:solidFill>
              <w14:schemeClr w14:val="tx1"/>
            </w14:solidFill>
          </w14:textFill>
        </w:rPr>
        <w:t>总报价与基准价进行比较，计算出报价的评分值，即</w:t>
      </w:r>
      <w:r>
        <w:rPr>
          <w:rFonts w:hint="eastAsia" w:ascii="仿宋_GB2312" w:hAnsi="仿宋" w:eastAsia="仿宋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240" w:lineRule="auto"/>
        <w:ind w:left="0" w:firstLine="560" w:firstLineChars="200"/>
        <w:jc w:val="both"/>
        <w:textAlignment w:val="auto"/>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总报价每低于基准价1%，在30分的基础上扣0.</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4</w:t>
      </w:r>
      <w:r>
        <w:rPr>
          <w:rFonts w:hint="eastAsia" w:ascii="仿宋_GB2312" w:hAnsi="仿宋" w:eastAsia="仿宋_GB2312"/>
          <w:color w:val="000000" w:themeColor="text1"/>
          <w:sz w:val="28"/>
          <w:szCs w:val="28"/>
          <w:highlight w:val="none"/>
          <w14:textFill>
            <w14:solidFill>
              <w14:schemeClr w14:val="tx1"/>
            </w14:solidFill>
          </w14:textFill>
        </w:rPr>
        <w:t>分，用插值法计算；</w:t>
      </w:r>
    </w:p>
    <w:p>
      <w:pPr>
        <w:keepNext w:val="0"/>
        <w:keepLines w:val="0"/>
        <w:pageBreakBefore w:val="0"/>
        <w:widowControl w:val="0"/>
        <w:kinsoku/>
        <w:wordWrap/>
        <w:overflowPunct/>
        <w:topLinePunct w:val="0"/>
        <w:bidi w:val="0"/>
        <w:adjustRightInd/>
        <w:snapToGrid/>
        <w:spacing w:line="240" w:lineRule="auto"/>
        <w:ind w:left="0" w:firstLine="560" w:firstLineChars="200"/>
        <w:jc w:val="both"/>
        <w:textAlignment w:val="auto"/>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总报价每高于基准价1%，在30分的基础上扣0.</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2</w:t>
      </w:r>
      <w:r>
        <w:rPr>
          <w:rFonts w:hint="eastAsia" w:ascii="仿宋_GB2312" w:hAnsi="仿宋" w:eastAsia="仿宋_GB2312"/>
          <w:color w:val="000000" w:themeColor="text1"/>
          <w:sz w:val="28"/>
          <w:szCs w:val="28"/>
          <w:highlight w:val="none"/>
          <w14:textFill>
            <w14:solidFill>
              <w14:schemeClr w14:val="tx1"/>
            </w14:solidFill>
          </w14:textFill>
        </w:rPr>
        <w:t>分，用插值法计算；</w:t>
      </w:r>
    </w:p>
    <w:p>
      <w:pPr>
        <w:keepNext w:val="0"/>
        <w:keepLines w:val="0"/>
        <w:pageBreakBefore w:val="0"/>
        <w:widowControl w:val="0"/>
        <w:kinsoku/>
        <w:wordWrap/>
        <w:overflowPunct/>
        <w:topLinePunct w:val="0"/>
        <w:bidi w:val="0"/>
        <w:adjustRightInd/>
        <w:snapToGrid/>
        <w:spacing w:line="240" w:lineRule="auto"/>
        <w:ind w:left="0" w:firstLine="560" w:firstLineChars="200"/>
        <w:jc w:val="both"/>
        <w:textAlignment w:val="auto"/>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以上内容计算报价分时，保留小数点后2位，小数点后第三位四舍五入。</w:t>
      </w:r>
    </w:p>
    <w:p>
      <w:pPr>
        <w:keepNext w:val="0"/>
        <w:keepLines w:val="0"/>
        <w:pageBreakBefore w:val="0"/>
        <w:spacing w:line="240" w:lineRule="auto"/>
        <w:ind w:firstLine="560" w:firstLineChars="200"/>
        <w:textAlignment w:val="auto"/>
        <w:rPr>
          <w:rFonts w:hint="eastAsia"/>
          <w:color w:val="000000" w:themeColor="text1"/>
          <w:highlight w:val="none"/>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2.</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不得以低于成本价投标。如果评</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审</w:t>
      </w:r>
      <w:r>
        <w:rPr>
          <w:rFonts w:hint="eastAsia" w:ascii="仿宋_GB2312" w:hAnsi="仿宋" w:eastAsia="仿宋_GB2312"/>
          <w:color w:val="000000" w:themeColor="text1"/>
          <w:sz w:val="28"/>
          <w:szCs w:val="28"/>
          <w:highlight w:val="none"/>
          <w14:textFill>
            <w14:solidFill>
              <w14:schemeClr w14:val="tx1"/>
            </w14:solidFill>
          </w14:textFill>
        </w:rPr>
        <w:t>委</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员会</w:t>
      </w:r>
      <w:r>
        <w:rPr>
          <w:rFonts w:hint="eastAsia" w:ascii="仿宋_GB2312" w:hAnsi="仿宋" w:eastAsia="仿宋_GB2312"/>
          <w:color w:val="000000" w:themeColor="text1"/>
          <w:sz w:val="28"/>
          <w:szCs w:val="28"/>
          <w:highlight w:val="none"/>
          <w14:textFill>
            <w14:solidFill>
              <w14:schemeClr w14:val="tx1"/>
            </w14:solidFill>
          </w14:textFill>
        </w:rPr>
        <w:t>发现</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的报价（总价或</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年度</w:t>
      </w:r>
      <w:r>
        <w:rPr>
          <w:rFonts w:hint="eastAsia" w:ascii="仿宋_GB2312" w:hAnsi="仿宋" w:eastAsia="仿宋_GB2312"/>
          <w:color w:val="000000" w:themeColor="text1"/>
          <w:sz w:val="28"/>
          <w:szCs w:val="28"/>
          <w:highlight w:val="none"/>
          <w14:textFill>
            <w14:solidFill>
              <w14:schemeClr w14:val="tx1"/>
            </w14:solidFill>
          </w14:textFill>
        </w:rPr>
        <w:t>报价）低于投标</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限</w:t>
      </w:r>
      <w:r>
        <w:rPr>
          <w:rFonts w:hint="eastAsia" w:ascii="仿宋_GB2312" w:hAnsi="仿宋" w:eastAsia="仿宋_GB2312"/>
          <w:color w:val="000000" w:themeColor="text1"/>
          <w:sz w:val="28"/>
          <w:szCs w:val="28"/>
          <w:highlight w:val="none"/>
          <w14:textFill>
            <w14:solidFill>
              <w14:schemeClr w14:val="tx1"/>
            </w14:solidFill>
          </w14:textFill>
        </w:rPr>
        <w:t>价</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的60%</w:t>
      </w:r>
      <w:r>
        <w:rPr>
          <w:rFonts w:hint="eastAsia" w:ascii="仿宋_GB2312" w:hAnsi="仿宋" w:eastAsia="仿宋_GB2312"/>
          <w:color w:val="000000" w:themeColor="text1"/>
          <w:sz w:val="28"/>
          <w:szCs w:val="28"/>
          <w:highlight w:val="none"/>
          <w14:textFill>
            <w14:solidFill>
              <w14:schemeClr w14:val="tx1"/>
            </w14:solidFill>
          </w14:textFill>
        </w:rPr>
        <w:t>，且投标文件并未对此进行详细分析</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说明</w:t>
      </w:r>
      <w:r>
        <w:rPr>
          <w:rFonts w:hint="eastAsia" w:ascii="仿宋_GB2312" w:hAnsi="仿宋" w:eastAsia="仿宋_GB2312"/>
          <w:color w:val="000000" w:themeColor="text1"/>
          <w:sz w:val="28"/>
          <w:szCs w:val="28"/>
          <w:highlight w:val="none"/>
          <w14:textFill>
            <w14:solidFill>
              <w14:schemeClr w14:val="tx1"/>
            </w14:solidFill>
          </w14:textFill>
        </w:rPr>
        <w:t>，评审委员会可将其定为无效投标。</w:t>
      </w:r>
    </w:p>
    <w:p>
      <w:pPr>
        <w:keepNext w:val="0"/>
        <w:keepLines w:val="0"/>
        <w:pageBreakBefore w:val="0"/>
        <w:widowControl w:val="0"/>
        <w:kinsoku/>
        <w:wordWrap/>
        <w:overflowPunct/>
        <w:topLinePunct w:val="0"/>
        <w:bidi w:val="0"/>
        <w:adjustRightInd/>
        <w:snapToGrid/>
        <w:spacing w:line="240" w:lineRule="auto"/>
        <w:ind w:firstLine="560" w:firstLineChars="200"/>
        <w:jc w:val="both"/>
        <w:textAlignment w:val="auto"/>
        <w:outlineLvl w:val="0"/>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t>（四）综合比较与评价。</w:t>
      </w:r>
    </w:p>
    <w:p>
      <w:pPr>
        <w:keepNext w:val="0"/>
        <w:keepLines w:val="0"/>
        <w:pageBreakBefore w:val="0"/>
        <w:widowControl w:val="0"/>
        <w:kinsoku/>
        <w:wordWrap/>
        <w:overflowPunct/>
        <w:topLinePunct w:val="0"/>
        <w:bidi w:val="0"/>
        <w:adjustRightInd/>
        <w:snapToGrid/>
        <w:spacing w:line="240" w:lineRule="auto"/>
        <w:ind w:firstLine="560" w:firstLineChars="200"/>
        <w:jc w:val="both"/>
        <w:textAlignment w:val="auto"/>
        <w:outlineLvl w:val="0"/>
        <w:rPr>
          <w:rFonts w:hint="eastAsia" w:ascii="仿宋_GB2312" w:hAnsi="仿宋" w:eastAsia="仿宋_GB2312"/>
          <w:color w:val="000000" w:themeColor="text1"/>
          <w:sz w:val="28"/>
          <w:szCs w:val="28"/>
          <w:highlight w:val="none"/>
          <w:lang w:eastAsia="zh-CN"/>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根据每个</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在上述各评审阶段中的得分，采用下面公式算出每个进入价格评审阶段的</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的综合得分：</w:t>
      </w:r>
    </w:p>
    <w:p>
      <w:pPr>
        <w:keepNext w:val="0"/>
        <w:keepLines w:val="0"/>
        <w:pageBreakBefore w:val="0"/>
        <w:widowControl w:val="0"/>
        <w:kinsoku/>
        <w:wordWrap/>
        <w:overflowPunct/>
        <w:topLinePunct w:val="0"/>
        <w:bidi w:val="0"/>
        <w:adjustRightInd/>
        <w:snapToGrid/>
        <w:spacing w:line="240" w:lineRule="auto"/>
        <w:ind w:firstLine="560" w:firstLineChars="200"/>
        <w:jc w:val="both"/>
        <w:textAlignment w:val="auto"/>
        <w:outlineLvl w:val="0"/>
        <w:rPr>
          <w:rFonts w:hint="eastAsia" w:ascii="仿宋_GB2312" w:hAnsi="仿宋" w:eastAsia="仿宋_GB2312"/>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W＝C＋T</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+M</w:t>
      </w:r>
    </w:p>
    <w:p>
      <w:pPr>
        <w:keepNext w:val="0"/>
        <w:keepLines w:val="0"/>
        <w:pageBreakBefore w:val="0"/>
        <w:widowControl w:val="0"/>
        <w:kinsoku/>
        <w:wordWrap/>
        <w:overflowPunct/>
        <w:topLinePunct w:val="0"/>
        <w:bidi w:val="0"/>
        <w:adjustRightInd/>
        <w:snapToGrid/>
        <w:spacing w:line="240" w:lineRule="auto"/>
        <w:ind w:firstLine="560" w:firstLineChars="200"/>
        <w:jc w:val="both"/>
        <w:textAlignment w:val="auto"/>
        <w:outlineLvl w:val="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其中：</w:t>
      </w:r>
    </w:p>
    <w:p>
      <w:pPr>
        <w:keepNext w:val="0"/>
        <w:keepLines w:val="0"/>
        <w:pageBreakBefore w:val="0"/>
        <w:widowControl w:val="0"/>
        <w:kinsoku/>
        <w:wordWrap/>
        <w:overflowPunct/>
        <w:topLinePunct w:val="0"/>
        <w:bidi w:val="0"/>
        <w:adjustRightInd/>
        <w:snapToGrid/>
        <w:spacing w:line="240" w:lineRule="auto"/>
        <w:ind w:firstLine="560" w:firstLineChars="200"/>
        <w:jc w:val="both"/>
        <w:textAlignment w:val="auto"/>
        <w:outlineLvl w:val="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W某个</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的综合得分；</w:t>
      </w:r>
    </w:p>
    <w:p>
      <w:pPr>
        <w:keepNext w:val="0"/>
        <w:keepLines w:val="0"/>
        <w:pageBreakBefore w:val="0"/>
        <w:widowControl w:val="0"/>
        <w:kinsoku/>
        <w:wordWrap/>
        <w:overflowPunct/>
        <w:topLinePunct w:val="0"/>
        <w:bidi w:val="0"/>
        <w:adjustRightInd/>
        <w:snapToGrid/>
        <w:spacing w:line="240" w:lineRule="auto"/>
        <w:ind w:firstLine="560" w:firstLineChars="200"/>
        <w:jc w:val="both"/>
        <w:textAlignment w:val="auto"/>
        <w:outlineLvl w:val="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C某个</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的价格评审得分；</w:t>
      </w:r>
    </w:p>
    <w:p>
      <w:pPr>
        <w:keepNext w:val="0"/>
        <w:keepLines w:val="0"/>
        <w:pageBreakBefore w:val="0"/>
        <w:widowControl w:val="0"/>
        <w:kinsoku/>
        <w:wordWrap/>
        <w:overflowPunct/>
        <w:topLinePunct w:val="0"/>
        <w:bidi w:val="0"/>
        <w:adjustRightInd/>
        <w:snapToGrid/>
        <w:spacing w:line="240" w:lineRule="auto"/>
        <w:ind w:firstLine="560" w:firstLineChars="200"/>
        <w:jc w:val="both"/>
        <w:textAlignment w:val="auto"/>
        <w:outlineLvl w:val="0"/>
        <w:rPr>
          <w:rFonts w:hint="eastAsia" w:ascii="仿宋_GB2312" w:hAnsi="仿宋" w:eastAsia="仿宋_GB2312"/>
          <w:color w:val="000000" w:themeColor="text1"/>
          <w:sz w:val="28"/>
          <w:szCs w:val="28"/>
          <w:highlight w:val="none"/>
          <w:lang w:eastAsia="zh-CN"/>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T某个</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的技术评审得分</w:t>
      </w:r>
      <w:r>
        <w:rPr>
          <w:rFonts w:hint="eastAsia" w:ascii="仿宋_GB2312" w:hAnsi="仿宋" w:eastAsia="仿宋_GB2312"/>
          <w:color w:val="000000" w:themeColor="text1"/>
          <w:sz w:val="28"/>
          <w:szCs w:val="28"/>
          <w:highlight w:val="none"/>
          <w:lang w:eastAsia="zh-CN"/>
          <w14:textFill>
            <w14:solidFill>
              <w14:schemeClr w14:val="tx1"/>
            </w14:solidFill>
          </w14:textFill>
        </w:rPr>
        <w:t>；</w:t>
      </w:r>
    </w:p>
    <w:p>
      <w:pPr>
        <w:pStyle w:val="26"/>
        <w:rPr>
          <w:rFonts w:hint="default"/>
          <w:lang w:val="en-US" w:eastAsia="zh-CN"/>
        </w:rPr>
      </w:pPr>
      <w:r>
        <w:rPr>
          <w:rFonts w:hint="eastAsia" w:hAnsi="仿宋"/>
          <w:color w:val="000000" w:themeColor="text1"/>
          <w:sz w:val="28"/>
          <w:szCs w:val="28"/>
          <w:highlight w:val="none"/>
          <w:lang w:val="en-US" w:eastAsia="zh-CN"/>
          <w14:textFill>
            <w14:solidFill>
              <w14:schemeClr w14:val="tx1"/>
            </w14:solidFill>
          </w14:textFill>
        </w:rPr>
        <w:t>M</w:t>
      </w:r>
      <w:r>
        <w:rPr>
          <w:rFonts w:hint="eastAsia" w:ascii="仿宋_GB2312" w:hAnsi="仿宋" w:eastAsia="仿宋_GB2312"/>
          <w:color w:val="000000" w:themeColor="text1"/>
          <w:sz w:val="28"/>
          <w:szCs w:val="28"/>
          <w:highlight w:val="none"/>
          <w14:textFill>
            <w14:solidFill>
              <w14:schemeClr w14:val="tx1"/>
            </w14:solidFill>
          </w14:textFill>
        </w:rPr>
        <w:t>某个</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的</w:t>
      </w:r>
      <w:r>
        <w:rPr>
          <w:rFonts w:hint="eastAsia" w:hAnsi="仿宋"/>
          <w:color w:val="000000" w:themeColor="text1"/>
          <w:sz w:val="28"/>
          <w:szCs w:val="28"/>
          <w:highlight w:val="none"/>
          <w:lang w:val="en-US" w:eastAsia="zh-CN"/>
          <w14:textFill>
            <w14:solidFill>
              <w14:schemeClr w14:val="tx1"/>
            </w14:solidFill>
          </w14:textFill>
        </w:rPr>
        <w:t>商务</w:t>
      </w:r>
      <w:r>
        <w:rPr>
          <w:rFonts w:hint="eastAsia" w:ascii="仿宋_GB2312" w:hAnsi="仿宋" w:eastAsia="仿宋_GB2312"/>
          <w:color w:val="000000" w:themeColor="text1"/>
          <w:sz w:val="28"/>
          <w:szCs w:val="28"/>
          <w:highlight w:val="none"/>
          <w14:textFill>
            <w14:solidFill>
              <w14:schemeClr w14:val="tx1"/>
            </w14:solidFill>
          </w14:textFill>
        </w:rPr>
        <w:t>评审得分</w:t>
      </w:r>
      <w:r>
        <w:rPr>
          <w:rFonts w:hint="eastAsia" w:hAnsi="仿宋"/>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240" w:lineRule="auto"/>
        <w:ind w:left="0" w:firstLine="560" w:firstLineChars="200"/>
        <w:jc w:val="both"/>
        <w:textAlignment w:val="auto"/>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三、</w:t>
      </w:r>
      <w:r>
        <w:rPr>
          <w:rFonts w:hint="eastAsia" w:ascii="黑体" w:hAnsi="黑体" w:eastAsia="黑体" w:cs="黑体"/>
          <w:color w:val="000000" w:themeColor="text1"/>
          <w:sz w:val="28"/>
          <w:szCs w:val="28"/>
          <w:highlight w:val="none"/>
          <w14:textFill>
            <w14:solidFill>
              <w14:schemeClr w14:val="tx1"/>
            </w14:solidFill>
          </w14:textFill>
        </w:rPr>
        <w:t>推荐中标候选人名单</w:t>
      </w:r>
    </w:p>
    <w:p>
      <w:pPr>
        <w:keepNext w:val="0"/>
        <w:keepLines w:val="0"/>
        <w:pageBreakBefore w:val="0"/>
        <w:widowControl w:val="0"/>
        <w:kinsoku/>
        <w:wordWrap/>
        <w:overflowPunct/>
        <w:topLinePunct w:val="0"/>
        <w:bidi w:val="0"/>
        <w:adjustRightInd/>
        <w:snapToGrid/>
        <w:spacing w:line="240" w:lineRule="auto"/>
        <w:ind w:left="0" w:firstLine="560" w:firstLineChars="200"/>
        <w:jc w:val="both"/>
        <w:textAlignment w:val="auto"/>
        <w:rPr>
          <w:rFonts w:hint="eastAsia" w:ascii="仿宋_GB2312" w:hAnsi="仿宋" w:eastAsia="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评标委员会根据最终评审的结果，推荐综合得分最高的</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为第一中标候选人，推荐综合得分次高的</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为第二中标候选人。</w:t>
      </w:r>
      <w:r>
        <w:rPr>
          <w:rFonts w:hint="eastAsia" w:ascii="仿宋_GB2312" w:hAnsi="仿宋" w:eastAsia="仿宋_GB2312" w:cs="Times New Roman"/>
          <w:color w:val="000000" w:themeColor="text1"/>
          <w:sz w:val="28"/>
          <w:szCs w:val="28"/>
          <w:highlight w:val="none"/>
          <w14:textFill>
            <w14:solidFill>
              <w14:schemeClr w14:val="tx1"/>
            </w14:solidFill>
          </w14:textFill>
        </w:rPr>
        <w:t>以此类推。评审</w:t>
      </w:r>
      <w:r>
        <w:rPr>
          <w:rFonts w:hint="eastAsia" w:ascii="仿宋_GB2312" w:hAnsi="仿宋" w:eastAsia="仿宋_GB2312" w:cs="Times New Roman"/>
          <w:color w:val="000000" w:themeColor="text1"/>
          <w:sz w:val="28"/>
          <w:szCs w:val="28"/>
          <w:highlight w:val="none"/>
          <w:lang w:val="en-US" w:eastAsia="zh-CN"/>
          <w14:textFill>
            <w14:solidFill>
              <w14:schemeClr w14:val="tx1"/>
            </w14:solidFill>
          </w14:textFill>
        </w:rPr>
        <w:t>委员会</w:t>
      </w:r>
      <w:r>
        <w:rPr>
          <w:rFonts w:hint="eastAsia" w:ascii="仿宋_GB2312" w:hAnsi="仿宋" w:eastAsia="仿宋_GB2312" w:cs="Times New Roman"/>
          <w:color w:val="000000" w:themeColor="text1"/>
          <w:sz w:val="28"/>
          <w:szCs w:val="28"/>
          <w:highlight w:val="none"/>
          <w14:textFill>
            <w14:solidFill>
              <w14:schemeClr w14:val="tx1"/>
            </w14:solidFill>
          </w14:textFill>
        </w:rPr>
        <w:t>将推荐综合得分前3名的报价人为成交候选人。</w:t>
      </w:r>
    </w:p>
    <w:p>
      <w:pPr>
        <w:keepNext w:val="0"/>
        <w:keepLines w:val="0"/>
        <w:pageBreakBefore w:val="0"/>
        <w:widowControl w:val="0"/>
        <w:kinsoku/>
        <w:wordWrap/>
        <w:overflowPunct/>
        <w:topLinePunct w:val="0"/>
        <w:bidi w:val="0"/>
        <w:adjustRightInd/>
        <w:snapToGrid/>
        <w:spacing w:line="240" w:lineRule="auto"/>
        <w:ind w:left="0" w:firstLine="560" w:firstLineChars="200"/>
        <w:jc w:val="both"/>
        <w:textAlignment w:val="auto"/>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如果两个或两个以上</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综合评分相等，</w:t>
      </w:r>
      <w:r>
        <w:rPr>
          <w:rFonts w:ascii="仿宋_GB2312" w:hAnsi="仿宋" w:eastAsia="仿宋_GB2312"/>
          <w:color w:val="000000" w:themeColor="text1"/>
          <w:sz w:val="28"/>
          <w:szCs w:val="28"/>
          <w:highlight w:val="none"/>
          <w14:textFill>
            <w14:solidFill>
              <w14:schemeClr w14:val="tx1"/>
            </w14:solidFill>
          </w14:textFill>
        </w:rPr>
        <w:t>依下列顺序排列名次：</w:t>
      </w:r>
    </w:p>
    <w:p>
      <w:pPr>
        <w:keepNext w:val="0"/>
        <w:keepLines w:val="0"/>
        <w:pageBreakBefore w:val="0"/>
        <w:widowControl w:val="0"/>
        <w:kinsoku/>
        <w:wordWrap/>
        <w:overflowPunct/>
        <w:topLinePunct w:val="0"/>
        <w:bidi w:val="0"/>
        <w:adjustRightInd/>
        <w:snapToGrid/>
        <w:spacing w:line="240" w:lineRule="auto"/>
        <w:ind w:left="0" w:firstLine="560" w:firstLineChars="200"/>
        <w:jc w:val="both"/>
        <w:textAlignment w:val="auto"/>
        <w:rPr>
          <w:rFonts w:hint="eastAsia" w:ascii="仿宋_GB2312" w:hAnsi="仿宋" w:eastAsia="仿宋_GB2312"/>
          <w:color w:val="000000" w:themeColor="text1"/>
          <w:sz w:val="28"/>
          <w:szCs w:val="28"/>
          <w:highlight w:val="none"/>
          <w:lang w:eastAsia="zh-CN"/>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A.</w:t>
      </w:r>
      <w:r>
        <w:rPr>
          <w:rFonts w:hint="eastAsia" w:ascii="仿宋_GB2312" w:hAnsi="仿宋" w:eastAsia="仿宋_GB2312"/>
          <w:color w:val="000000" w:themeColor="text1"/>
          <w:sz w:val="28"/>
          <w:szCs w:val="28"/>
          <w:highlight w:val="none"/>
          <w14:textFill>
            <w14:solidFill>
              <w14:schemeClr w14:val="tx1"/>
            </w14:solidFill>
          </w14:textFill>
        </w:rPr>
        <w:t>报价</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低</w:t>
      </w:r>
      <w:r>
        <w:rPr>
          <w:rFonts w:hint="eastAsia" w:ascii="仿宋_GB2312" w:hAnsi="仿宋" w:eastAsia="仿宋_GB2312"/>
          <w:color w:val="000000" w:themeColor="text1"/>
          <w:sz w:val="28"/>
          <w:szCs w:val="28"/>
          <w:highlight w:val="none"/>
          <w14:textFill>
            <w14:solidFill>
              <w14:schemeClr w14:val="tx1"/>
            </w14:solidFill>
          </w14:textFill>
        </w:rPr>
        <w:t>者，名次列前</w:t>
      </w:r>
      <w:r>
        <w:rPr>
          <w:rFonts w:hint="eastAsia" w:ascii="仿宋_GB2312" w:hAnsi="仿宋" w:eastAsia="仿宋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240" w:lineRule="auto"/>
        <w:ind w:left="0" w:firstLine="560" w:firstLineChars="200"/>
        <w:jc w:val="both"/>
        <w:textAlignment w:val="auto"/>
        <w:rPr>
          <w:rFonts w:hint="eastAsia" w:ascii="仿宋_GB2312" w:hAnsi="仿宋" w:eastAsia="仿宋_GB2312"/>
          <w:color w:val="000000" w:themeColor="text1"/>
          <w:sz w:val="28"/>
          <w:szCs w:val="28"/>
          <w:highlight w:val="none"/>
          <w:lang w:eastAsia="zh-CN"/>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B.</w:t>
      </w:r>
      <w:r>
        <w:rPr>
          <w:rFonts w:hint="eastAsia" w:ascii="仿宋_GB2312" w:hAnsi="仿宋" w:eastAsia="仿宋_GB2312"/>
          <w:color w:val="000000" w:themeColor="text1"/>
          <w:sz w:val="28"/>
          <w:szCs w:val="28"/>
          <w:highlight w:val="none"/>
          <w14:textFill>
            <w14:solidFill>
              <w14:schemeClr w14:val="tx1"/>
            </w14:solidFill>
          </w14:textFill>
        </w:rPr>
        <w:t>技术评审得分多者，名次列前</w:t>
      </w:r>
      <w:r>
        <w:rPr>
          <w:rFonts w:hint="eastAsia" w:ascii="仿宋_GB2312" w:hAnsi="仿宋" w:eastAsia="仿宋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240" w:lineRule="auto"/>
        <w:ind w:left="0" w:firstLine="560" w:firstLineChars="200"/>
        <w:jc w:val="both"/>
        <w:textAlignment w:val="auto"/>
        <w:rPr>
          <w:rFonts w:hint="eastAsia" w:ascii="仿宋_GB2312" w:hAnsi="仿宋" w:eastAsia="仿宋_GB2312"/>
          <w:color w:val="000000" w:themeColor="text1"/>
          <w:sz w:val="28"/>
          <w:szCs w:val="28"/>
          <w:highlight w:val="none"/>
          <w:lang w:eastAsia="zh-CN"/>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C.商务评审得分多者，名次列前。</w:t>
      </w:r>
    </w:p>
    <w:p>
      <w:pPr>
        <w:keepNext w:val="0"/>
        <w:keepLines w:val="0"/>
        <w:pageBreakBefore w:val="0"/>
        <w:widowControl w:val="0"/>
        <w:kinsoku/>
        <w:wordWrap/>
        <w:overflowPunct/>
        <w:topLinePunct w:val="0"/>
        <w:autoSpaceDE w:val="0"/>
        <w:autoSpaceDN w:val="0"/>
        <w:bidi w:val="0"/>
        <w:adjustRightInd/>
        <w:snapToGrid/>
        <w:spacing w:line="240" w:lineRule="auto"/>
        <w:ind w:left="0" w:firstLine="560" w:firstLineChars="200"/>
        <w:jc w:val="both"/>
        <w:textAlignment w:val="auto"/>
        <w:rPr>
          <w:color w:val="000000" w:themeColor="text1"/>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按照上述顺序排列名次后，如果仍有两个或两个以上</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综合评分为第一名，由评</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审</w:t>
      </w:r>
      <w:r>
        <w:rPr>
          <w:rFonts w:hint="eastAsia" w:ascii="仿宋_GB2312" w:hAnsi="仿宋" w:eastAsia="仿宋_GB2312"/>
          <w:color w:val="000000" w:themeColor="text1"/>
          <w:sz w:val="28"/>
          <w:szCs w:val="28"/>
          <w:highlight w:val="none"/>
          <w14:textFill>
            <w14:solidFill>
              <w14:schemeClr w14:val="tx1"/>
            </w14:solidFill>
          </w14:textFill>
        </w:rPr>
        <w:t>委员会对</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前述</w:t>
      </w:r>
      <w:r>
        <w:rPr>
          <w:rFonts w:hint="eastAsia" w:ascii="仿宋_GB2312" w:hAnsi="仿宋" w:eastAsia="仿宋_GB2312"/>
          <w:color w:val="000000" w:themeColor="text1"/>
          <w:sz w:val="28"/>
          <w:szCs w:val="28"/>
          <w:highlight w:val="none"/>
          <w:lang w:eastAsia="zh-CN"/>
          <w14:textFill>
            <w14:solidFill>
              <w14:schemeClr w14:val="tx1"/>
            </w14:solidFill>
          </w14:textFill>
        </w:rPr>
        <w:t>供应商</w:t>
      </w:r>
      <w:r>
        <w:rPr>
          <w:rFonts w:hint="eastAsia" w:ascii="仿宋_GB2312" w:hAnsi="仿宋" w:eastAsia="仿宋_GB2312"/>
          <w:color w:val="000000" w:themeColor="text1"/>
          <w:sz w:val="28"/>
          <w:szCs w:val="28"/>
          <w:highlight w:val="none"/>
          <w14:textFill>
            <w14:solidFill>
              <w14:schemeClr w14:val="tx1"/>
            </w14:solidFill>
          </w14:textFill>
        </w:rPr>
        <w:t>重新评审确定第一名</w:t>
      </w:r>
      <w:r>
        <w:rPr>
          <w:rFonts w:hint="eastAsia" w:ascii="仿宋_GB2312" w:hAnsi="仿宋" w:eastAsia="仿宋_GB2312"/>
          <w:color w:val="000000" w:themeColor="text1"/>
          <w:sz w:val="28"/>
          <w:szCs w:val="28"/>
          <w:highlight w:val="none"/>
          <w:lang w:eastAsia="zh-CN"/>
          <w14:textFill>
            <w14:solidFill>
              <w14:schemeClr w14:val="tx1"/>
            </w14:solidFill>
          </w14:textFill>
        </w:rPr>
        <w:t>。</w:t>
      </w:r>
      <w:bookmarkEnd w:id="2"/>
      <w:bookmarkEnd w:id="3"/>
      <w:r>
        <w:rPr>
          <w:color w:val="000000" w:themeColor="text1"/>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宋体" w:hAnsi="宋体" w:eastAsia="宋体" w:cs="宋体"/>
          <w:b/>
          <w:color w:val="000000" w:themeColor="text1"/>
          <w:kern w:val="44"/>
          <w:sz w:val="44"/>
          <w:szCs w:val="44"/>
          <w:highlight w:val="none"/>
          <w14:textFill>
            <w14:solidFill>
              <w14:schemeClr w14:val="tx1"/>
            </w14:solidFill>
          </w14:textFill>
        </w:rPr>
      </w:pPr>
      <w:bookmarkStart w:id="4" w:name="_Toc187235503"/>
      <w:bookmarkStart w:id="5" w:name="_Toc520148232"/>
      <w:bookmarkStart w:id="6" w:name="_Toc41208028"/>
      <w:bookmarkStart w:id="7" w:name="_Toc237246981"/>
      <w:bookmarkStart w:id="8" w:name="_Toc272229620"/>
      <w:bookmarkStart w:id="9" w:name="_Toc98040837"/>
      <w:bookmarkStart w:id="10" w:name="_Toc49317161"/>
      <w:bookmarkStart w:id="11" w:name="_Toc22149480"/>
      <w:bookmarkStart w:id="12" w:name="_Toc41129151"/>
      <w:bookmarkStart w:id="13" w:name="_Toc41125554"/>
      <w:bookmarkStart w:id="14" w:name="_Toc353536760"/>
      <w:r>
        <w:rPr>
          <w:rFonts w:hint="eastAsia" w:ascii="宋体" w:hAnsi="宋体" w:eastAsia="宋体" w:cs="宋体"/>
          <w:b/>
          <w:color w:val="000000" w:themeColor="text1"/>
          <w:kern w:val="44"/>
          <w:sz w:val="44"/>
          <w:szCs w:val="44"/>
          <w:highlight w:val="none"/>
          <w14:textFill>
            <w14:solidFill>
              <w14:schemeClr w14:val="tx1"/>
            </w14:solidFill>
          </w14:textFill>
        </w:rPr>
        <w:t xml:space="preserve">第五部分 </w:t>
      </w:r>
      <w:r>
        <w:rPr>
          <w:rFonts w:hint="eastAsia" w:ascii="宋体" w:hAnsi="宋体" w:cs="宋体"/>
          <w:b/>
          <w:color w:val="000000" w:themeColor="text1"/>
          <w:kern w:val="44"/>
          <w:sz w:val="44"/>
          <w:szCs w:val="44"/>
          <w:highlight w:val="none"/>
          <w:lang w:eastAsia="zh-CN"/>
          <w14:textFill>
            <w14:solidFill>
              <w14:schemeClr w14:val="tx1"/>
            </w14:solidFill>
          </w14:textFill>
        </w:rPr>
        <w:t>报名文件</w:t>
      </w:r>
      <w:r>
        <w:rPr>
          <w:rFonts w:hint="eastAsia" w:ascii="宋体" w:hAnsi="宋体" w:eastAsia="宋体" w:cs="宋体"/>
          <w:b/>
          <w:color w:val="000000" w:themeColor="text1"/>
          <w:kern w:val="44"/>
          <w:sz w:val="44"/>
          <w:szCs w:val="44"/>
          <w:highlight w:val="none"/>
          <w14:textFill>
            <w14:solidFill>
              <w14:schemeClr w14:val="tx1"/>
            </w14:solidFill>
          </w14:textFill>
        </w:rPr>
        <w:t>格式</w:t>
      </w:r>
    </w:p>
    <w:p>
      <w:pPr>
        <w:jc w:val="center"/>
        <w:rPr>
          <w:rFonts w:hint="eastAsia" w:ascii="黑体" w:hAnsi="黑体" w:eastAsia="黑体" w:cs="黑体"/>
          <w:color w:val="000000" w:themeColor="text1"/>
          <w:sz w:val="28"/>
          <w:szCs w:val="28"/>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jc w:val="center"/>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编制</w:t>
      </w:r>
      <w:r>
        <w:rPr>
          <w:rFonts w:hint="eastAsia" w:ascii="黑体" w:hAnsi="黑体" w:eastAsia="黑体" w:cs="黑体"/>
          <w:color w:val="000000" w:themeColor="text1"/>
          <w:sz w:val="28"/>
          <w:szCs w:val="28"/>
          <w:highlight w:val="none"/>
          <w:lang w:val="en-US" w:eastAsia="zh-CN"/>
          <w14:textFill>
            <w14:solidFill>
              <w14:schemeClr w14:val="tx1"/>
            </w14:solidFill>
          </w14:textFill>
        </w:rPr>
        <w:t>说明</w:t>
      </w:r>
    </w:p>
    <w:p>
      <w:pPr>
        <w:pStyle w:val="26"/>
        <w:rPr>
          <w:rFonts w:hint="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1.供应商</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应</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根据采购文件中所提出的要求，按照目录顺序提供包含但不限于目录内容的相关材料。有示例材料应参照示例格式，无示例材料格式自拟。</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编排时应以方便评审为准，内容应真实、全面、有效。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报名文件</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的签署要求：</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报名文件</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所有需盖章或签字的部分均需</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供应商</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法定代表人或法定代表人授权委托代表盖章或签字，否则将被视为无效</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报名文件</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报名文件</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包括纸质文件一式5份。纸质版正本1份，封面标注“正本”字样，副本4份，封面标注“副本”字样。正本与副本不符的内容，以正本为准。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报名文件</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应做到清晰、完整，文本、图纸规格应当尽量统一。除非另有规定，否则</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报名文件</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的计量单位宜采用国际标准计量单位，尺寸齐全、准确，所有文字说明和文字标注以中文为准，报价均为人民币，时间均为公历日（天）及北京时间</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p>
    <w:p>
      <w:pPr>
        <w:rPr>
          <w:rFonts w:hint="eastAsia" w:ascii="黑体" w:hAnsi="黑体" w:eastAsia="黑体" w:cs="黑体"/>
          <w:b w:val="0"/>
          <w:bCs/>
          <w:color w:val="000000" w:themeColor="text1"/>
          <w:spacing w:val="28"/>
          <w:sz w:val="52"/>
          <w:szCs w:val="52"/>
          <w:highlight w:val="none"/>
          <w:lang w:val="en-US" w:eastAsia="zh-CN"/>
          <w14:textFill>
            <w14:solidFill>
              <w14:schemeClr w14:val="tx1"/>
            </w14:solidFill>
          </w14:textFill>
        </w:rPr>
      </w:pPr>
      <w:bookmarkStart w:id="15" w:name="_Toc22149453"/>
      <w:r>
        <w:rPr>
          <w:rFonts w:hint="eastAsia" w:ascii="黑体" w:hAnsi="黑体" w:eastAsia="黑体" w:cs="黑体"/>
          <w:b w:val="0"/>
          <w:bCs/>
          <w:color w:val="000000" w:themeColor="text1"/>
          <w:spacing w:val="28"/>
          <w:sz w:val="52"/>
          <w:szCs w:val="52"/>
          <w:highlight w:val="none"/>
          <w:lang w:val="en-US" w:eastAsia="zh-CN"/>
          <w14:textFill>
            <w14:solidFill>
              <w14:schemeClr w14:val="tx1"/>
            </w14:solidFill>
          </w14:textFill>
        </w:rPr>
        <w:br w:type="page"/>
      </w:r>
    </w:p>
    <w:p>
      <w:pPr>
        <w:widowControl w:val="0"/>
        <w:kinsoku/>
        <w:overflowPunct/>
        <w:topLinePunct w:val="0"/>
        <w:autoSpaceDN w:val="0"/>
        <w:bidi w:val="0"/>
        <w:jc w:val="center"/>
        <w:rPr>
          <w:rFonts w:hint="eastAsia" w:ascii="黑体" w:hAnsi="黑体" w:eastAsia="黑体" w:cs="黑体"/>
          <w:b w:val="0"/>
          <w:bCs/>
          <w:color w:val="000000" w:themeColor="text1"/>
          <w:spacing w:val="28"/>
          <w:sz w:val="52"/>
          <w:szCs w:val="52"/>
          <w:highlight w:val="none"/>
          <w:lang w:val="en-US" w:eastAsia="zh-CN"/>
          <w14:textFill>
            <w14:solidFill>
              <w14:schemeClr w14:val="tx1"/>
            </w14:solidFill>
          </w14:textFill>
        </w:rPr>
      </w:pPr>
    </w:p>
    <w:p>
      <w:pPr>
        <w:pStyle w:val="26"/>
        <w:rPr>
          <w:rFonts w:hint="eastAsia"/>
          <w:color w:val="000000" w:themeColor="text1"/>
          <w:highlight w:val="none"/>
          <w:lang w:val="en-US" w:eastAsia="zh-CN"/>
          <w14:textFill>
            <w14:solidFill>
              <w14:schemeClr w14:val="tx1"/>
            </w14:solidFill>
          </w14:textFill>
        </w:rPr>
      </w:pPr>
    </w:p>
    <w:p>
      <w:pPr>
        <w:widowControl w:val="0"/>
        <w:kinsoku/>
        <w:overflowPunct/>
        <w:topLinePunct w:val="0"/>
        <w:autoSpaceDN w:val="0"/>
        <w:bidi w:val="0"/>
        <w:jc w:val="center"/>
        <w:rPr>
          <w:rFonts w:hint="eastAsia" w:ascii="黑体" w:hAnsi="黑体" w:eastAsia="黑体" w:cs="黑体"/>
          <w:b w:val="0"/>
          <w:bCs/>
          <w:color w:val="000000" w:themeColor="text1"/>
          <w:spacing w:val="28"/>
          <w:sz w:val="52"/>
          <w:szCs w:val="52"/>
          <w:highlight w:val="none"/>
          <w:lang w:eastAsia="zh-CN"/>
          <w14:textFill>
            <w14:solidFill>
              <w14:schemeClr w14:val="tx1"/>
            </w14:solidFill>
          </w14:textFill>
        </w:rPr>
      </w:pPr>
      <w:r>
        <w:rPr>
          <w:rFonts w:hint="eastAsia" w:ascii="黑体" w:hAnsi="黑体" w:eastAsia="黑体" w:cs="黑体"/>
          <w:b w:val="0"/>
          <w:bCs/>
          <w:color w:val="000000" w:themeColor="text1"/>
          <w:spacing w:val="28"/>
          <w:sz w:val="52"/>
          <w:szCs w:val="52"/>
          <w:highlight w:val="none"/>
          <w:lang w:val="en-US" w:eastAsia="zh-CN"/>
          <w14:textFill>
            <w14:solidFill>
              <w14:schemeClr w14:val="tx1"/>
            </w14:solidFill>
          </w14:textFill>
        </w:rPr>
        <w:t>广东机场集团服务质量测评</w:t>
      </w:r>
      <w:r>
        <w:rPr>
          <w:rFonts w:hint="eastAsia" w:ascii="黑体" w:hAnsi="黑体" w:eastAsia="黑体" w:cs="黑体"/>
          <w:b w:val="0"/>
          <w:bCs/>
          <w:color w:val="000000" w:themeColor="text1"/>
          <w:kern w:val="44"/>
          <w:sz w:val="52"/>
          <w:szCs w:val="52"/>
          <w:highlight w:val="none"/>
          <w14:textFill>
            <w14:solidFill>
              <w14:schemeClr w14:val="tx1"/>
            </w14:solidFill>
          </w14:textFill>
        </w:rPr>
        <w:t>项目</w:t>
      </w:r>
    </w:p>
    <w:p>
      <w:pPr>
        <w:widowControl w:val="0"/>
        <w:kinsoku/>
        <w:overflowPunct/>
        <w:topLinePunct w:val="0"/>
        <w:bidi w:val="0"/>
        <w:rPr>
          <w:rFonts w:ascii="仿宋_GB2312" w:eastAsia="仿宋_GB2312"/>
          <w:b/>
          <w:color w:val="000000" w:themeColor="text1"/>
          <w:sz w:val="52"/>
          <w:szCs w:val="52"/>
          <w:highlight w:val="none"/>
          <w14:textFill>
            <w14:solidFill>
              <w14:schemeClr w14:val="tx1"/>
            </w14:solidFill>
          </w14:textFill>
        </w:rPr>
      </w:pPr>
    </w:p>
    <w:p>
      <w:pPr>
        <w:pStyle w:val="2"/>
        <w:widowControl w:val="0"/>
        <w:kinsoku/>
        <w:overflowPunct/>
        <w:topLinePunct w:val="0"/>
        <w:bidi w:val="0"/>
        <w:rPr>
          <w:color w:val="000000" w:themeColor="text1"/>
          <w:highlight w:val="none"/>
          <w14:textFill>
            <w14:solidFill>
              <w14:schemeClr w14:val="tx1"/>
            </w14:solidFill>
          </w14:textFill>
        </w:rPr>
      </w:pPr>
    </w:p>
    <w:p>
      <w:pPr>
        <w:widowControl w:val="0"/>
        <w:kinsoku/>
        <w:overflowPunct/>
        <w:topLinePunct w:val="0"/>
        <w:bidi w:val="0"/>
        <w:rPr>
          <w:rFonts w:hint="eastAsia" w:ascii="仿宋_GB2312" w:hAnsi="宋体" w:eastAsia="仿宋_GB2312"/>
          <w:b/>
          <w:color w:val="000000" w:themeColor="text1"/>
          <w:sz w:val="52"/>
          <w:szCs w:val="52"/>
          <w:highlight w:val="none"/>
          <w14:textFill>
            <w14:solidFill>
              <w14:schemeClr w14:val="tx1"/>
            </w14:solidFill>
          </w14:textFill>
        </w:rPr>
      </w:pPr>
    </w:p>
    <w:p>
      <w:pPr>
        <w:widowControl w:val="0"/>
        <w:kinsoku/>
        <w:overflowPunct/>
        <w:topLinePunct w:val="0"/>
        <w:bidi w:val="0"/>
        <w:jc w:val="center"/>
        <w:rPr>
          <w:rFonts w:hint="eastAsia" w:ascii="黑体" w:hAnsi="黑体" w:eastAsia="黑体" w:cs="黑体"/>
          <w:b w:val="0"/>
          <w:bCs/>
          <w:color w:val="000000" w:themeColor="text1"/>
          <w:sz w:val="84"/>
          <w:szCs w:val="84"/>
          <w:highlight w:val="none"/>
          <w14:textFill>
            <w14:solidFill>
              <w14:schemeClr w14:val="tx1"/>
            </w14:solidFill>
          </w14:textFill>
        </w:rPr>
      </w:pPr>
      <w:r>
        <w:rPr>
          <w:rFonts w:hint="eastAsia" w:ascii="黑体" w:hAnsi="黑体" w:eastAsia="黑体" w:cs="黑体"/>
          <w:b w:val="0"/>
          <w:bCs/>
          <w:color w:val="000000" w:themeColor="text1"/>
          <w:sz w:val="84"/>
          <w:szCs w:val="84"/>
          <w:highlight w:val="none"/>
          <w:lang w:val="en-US" w:eastAsia="zh-CN"/>
          <w14:textFill>
            <w14:solidFill>
              <w14:schemeClr w14:val="tx1"/>
            </w14:solidFill>
          </w14:textFill>
        </w:rPr>
        <w:t>报名文件</w:t>
      </w:r>
    </w:p>
    <w:p>
      <w:pPr>
        <w:widowControl w:val="0"/>
        <w:kinsoku/>
        <w:overflowPunct/>
        <w:topLinePunct w:val="0"/>
        <w:autoSpaceDN w:val="0"/>
        <w:bidi w:val="0"/>
        <w:jc w:val="center"/>
        <w:rPr>
          <w:rFonts w:hint="default" w:ascii="黑体" w:hAnsi="黑体" w:eastAsia="黑体" w:cs="黑体"/>
          <w:b w:val="0"/>
          <w:bCs/>
          <w:color w:val="000000" w:themeColor="text1"/>
          <w:spacing w:val="28"/>
          <w:sz w:val="52"/>
          <w:szCs w:val="52"/>
          <w:highlight w:val="none"/>
          <w:lang w:val="en-US" w:eastAsia="zh-CN"/>
          <w14:textFill>
            <w14:solidFill>
              <w14:schemeClr w14:val="tx1"/>
            </w14:solidFill>
          </w14:textFill>
        </w:rPr>
      </w:pPr>
      <w:r>
        <w:rPr>
          <w:rFonts w:hint="eastAsia" w:ascii="黑体" w:hAnsi="黑体" w:eastAsia="黑体" w:cs="黑体"/>
          <w:b w:val="0"/>
          <w:bCs/>
          <w:color w:val="000000" w:themeColor="text1"/>
          <w:spacing w:val="28"/>
          <w:sz w:val="52"/>
          <w:szCs w:val="52"/>
          <w:highlight w:val="none"/>
          <w:lang w:val="en-US" w:eastAsia="zh-CN"/>
          <w14:textFill>
            <w14:solidFill>
              <w14:schemeClr w14:val="tx1"/>
            </w14:solidFill>
          </w14:textFill>
        </w:rPr>
        <w:t>（正本/副本)</w:t>
      </w:r>
    </w:p>
    <w:p>
      <w:pPr>
        <w:widowControl w:val="0"/>
        <w:kinsoku/>
        <w:overflowPunct/>
        <w:topLinePunct w:val="0"/>
        <w:bidi w:val="0"/>
        <w:rPr>
          <w:rFonts w:ascii="仿宋_GB2312" w:eastAsia="仿宋_GB2312"/>
          <w:b/>
          <w:color w:val="000000" w:themeColor="text1"/>
          <w:sz w:val="52"/>
          <w:szCs w:val="52"/>
          <w:highlight w:val="none"/>
          <w14:textFill>
            <w14:solidFill>
              <w14:schemeClr w14:val="tx1"/>
            </w14:solidFill>
          </w14:textFill>
        </w:rPr>
      </w:pPr>
    </w:p>
    <w:p>
      <w:pPr>
        <w:widowControl w:val="0"/>
        <w:kinsoku/>
        <w:overflowPunct/>
        <w:topLinePunct w:val="0"/>
        <w:bidi w:val="0"/>
        <w:rPr>
          <w:rFonts w:hint="eastAsia" w:ascii="仿宋_GB2312" w:hAnsi="宋体" w:eastAsia="仿宋_GB2312"/>
          <w:b/>
          <w:color w:val="000000" w:themeColor="text1"/>
          <w:sz w:val="52"/>
          <w:szCs w:val="52"/>
          <w:highlight w:val="none"/>
          <w14:textFill>
            <w14:solidFill>
              <w14:schemeClr w14:val="tx1"/>
            </w14:solidFill>
          </w14:textFill>
        </w:rPr>
      </w:pPr>
    </w:p>
    <w:p>
      <w:pPr>
        <w:pStyle w:val="2"/>
        <w:widowControl w:val="0"/>
        <w:kinsoku/>
        <w:overflowPunct/>
        <w:topLinePunct w:val="0"/>
        <w:bidi w:val="0"/>
        <w:rPr>
          <w:rFonts w:hint="eastAsia" w:ascii="黑体" w:hAnsi="黑体" w:eastAsia="黑体" w:cs="黑体"/>
          <w:b w:val="0"/>
          <w:bCs/>
          <w:color w:val="000000" w:themeColor="text1"/>
          <w:sz w:val="52"/>
          <w:szCs w:val="52"/>
          <w:highlight w:val="none"/>
          <w14:textFill>
            <w14:solidFill>
              <w14:schemeClr w14:val="tx1"/>
            </w14:solidFill>
          </w14:textFill>
        </w:rPr>
      </w:pPr>
    </w:p>
    <w:p>
      <w:pPr>
        <w:widowControl w:val="0"/>
        <w:kinsoku/>
        <w:overflowPunct/>
        <w:topLinePunct w:val="0"/>
        <w:bidi w:val="0"/>
        <w:rPr>
          <w:rFonts w:hint="eastAsia"/>
          <w:color w:val="000000" w:themeColor="text1"/>
          <w:sz w:val="52"/>
          <w:szCs w:val="5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right="706" w:rightChars="336" w:firstLine="1280" w:firstLineChars="400"/>
        <w:jc w:val="left"/>
        <w:textAlignment w:val="auto"/>
        <w:rPr>
          <w:rFonts w:hint="default" w:ascii="黑体" w:hAnsi="黑体" w:eastAsia="黑体" w:cs="黑体"/>
          <w:b w:val="0"/>
          <w:bCs/>
          <w:color w:val="000000" w:themeColor="text1"/>
          <w:sz w:val="32"/>
          <w:highlight w:val="none"/>
          <w:u w:val="single"/>
          <w:lang w:val="en-US"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供应商</w:t>
      </w:r>
      <w:r>
        <w:rPr>
          <w:rFonts w:hint="eastAsia" w:ascii="黑体" w:hAnsi="黑体" w:eastAsia="黑体" w:cs="黑体"/>
          <w:b w:val="0"/>
          <w:bCs/>
          <w:color w:val="000000" w:themeColor="text1"/>
          <w:sz w:val="32"/>
          <w:szCs w:val="32"/>
          <w:highlight w:val="none"/>
          <w14:textFill>
            <w14:solidFill>
              <w14:schemeClr w14:val="tx1"/>
            </w14:solidFill>
          </w14:textFill>
        </w:rPr>
        <w:t>：</w:t>
      </w:r>
      <w:r>
        <w:rPr>
          <w:rFonts w:hint="eastAsia" w:ascii="黑体" w:hAnsi="黑体" w:eastAsia="黑体" w:cs="黑体"/>
          <w:b w:val="0"/>
          <w:bCs/>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ind w:firstLine="1200" w:firstLineChars="400"/>
        <w:jc w:val="left"/>
        <w:textAlignment w:val="auto"/>
        <w:rPr>
          <w:rFonts w:hint="eastAsia" w:ascii="黑体" w:hAnsi="黑体" w:eastAsia="黑体" w:cs="黑体"/>
          <w:b w:val="0"/>
          <w:bCs/>
          <w:color w:val="000000" w:themeColor="text1"/>
          <w:sz w:val="30"/>
          <w:szCs w:val="30"/>
          <w:highlight w:val="none"/>
          <w14:textFill>
            <w14:solidFill>
              <w14:schemeClr w14:val="tx1"/>
            </w14:solidFill>
          </w14:textFill>
        </w:rPr>
      </w:pPr>
    </w:p>
    <w:p>
      <w:pPr>
        <w:pStyle w:val="26"/>
        <w:keepNext w:val="0"/>
        <w:keepLines w:val="0"/>
        <w:pageBreakBefore w:val="0"/>
        <w:kinsoku/>
        <w:wordWrap/>
        <w:overflowPunct/>
        <w:topLinePunct w:val="0"/>
        <w:autoSpaceDE/>
        <w:autoSpaceDN/>
        <w:bidi w:val="0"/>
        <w:adjustRightInd/>
        <w:snapToGrid/>
        <w:ind w:left="0" w:leftChars="0" w:firstLine="1200" w:firstLineChars="400"/>
        <w:jc w:val="left"/>
        <w:textAlignment w:val="auto"/>
        <w:rPr>
          <w:rFonts w:hint="eastAsia" w:ascii="黑体" w:hAnsi="黑体" w:eastAsia="黑体" w:cs="黑体"/>
          <w:b w:val="0"/>
          <w:bCs/>
          <w:color w:val="000000" w:themeColor="text1"/>
          <w:sz w:val="30"/>
          <w:szCs w:val="30"/>
          <w:highlight w:val="none"/>
          <w:u w:val="single"/>
          <w:lang w:val="en-US" w:eastAsia="zh-CN"/>
          <w14:textFill>
            <w14:solidFill>
              <w14:schemeClr w14:val="tx1"/>
            </w14:solidFill>
          </w14:textFill>
        </w:rPr>
      </w:pPr>
      <w:r>
        <w:rPr>
          <w:rFonts w:hint="eastAsia" w:ascii="黑体" w:hAnsi="黑体" w:eastAsia="黑体" w:cs="黑体"/>
          <w:b w:val="0"/>
          <w:bCs/>
          <w:color w:val="000000" w:themeColor="text1"/>
          <w:sz w:val="30"/>
          <w:szCs w:val="30"/>
          <w:highlight w:val="none"/>
          <w:lang w:val="en-US" w:eastAsia="zh-CN"/>
          <w14:textFill>
            <w14:solidFill>
              <w14:schemeClr w14:val="tx1"/>
            </w14:solidFill>
          </w14:textFill>
        </w:rPr>
        <w:t>日  期：</w:t>
      </w:r>
      <w:r>
        <w:rPr>
          <w:rFonts w:hint="eastAsia" w:ascii="黑体" w:hAnsi="黑体" w:eastAsia="黑体" w:cs="黑体"/>
          <w:b w:val="0"/>
          <w:bCs/>
          <w:color w:val="000000" w:themeColor="text1"/>
          <w:sz w:val="30"/>
          <w:szCs w:val="30"/>
          <w:highlight w:val="none"/>
          <w:u w:val="single"/>
          <w:lang w:val="en-US" w:eastAsia="zh-CN"/>
          <w14:textFill>
            <w14:solidFill>
              <w14:schemeClr w14:val="tx1"/>
            </w14:solidFill>
          </w14:textFill>
        </w:rPr>
        <w:t xml:space="preserve">                            </w:t>
      </w:r>
    </w:p>
    <w:p>
      <w:pPr>
        <w:rPr>
          <w:rFonts w:hint="eastAsia" w:ascii="黑体" w:hAnsi="黑体" w:eastAsia="黑体" w:cs="黑体"/>
          <w:b w:val="0"/>
          <w:bCs/>
          <w:color w:val="000000" w:themeColor="text1"/>
          <w:sz w:val="30"/>
          <w:szCs w:val="30"/>
          <w:highlight w:val="none"/>
          <w:u w:val="single"/>
          <w:lang w:val="en-US" w:eastAsia="zh-CN"/>
          <w14:textFill>
            <w14:solidFill>
              <w14:schemeClr w14:val="tx1"/>
            </w14:solidFill>
          </w14:textFill>
        </w:rPr>
      </w:pPr>
      <w:r>
        <w:rPr>
          <w:rFonts w:hint="eastAsia" w:ascii="黑体" w:hAnsi="黑体" w:eastAsia="黑体" w:cs="黑体"/>
          <w:b w:val="0"/>
          <w:bCs/>
          <w:color w:val="000000" w:themeColor="text1"/>
          <w:sz w:val="30"/>
          <w:szCs w:val="30"/>
          <w:highlight w:val="none"/>
          <w:u w:val="single"/>
          <w:lang w:val="en-US" w:eastAsia="zh-CN"/>
          <w14:textFill>
            <w14:solidFill>
              <w14:schemeClr w14:val="tx1"/>
            </w14:solidFill>
          </w14:textFill>
        </w:rPr>
        <w:br w:type="page"/>
      </w:r>
    </w:p>
    <w:p>
      <w:pPr>
        <w:pStyle w:val="26"/>
        <w:ind w:left="0" w:leftChars="0" w:firstLine="0" w:firstLineChars="0"/>
        <w:jc w:val="center"/>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目录</w:t>
      </w:r>
    </w:p>
    <w:p>
      <w:pPr>
        <w:pStyle w:val="26"/>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pP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黑体" w:hAnsi="黑体" w:eastAsia="黑体" w:cs="黑体"/>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24"/>
          <w:szCs w:val="24"/>
          <w:highlight w:val="none"/>
          <w:lang w:val="en-US" w:eastAsia="zh-CN"/>
          <w14:textFill>
            <w14:solidFill>
              <w14:schemeClr w14:val="tx1"/>
            </w14:solidFill>
          </w14:textFill>
        </w:rPr>
        <w:t>一、报名函......................................................(</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黑体" w:hAnsi="黑体" w:eastAsia="黑体" w:cs="黑体"/>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24"/>
          <w:szCs w:val="24"/>
          <w:highlight w:val="none"/>
          <w:lang w:val="en-US" w:eastAsia="zh-CN"/>
          <w14:textFill>
            <w14:solidFill>
              <w14:schemeClr w14:val="tx1"/>
            </w14:solidFill>
          </w14:textFill>
        </w:rPr>
        <w:t>二、报价表......................................................(</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2.1报价表</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2.2年度明细报价表</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黑体" w:hAnsi="黑体" w:eastAsia="黑体" w:cs="黑体"/>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24"/>
          <w:szCs w:val="24"/>
          <w:highlight w:val="none"/>
          <w:lang w:val="en-US" w:eastAsia="zh-CN"/>
          <w14:textFill>
            <w14:solidFill>
              <w14:schemeClr w14:val="tx1"/>
            </w14:solidFill>
          </w14:textFill>
        </w:rPr>
        <w:t>三、资格审查文件................................................(</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3.1供应商基本情况说明</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3.2营业执照</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3.3法定代表人证明书</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3.4法人授权妥托书</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3.5诚信承诺函</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3.6信用证明</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黑体" w:hAnsi="黑体" w:eastAsia="黑体" w:cs="黑体"/>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24"/>
          <w:szCs w:val="24"/>
          <w:highlight w:val="none"/>
          <w:lang w:val="en-US" w:eastAsia="zh-CN"/>
          <w14:textFill>
            <w14:solidFill>
              <w14:schemeClr w14:val="tx1"/>
            </w14:solidFill>
          </w14:textFill>
        </w:rPr>
        <w:t>四、技术方案....................................................(</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4.1服务方案</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4.2数据能力</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4.3测评报告设计</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4.4增值服务证明及承诺书</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黑体" w:hAnsi="黑体" w:eastAsia="黑体" w:cs="黑体"/>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24"/>
          <w:szCs w:val="24"/>
          <w:highlight w:val="none"/>
          <w:lang w:val="en-US" w:eastAsia="zh-CN"/>
          <w14:textFill>
            <w14:solidFill>
              <w14:schemeClr w14:val="tx1"/>
            </w14:solidFill>
          </w14:textFill>
        </w:rPr>
        <w:t>五、商务方案....................................................(</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b/>
          <w:bCs/>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5.1有效业绩证明</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5.2业主评价证明</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5.3项目负责人介绍</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黑体" w:hAnsi="黑体" w:eastAsia="黑体" w:cs="黑体"/>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5.4项目服务团队成员介绍</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r>
        <w:rPr>
          <w:rFonts w:hint="eastAsia" w:ascii="黑体" w:hAnsi="黑体" w:eastAsia="黑体" w:cs="黑体"/>
          <w:i/>
          <w:iCs/>
          <w:color w:val="000000" w:themeColor="text1"/>
          <w:sz w:val="24"/>
          <w:szCs w:val="24"/>
          <w:highlight w:val="none"/>
          <w:u w:val="single"/>
          <w:lang w:val="en-US" w:eastAsia="zh-CN"/>
          <w14:textFill>
            <w14:solidFill>
              <w14:schemeClr w14:val="tx1"/>
            </w14:solidFill>
          </w14:textFill>
        </w:rPr>
        <w:t>页码</w:t>
      </w: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黑体" w:hAnsi="黑体" w:eastAsia="黑体" w:cs="黑体"/>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24"/>
          <w:szCs w:val="24"/>
          <w:highlight w:val="none"/>
          <w:lang w:val="en-US" w:eastAsia="zh-CN"/>
          <w14:textFill>
            <w14:solidFill>
              <w14:schemeClr w14:val="tx1"/>
            </w14:solidFill>
          </w14:textFill>
        </w:rPr>
        <w:t>......</w:t>
      </w:r>
    </w:p>
    <w:p>
      <w:pPr>
        <w:rPr>
          <w:rFonts w:hint="default" w:ascii="黑体" w:hAnsi="黑体" w:eastAsia="黑体" w:cs="黑体"/>
          <w:b w:val="0"/>
          <w:bCs/>
          <w:color w:val="000000" w:themeColor="text1"/>
          <w:sz w:val="24"/>
          <w:szCs w:val="24"/>
          <w:highlight w:val="none"/>
          <w:u w:val="single"/>
          <w:lang w:val="en-US" w:eastAsia="zh-CN"/>
          <w14:textFill>
            <w14:solidFill>
              <w14:schemeClr w14:val="tx1"/>
            </w14:solidFill>
          </w14:textFill>
        </w:rPr>
      </w:pPr>
      <w:r>
        <w:rPr>
          <w:rFonts w:hint="default" w:ascii="黑体" w:hAnsi="黑体" w:eastAsia="黑体" w:cs="黑体"/>
          <w:b w:val="0"/>
          <w:bCs/>
          <w:color w:val="000000" w:themeColor="text1"/>
          <w:sz w:val="24"/>
          <w:szCs w:val="24"/>
          <w:highlight w:val="none"/>
          <w:u w:val="single"/>
          <w:lang w:val="en-US" w:eastAsia="zh-CN"/>
          <w14:textFill>
            <w14:solidFill>
              <w14:schemeClr w14:val="tx1"/>
            </w14:solidFill>
          </w14:textFill>
        </w:rPr>
        <w:br w:type="page"/>
      </w:r>
    </w:p>
    <w:p>
      <w:pPr>
        <w:pStyle w:val="26"/>
        <w:keepNext w:val="0"/>
        <w:keepLines w:val="0"/>
        <w:pageBreakBefore w:val="0"/>
        <w:kinsoku/>
        <w:wordWrap/>
        <w:overflowPunct/>
        <w:topLinePunct w:val="0"/>
        <w:autoSpaceDE/>
        <w:autoSpaceDN/>
        <w:bidi w:val="0"/>
        <w:adjustRightInd/>
        <w:snapToGrid/>
        <w:ind w:left="0" w:leftChars="0" w:firstLine="0" w:firstLineChars="0"/>
        <w:jc w:val="left"/>
        <w:textAlignment w:val="auto"/>
        <w:rPr>
          <w:rFonts w:hint="default" w:ascii="黑体" w:hAnsi="黑体" w:eastAsia="黑体" w:cs="黑体"/>
          <w:b w:val="0"/>
          <w:bCs/>
          <w:color w:val="000000" w:themeColor="text1"/>
          <w:sz w:val="28"/>
          <w:szCs w:val="28"/>
          <w:highlight w:val="none"/>
          <w:u w:val="none"/>
          <w:lang w:val="en-US" w:eastAsia="zh-CN"/>
          <w14:textFill>
            <w14:solidFill>
              <w14:schemeClr w14:val="tx1"/>
            </w14:solidFill>
          </w14:textFill>
        </w:rPr>
      </w:pPr>
      <w:r>
        <w:rPr>
          <w:rFonts w:hint="eastAsia" w:ascii="黑体" w:hAnsi="黑体" w:eastAsia="黑体" w:cs="黑体"/>
          <w:b w:val="0"/>
          <w:bCs/>
          <w:color w:val="000000" w:themeColor="text1"/>
          <w:sz w:val="28"/>
          <w:szCs w:val="28"/>
          <w:highlight w:val="none"/>
          <w:u w:val="none"/>
          <w:lang w:val="en-US" w:eastAsia="zh-CN"/>
          <w14:textFill>
            <w14:solidFill>
              <w14:schemeClr w14:val="tx1"/>
            </w14:solidFill>
          </w14:textFill>
        </w:rPr>
        <w:t>一、报名函</w:t>
      </w:r>
    </w:p>
    <w:p>
      <w:pPr>
        <w:keepNext w:val="0"/>
        <w:keepLines w:val="0"/>
        <w:pageBreakBefore w:val="0"/>
        <w:widowControl/>
        <w:tabs>
          <w:tab w:val="left" w:pos="142"/>
        </w:tabs>
        <w:kinsoku/>
        <w:wordWrap/>
        <w:overflowPunct/>
        <w:topLinePunct w:val="0"/>
        <w:autoSpaceDE w:val="0"/>
        <w:autoSpaceDN w:val="0"/>
        <w:bidi w:val="0"/>
        <w:adjustRightInd/>
        <w:snapToGrid/>
        <w:spacing w:line="360" w:lineRule="auto"/>
        <w:jc w:val="center"/>
        <w:textAlignment w:val="bottom"/>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报 </w:t>
      </w:r>
      <w:r>
        <w:rPr>
          <w:rFonts w:hint="eastAsia" w:ascii="宋体" w:hAnsi="宋体"/>
          <w:b/>
          <w:color w:val="000000" w:themeColor="text1"/>
          <w:sz w:val="28"/>
          <w:szCs w:val="28"/>
          <w:highlight w:val="none"/>
          <w:lang w:val="en-US" w:eastAsia="zh-CN"/>
          <w14:textFill>
            <w14:solidFill>
              <w14:schemeClr w14:val="tx1"/>
            </w14:solidFill>
          </w14:textFill>
        </w:rPr>
        <w:t>名</w:t>
      </w:r>
      <w:r>
        <w:rPr>
          <w:rFonts w:hint="eastAsia" w:ascii="宋体" w:hAnsi="宋体"/>
          <w:b/>
          <w:color w:val="000000" w:themeColor="text1"/>
          <w:sz w:val="28"/>
          <w:szCs w:val="28"/>
          <w:highlight w:val="none"/>
          <w14:textFill>
            <w14:solidFill>
              <w14:schemeClr w14:val="tx1"/>
            </w14:solidFill>
          </w14:textFill>
        </w:rPr>
        <w:t xml:space="preserve"> 函</w:t>
      </w:r>
    </w:p>
    <w:p>
      <w:pPr>
        <w:keepNext w:val="0"/>
        <w:keepLines w:val="0"/>
        <w:pageBreakBefore w:val="0"/>
        <w:widowControl/>
        <w:tabs>
          <w:tab w:val="left" w:pos="142"/>
        </w:tabs>
        <w:kinsoku/>
        <w:wordWrap/>
        <w:overflowPunct/>
        <w:topLinePunct w:val="0"/>
        <w:autoSpaceDE w:val="0"/>
        <w:autoSpaceDN w:val="0"/>
        <w:bidi w:val="0"/>
        <w:adjustRightInd/>
        <w:snapToGrid/>
        <w:spacing w:line="360" w:lineRule="auto"/>
        <w:jc w:val="center"/>
        <w:textAlignment w:val="bottom"/>
        <w:rPr>
          <w:rFonts w:hint="eastAsia" w:ascii="宋体" w:hAnsi="宋体"/>
          <w:color w:val="000000" w:themeColor="text1"/>
          <w:sz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广东省机场管理集团有限公司：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依据贵方 </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广东机场集团服务质量测评</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项目</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的采购文件，我方代表</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姓名、职务）</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经正式授权</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并代表</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供应商</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名称、地址）</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提交下述文件正本</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份，副本</w:t>
      </w:r>
      <w:r>
        <w:rPr>
          <w:rFonts w:hint="eastAsia" w:asciiTheme="majorEastAsia" w:hAnsiTheme="majorEastAsia" w:eastAsiaTheme="majorEastAsia" w:cstheme="majorEastAsia"/>
          <w:color w:val="000000" w:themeColor="text1"/>
          <w:sz w:val="24"/>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在此，我方声明如下：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1.同意并接受采购的各项要求，遵守采购文件中的各项规定，按采购文件的要求提供报价。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2.报名有效期为递交报名文件之日起 </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9</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0 天内。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3.我方已经详细地阅读了全部采购文件及其附件，包括澄清及参考文件(如果有的话)。我方已完全清晰理解采购的要求，不存在任何含糊不清和误解之处，同意放弃对这些文件所提出的异议和质疑的权利。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4.我方已毫无保留地向贵方提供一切所需的证明材料。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5.我方承诺在本次采购中提供的一切文件，无论是原件还是复印件均为真实和准确的，绝无任何虚假、伪造和夸大的成份，否则，愿承担相应的后果和法律责任。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6.我方完全服从和尊重评委会所作的评定结果，同时清楚理解到报价最低并非意味着必定获得成为最终供应商资格。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7.我方将完全响应采购</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方</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提供的合同版本</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bidi w:val="0"/>
        <w:adjustRightInd/>
        <w:snapToGrid/>
        <w:spacing w:line="360" w:lineRule="auto"/>
        <w:rPr>
          <w:rFonts w:hint="eastAsia"/>
          <w:color w:val="000000" w:themeColor="text1"/>
          <w:highlight w:val="none"/>
          <w14:textFill>
            <w14:solidFill>
              <w14:schemeClr w14:val="tx1"/>
            </w14:solidFill>
          </w14:textFill>
        </w:rPr>
      </w:pPr>
    </w:p>
    <w:p>
      <w:pPr>
        <w:keepNext w:val="0"/>
        <w:keepLines w:val="0"/>
        <w:pageBreakBefore w:val="0"/>
        <w:widowControl/>
        <w:tabs>
          <w:tab w:val="left" w:pos="142"/>
        </w:tabs>
        <w:kinsoku/>
        <w:wordWrap/>
        <w:overflowPunct/>
        <w:topLinePunct w:val="0"/>
        <w:autoSpaceDE w:val="0"/>
        <w:autoSpaceDN w:val="0"/>
        <w:bidi w:val="0"/>
        <w:adjustRightInd/>
        <w:snapToGrid/>
        <w:spacing w:line="360" w:lineRule="auto"/>
        <w:textAlignment w:val="bottom"/>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供应商：（公章</w:t>
      </w:r>
      <w:r>
        <w:rPr>
          <w:rFonts w:hint="eastAsia"/>
          <w:color w:val="000000" w:themeColor="text1"/>
          <w:sz w:val="24"/>
          <w:szCs w:val="24"/>
          <w:highlight w:val="none"/>
          <w:lang w:eastAsia="zh-CN"/>
          <w14:textFill>
            <w14:solidFill>
              <w14:schemeClr w14:val="tx1"/>
            </w14:solidFill>
          </w14:textFill>
        </w:rPr>
        <w:t>）</w:t>
      </w:r>
    </w:p>
    <w:p>
      <w:pPr>
        <w:keepNext w:val="0"/>
        <w:keepLines w:val="0"/>
        <w:pageBreakBefore w:val="0"/>
        <w:widowControl/>
        <w:tabs>
          <w:tab w:val="left" w:pos="142"/>
        </w:tabs>
        <w:kinsoku/>
        <w:wordWrap/>
        <w:overflowPunct/>
        <w:topLinePunct w:val="0"/>
        <w:autoSpaceDE w:val="0"/>
        <w:autoSpaceDN w:val="0"/>
        <w:bidi w:val="0"/>
        <w:adjustRightInd/>
        <w:snapToGrid/>
        <w:spacing w:line="360" w:lineRule="auto"/>
        <w:textAlignment w:val="bottom"/>
        <w:rPr>
          <w:rFonts w:hint="eastAsia"/>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地址：</w:t>
      </w:r>
    </w:p>
    <w:p>
      <w:pPr>
        <w:pStyle w:val="2"/>
        <w:keepNext w:val="0"/>
        <w:keepLines w:val="0"/>
        <w:pageBreakBefore w:val="0"/>
        <w:kinsoku/>
        <w:wordWrap/>
        <w:overflowPunct/>
        <w:topLinePunct w:val="0"/>
        <w:bidi w:val="0"/>
        <w:adjustRightInd/>
        <w:snapToGrid/>
        <w:spacing w:line="36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电话：</w:t>
      </w:r>
    </w:p>
    <w:p>
      <w:pPr>
        <w:keepNext w:val="0"/>
        <w:keepLines w:val="0"/>
        <w:pageBreakBefore w:val="0"/>
        <w:kinsoku/>
        <w:wordWrap/>
        <w:overflowPunct/>
        <w:topLinePunct w:val="0"/>
        <w:bidi w:val="0"/>
        <w:adjustRightInd/>
        <w:snapToGrid/>
        <w:spacing w:line="360" w:lineRule="auto"/>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传真：</w:t>
      </w:r>
    </w:p>
    <w:p>
      <w:pPr>
        <w:keepNext w:val="0"/>
        <w:keepLines w:val="0"/>
        <w:pageBreakBefore w:val="0"/>
        <w:widowControl/>
        <w:tabs>
          <w:tab w:val="left" w:pos="142"/>
        </w:tabs>
        <w:kinsoku/>
        <w:wordWrap/>
        <w:overflowPunct/>
        <w:topLinePunct w:val="0"/>
        <w:autoSpaceDE w:val="0"/>
        <w:autoSpaceDN w:val="0"/>
        <w:bidi w:val="0"/>
        <w:adjustRightInd/>
        <w:snapToGrid/>
        <w:spacing w:line="360" w:lineRule="auto"/>
        <w:textAlignment w:val="bottom"/>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法定代表人或授权代表签名：</w:t>
      </w:r>
    </w:p>
    <w:p>
      <w:pPr>
        <w:keepNext w:val="0"/>
        <w:keepLines w:val="0"/>
        <w:pageBreakBefore w:val="0"/>
        <w:widowControl/>
        <w:tabs>
          <w:tab w:val="left" w:pos="142"/>
        </w:tabs>
        <w:kinsoku/>
        <w:wordWrap/>
        <w:overflowPunct/>
        <w:topLinePunct w:val="0"/>
        <w:autoSpaceDE w:val="0"/>
        <w:autoSpaceDN w:val="0"/>
        <w:bidi w:val="0"/>
        <w:adjustRightInd/>
        <w:snapToGrid/>
        <w:spacing w:line="360" w:lineRule="auto"/>
        <w:textAlignment w:val="bottom"/>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p>
    <w:p>
      <w:pPr>
        <w:keepNext w:val="0"/>
        <w:keepLines w:val="0"/>
        <w:pageBreakBefore w:val="0"/>
        <w:kinsoku/>
        <w:wordWrap/>
        <w:overflowPunct/>
        <w:topLinePunct w:val="0"/>
        <w:bidi w:val="0"/>
        <w:adjustRightInd/>
        <w:snapToGrid/>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br w:type="page"/>
      </w:r>
    </w:p>
    <w:p>
      <w:pPr>
        <w:pStyle w:val="26"/>
        <w:keepNext w:val="0"/>
        <w:keepLines w:val="0"/>
        <w:pageBreakBefore w:val="0"/>
        <w:kinsoku/>
        <w:wordWrap/>
        <w:overflowPunct/>
        <w:topLinePunct w:val="0"/>
        <w:autoSpaceDE/>
        <w:autoSpaceDN/>
        <w:bidi w:val="0"/>
        <w:adjustRightInd/>
        <w:snapToGrid/>
        <w:ind w:left="0" w:leftChars="0" w:firstLine="0" w:firstLineChars="0"/>
        <w:jc w:val="left"/>
        <w:textAlignment w:val="auto"/>
        <w:rPr>
          <w:rFonts w:hint="default" w:ascii="黑体" w:hAnsi="黑体" w:eastAsia="黑体" w:cs="黑体"/>
          <w:b w:val="0"/>
          <w:bCs/>
          <w:color w:val="000000" w:themeColor="text1"/>
          <w:sz w:val="28"/>
          <w:szCs w:val="28"/>
          <w:highlight w:val="none"/>
          <w:u w:val="none"/>
          <w:lang w:val="en-US" w:eastAsia="zh-CN"/>
          <w14:textFill>
            <w14:solidFill>
              <w14:schemeClr w14:val="tx1"/>
            </w14:solidFill>
          </w14:textFill>
        </w:rPr>
      </w:pPr>
      <w:r>
        <w:rPr>
          <w:rFonts w:hint="eastAsia" w:ascii="黑体" w:hAnsi="黑体" w:eastAsia="黑体" w:cs="黑体"/>
          <w:b w:val="0"/>
          <w:bCs/>
          <w:color w:val="000000" w:themeColor="text1"/>
          <w:sz w:val="28"/>
          <w:szCs w:val="28"/>
          <w:highlight w:val="none"/>
          <w:u w:val="none"/>
          <w:lang w:val="en-US" w:eastAsia="zh-CN"/>
          <w14:textFill>
            <w14:solidFill>
              <w14:schemeClr w14:val="tx1"/>
            </w14:solidFill>
          </w14:textFill>
        </w:rPr>
        <w:t>二、报价表</w:t>
      </w:r>
    </w:p>
    <w:p>
      <w:pPr>
        <w:bidi w:val="0"/>
        <w:jc w:val="cente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t>2.1 报价表</w:t>
      </w:r>
    </w:p>
    <w:p>
      <w:pPr>
        <w:widowControl w:val="0"/>
        <w:kinsoku/>
        <w:overflowPunct/>
        <w:topLinePunct w:val="0"/>
        <w:bidi w:val="0"/>
        <w:ind w:firstLine="480" w:firstLineChars="200"/>
        <w:jc w:val="left"/>
        <w:rPr>
          <w:rFonts w:hint="eastAsia" w:ascii="仿宋_GB2312" w:eastAsia="仿宋_GB2312"/>
          <w:color w:val="000000" w:themeColor="text1"/>
          <w:sz w:val="24"/>
          <w:szCs w:val="24"/>
          <w:highlight w:val="none"/>
          <w14:textFill>
            <w14:solidFill>
              <w14:schemeClr w14:val="tx1"/>
            </w14:solidFill>
          </w14:textFill>
        </w:rPr>
      </w:pPr>
    </w:p>
    <w:p>
      <w:pPr>
        <w:widowControl w:val="0"/>
        <w:kinsoku/>
        <w:overflowPunct/>
        <w:topLinePunct w:val="0"/>
        <w:bidi w:val="0"/>
        <w:ind w:firstLine="480" w:firstLineChars="200"/>
        <w:jc w:val="left"/>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项目名称：</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广东机场集团服务质量测评项目</w:t>
      </w:r>
    </w:p>
    <w:tbl>
      <w:tblPr>
        <w:tblStyle w:val="14"/>
        <w:tblW w:w="9693" w:type="dxa"/>
        <w:tblInd w:w="-39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966"/>
        <w:gridCol w:w="2085"/>
        <w:gridCol w:w="66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966" w:type="dxa"/>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序号</w:t>
            </w:r>
          </w:p>
        </w:tc>
        <w:tc>
          <w:tcPr>
            <w:tcW w:w="2085" w:type="dxa"/>
            <w:noWrap w:val="0"/>
            <w:vAlign w:val="center"/>
          </w:tcPr>
          <w:p>
            <w:pPr>
              <w:widowControl w:val="0"/>
              <w:kinsoku/>
              <w:overflowPunct/>
              <w:topLinePunct w:val="0"/>
              <w:bidi w:val="0"/>
              <w:ind w:firstLine="0" w:firstLineChars="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内容</w:t>
            </w:r>
          </w:p>
        </w:tc>
        <w:tc>
          <w:tcPr>
            <w:tcW w:w="6642" w:type="dxa"/>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报价（单位：人民币元）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134" w:hRule="atLeast"/>
        </w:trPr>
        <w:tc>
          <w:tcPr>
            <w:tcW w:w="966" w:type="dxa"/>
            <w:noWrap w:val="0"/>
            <w:vAlign w:val="center"/>
          </w:tcPr>
          <w:p>
            <w:pPr>
              <w:widowControl w:val="0"/>
              <w:kinsoku/>
              <w:overflowPunct/>
              <w:topLinePunct w:val="0"/>
              <w:bidi w:val="0"/>
              <w:ind w:firstLine="1"/>
              <w:jc w:val="center"/>
              <w:rPr>
                <w:rFonts w:hint="eastAsia" w:asciiTheme="majorEastAsia" w:hAnsiTheme="majorEastAsia" w:eastAsiaTheme="majorEastAsia" w:cstheme="majorEastAsia"/>
                <w:b/>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lang w:val="en-US" w:eastAsia="zh-CN"/>
                <w14:textFill>
                  <w14:solidFill>
                    <w14:schemeClr w14:val="tx1"/>
                  </w14:solidFill>
                </w14:textFill>
              </w:rPr>
              <w:t>1</w:t>
            </w:r>
          </w:p>
        </w:tc>
        <w:tc>
          <w:tcPr>
            <w:tcW w:w="2085" w:type="dxa"/>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2022年报价</w:t>
            </w:r>
          </w:p>
        </w:tc>
        <w:tc>
          <w:tcPr>
            <w:tcW w:w="6642" w:type="dxa"/>
            <w:noWrap w:val="0"/>
            <w:vAlign w:val="center"/>
          </w:tcPr>
          <w:p>
            <w:pPr>
              <w:widowControl w:val="0"/>
              <w:kinsoku/>
              <w:overflowPunct/>
              <w:topLinePunct w:val="0"/>
              <w:bidi w:val="0"/>
              <w:jc w:val="left"/>
              <w:rPr>
                <w:rFonts w:hint="eastAsia" w:asciiTheme="majorEastAsia" w:hAnsiTheme="majorEastAsia" w:eastAsiaTheme="majorEastAsia" w:cstheme="majorEastAsia"/>
                <w:b/>
                <w:color w:val="000000" w:themeColor="text1"/>
                <w:sz w:val="24"/>
                <w:szCs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134" w:hRule="atLeast"/>
        </w:trPr>
        <w:tc>
          <w:tcPr>
            <w:tcW w:w="966" w:type="dxa"/>
            <w:noWrap w:val="0"/>
            <w:vAlign w:val="center"/>
          </w:tcPr>
          <w:p>
            <w:pPr>
              <w:widowControl w:val="0"/>
              <w:kinsoku/>
              <w:overflowPunct/>
              <w:topLinePunct w:val="0"/>
              <w:bidi w:val="0"/>
              <w:ind w:firstLine="1"/>
              <w:jc w:val="center"/>
              <w:rPr>
                <w:rFonts w:hint="eastAsia" w:asciiTheme="majorEastAsia" w:hAnsiTheme="majorEastAsia" w:eastAsiaTheme="majorEastAsia" w:cstheme="majorEastAsia"/>
                <w:b/>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lang w:val="en-US" w:eastAsia="zh-CN"/>
                <w14:textFill>
                  <w14:solidFill>
                    <w14:schemeClr w14:val="tx1"/>
                  </w14:solidFill>
                </w14:textFill>
              </w:rPr>
              <w:t>2</w:t>
            </w:r>
          </w:p>
        </w:tc>
        <w:tc>
          <w:tcPr>
            <w:tcW w:w="2085" w:type="dxa"/>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2023年报价</w:t>
            </w:r>
          </w:p>
        </w:tc>
        <w:tc>
          <w:tcPr>
            <w:tcW w:w="6642" w:type="dxa"/>
            <w:noWrap w:val="0"/>
            <w:vAlign w:val="center"/>
          </w:tcPr>
          <w:p>
            <w:pPr>
              <w:widowControl w:val="0"/>
              <w:kinsoku/>
              <w:overflowPunct/>
              <w:topLinePunct w:val="0"/>
              <w:bidi w:val="0"/>
              <w:jc w:val="left"/>
              <w:rPr>
                <w:rFonts w:hint="eastAsia" w:asciiTheme="majorEastAsia" w:hAnsiTheme="majorEastAsia" w:eastAsiaTheme="majorEastAsia" w:cstheme="majorEastAsia"/>
                <w:b/>
                <w:color w:val="000000" w:themeColor="text1"/>
                <w:sz w:val="24"/>
                <w:szCs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134" w:hRule="atLeast"/>
        </w:trPr>
        <w:tc>
          <w:tcPr>
            <w:tcW w:w="966" w:type="dxa"/>
            <w:noWrap w:val="0"/>
            <w:vAlign w:val="center"/>
          </w:tcPr>
          <w:p>
            <w:pPr>
              <w:widowControl w:val="0"/>
              <w:kinsoku/>
              <w:overflowPunct/>
              <w:topLinePunct w:val="0"/>
              <w:bidi w:val="0"/>
              <w:ind w:firstLine="1"/>
              <w:jc w:val="center"/>
              <w:rPr>
                <w:rFonts w:hint="eastAsia" w:asciiTheme="majorEastAsia" w:hAnsiTheme="majorEastAsia" w:eastAsiaTheme="majorEastAsia" w:cstheme="majorEastAsia"/>
                <w:b/>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lang w:val="en-US" w:eastAsia="zh-CN"/>
                <w14:textFill>
                  <w14:solidFill>
                    <w14:schemeClr w14:val="tx1"/>
                  </w14:solidFill>
                </w14:textFill>
              </w:rPr>
              <w:t>3</w:t>
            </w:r>
          </w:p>
        </w:tc>
        <w:tc>
          <w:tcPr>
            <w:tcW w:w="2085" w:type="dxa"/>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2024年报价</w:t>
            </w:r>
          </w:p>
        </w:tc>
        <w:tc>
          <w:tcPr>
            <w:tcW w:w="6642" w:type="dxa"/>
            <w:noWrap w:val="0"/>
            <w:vAlign w:val="center"/>
          </w:tcPr>
          <w:p>
            <w:pPr>
              <w:widowControl w:val="0"/>
              <w:kinsoku/>
              <w:overflowPunct/>
              <w:topLinePunct w:val="0"/>
              <w:bidi w:val="0"/>
              <w:jc w:val="left"/>
              <w:rPr>
                <w:rFonts w:hint="eastAsia" w:asciiTheme="majorEastAsia" w:hAnsiTheme="majorEastAsia" w:eastAsiaTheme="majorEastAsia" w:cstheme="majorEastAsia"/>
                <w:b/>
                <w:color w:val="000000" w:themeColor="text1"/>
                <w:sz w:val="24"/>
                <w:szCs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309" w:hRule="atLeast"/>
        </w:trPr>
        <w:tc>
          <w:tcPr>
            <w:tcW w:w="966" w:type="dxa"/>
            <w:noWrap w:val="0"/>
            <w:vAlign w:val="center"/>
          </w:tcPr>
          <w:p>
            <w:pPr>
              <w:widowControl w:val="0"/>
              <w:kinsoku/>
              <w:overflowPunct/>
              <w:topLinePunct w:val="0"/>
              <w:bidi w:val="0"/>
              <w:ind w:firstLine="1"/>
              <w:jc w:val="center"/>
              <w:rPr>
                <w:rFonts w:hint="eastAsia" w:asciiTheme="majorEastAsia" w:hAnsiTheme="majorEastAsia" w:eastAsiaTheme="majorEastAsia" w:cstheme="majorEastAsia"/>
                <w:b/>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lang w:val="en-US" w:eastAsia="zh-CN"/>
                <w14:textFill>
                  <w14:solidFill>
                    <w14:schemeClr w14:val="tx1"/>
                  </w14:solidFill>
                </w14:textFill>
              </w:rPr>
              <w:t>4</w:t>
            </w:r>
          </w:p>
        </w:tc>
        <w:tc>
          <w:tcPr>
            <w:tcW w:w="2085" w:type="dxa"/>
            <w:noWrap w:val="0"/>
            <w:vAlign w:val="center"/>
          </w:tcPr>
          <w:p>
            <w:pPr>
              <w:widowControl w:val="0"/>
              <w:kinsoku/>
              <w:overflowPunct/>
              <w:topLinePunct w:val="0"/>
              <w:bidi w:val="0"/>
              <w:jc w:val="cente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lang w:val="en-US" w:eastAsia="zh-CN"/>
                <w14:textFill>
                  <w14:solidFill>
                    <w14:schemeClr w14:val="tx1"/>
                  </w14:solidFill>
                </w14:textFill>
              </w:rPr>
              <w:t>总</w:t>
            </w: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报价</w:t>
            </w:r>
          </w:p>
        </w:tc>
        <w:tc>
          <w:tcPr>
            <w:tcW w:w="6642" w:type="dxa"/>
            <w:noWrap w:val="0"/>
            <w:vAlign w:val="center"/>
          </w:tcPr>
          <w:p>
            <w:pPr>
              <w:widowControl w:val="0"/>
              <w:kinsoku/>
              <w:overflowPunct/>
              <w:topLinePunct w:val="0"/>
              <w:bidi w:val="0"/>
              <w:ind w:firstLine="482" w:firstLineChars="200"/>
              <w:jc w:val="left"/>
              <w:rPr>
                <w:rFonts w:hint="eastAsia" w:asciiTheme="majorEastAsia" w:hAnsiTheme="majorEastAsia" w:eastAsiaTheme="majorEastAsia" w:cstheme="majorEastAsia"/>
                <w:b/>
                <w:color w:val="000000" w:themeColor="text1"/>
                <w:sz w:val="24"/>
                <w:szCs w:val="24"/>
                <w:highlight w:val="none"/>
                <w:u w:val="single"/>
                <w14:textFill>
                  <w14:solidFill>
                    <w14:schemeClr w14:val="tx1"/>
                  </w14:solidFill>
                </w14:textFill>
              </w:rPr>
            </w:pPr>
          </w:p>
          <w:p>
            <w:pPr>
              <w:widowControl w:val="0"/>
              <w:kinsoku/>
              <w:overflowPunct/>
              <w:topLinePunct w:val="0"/>
              <w:bidi w:val="0"/>
              <w:jc w:val="left"/>
              <w:rPr>
                <w:rFonts w:hint="eastAsia" w:asciiTheme="majorEastAsia" w:hAnsiTheme="majorEastAsia" w:eastAsiaTheme="majorEastAsia" w:cstheme="majorEastAsia"/>
                <w:b/>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u w:val="single"/>
                <w14:textFill>
                  <w14:solidFill>
                    <w14:schemeClr w14:val="tx1"/>
                  </w14:solidFill>
                </w14:textFill>
              </w:rPr>
              <w:t>小写：</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w:t>
            </w:r>
            <w:r>
              <w:rPr>
                <w:rFonts w:hint="eastAsia" w:asciiTheme="majorEastAsia" w:hAnsiTheme="majorEastAsia" w:eastAsiaTheme="majorEastAsia" w:cstheme="majorEastAsia"/>
                <w:b/>
                <w:color w:val="000000" w:themeColor="text1"/>
                <w:sz w:val="24"/>
                <w:szCs w:val="24"/>
                <w:highlight w:val="none"/>
                <w:u w:val="single"/>
                <w14:textFill>
                  <w14:solidFill>
                    <w14:schemeClr w14:val="tx1"/>
                  </w14:solidFill>
                </w14:textFill>
              </w:rPr>
              <w:t xml:space="preserve">                                               </w:t>
            </w:r>
          </w:p>
          <w:p>
            <w:pPr>
              <w:widowControl w:val="0"/>
              <w:kinsoku/>
              <w:overflowPunct/>
              <w:topLinePunct w:val="0"/>
              <w:bidi w:val="0"/>
              <w:ind w:firstLine="482" w:firstLineChars="200"/>
              <w:jc w:val="left"/>
              <w:rPr>
                <w:rFonts w:hint="eastAsia" w:asciiTheme="majorEastAsia" w:hAnsiTheme="majorEastAsia" w:eastAsiaTheme="majorEastAsia" w:cstheme="majorEastAsia"/>
                <w:b/>
                <w:color w:val="000000" w:themeColor="text1"/>
                <w:sz w:val="24"/>
                <w:szCs w:val="24"/>
                <w:highlight w:val="none"/>
                <w:u w:val="single"/>
                <w14:textFill>
                  <w14:solidFill>
                    <w14:schemeClr w14:val="tx1"/>
                  </w14:solidFill>
                </w14:textFill>
              </w:rPr>
            </w:pPr>
          </w:p>
          <w:p>
            <w:pPr>
              <w:widowControl w:val="0"/>
              <w:kinsoku/>
              <w:overflowPunct/>
              <w:topLinePunct w:val="0"/>
              <w:bidi w:val="0"/>
              <w:jc w:val="left"/>
              <w:rPr>
                <w:rFonts w:hint="eastAsia" w:asciiTheme="majorEastAsia" w:hAnsiTheme="majorEastAsia" w:eastAsiaTheme="majorEastAsia" w:cstheme="majorEastAsia"/>
                <w:b/>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u w:val="single"/>
                <w14:textFill>
                  <w14:solidFill>
                    <w14:schemeClr w14:val="tx1"/>
                  </w14:solidFill>
                </w14:textFill>
              </w:rPr>
              <w:t xml:space="preserve">大写：人民币                                          </w:t>
            </w:r>
          </w:p>
        </w:tc>
      </w:tr>
    </w:tbl>
    <w:p>
      <w:pPr>
        <w:widowControl w:val="0"/>
        <w:kinsoku/>
        <w:overflowPunct/>
        <w:topLinePunct w:val="0"/>
        <w:bidi w:val="0"/>
        <w:ind w:firstLine="482" w:firstLineChars="200"/>
        <w:jc w:val="left"/>
        <w:rPr>
          <w:rFonts w:hint="eastAsia" w:asciiTheme="majorEastAsia" w:hAnsiTheme="majorEastAsia" w:eastAsiaTheme="majorEastAsia" w:cstheme="majorEastAsia"/>
          <w:b/>
          <w:bCs/>
          <w:color w:val="000000" w:themeColor="text1"/>
          <w:sz w:val="24"/>
          <w:highlight w:val="none"/>
          <w14:textFill>
            <w14:solidFill>
              <w14:schemeClr w14:val="tx1"/>
            </w14:solidFill>
          </w14:textFill>
        </w:rPr>
      </w:pPr>
    </w:p>
    <w:p>
      <w:pPr>
        <w:widowControl w:val="0"/>
        <w:ind w:firstLineChars="200"/>
        <w:jc w:val="left"/>
        <w:rPr>
          <w:rFonts w:hint="eastAsia" w:asciiTheme="majorEastAsia" w:hAnsiTheme="majorEastAsia" w:eastAsiaTheme="majorEastAsia" w:cstheme="majorEastAsia"/>
          <w:b/>
          <w:bCs/>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t>注：</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1.</w:t>
      </w:r>
      <w: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t>此表除应附在投标文件正本和副本内之外，还应单独制作一份密封在“</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报价</w:t>
      </w:r>
      <w: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t>信封”中</w:t>
      </w:r>
      <w:r>
        <w:rPr>
          <w:rFonts w:hint="eastAsia" w:asciiTheme="majorEastAsia" w:hAnsiTheme="majorEastAsia" w:eastAsiaTheme="majorEastAsia" w:cstheme="majorEastAsia"/>
          <w:b/>
          <w:bCs/>
          <w:color w:val="000000" w:themeColor="text1"/>
          <w:sz w:val="21"/>
          <w:szCs w:val="21"/>
          <w:highlight w:val="none"/>
          <w:lang w:eastAsia="zh-CN"/>
          <w14:textFill>
            <w14:solidFill>
              <w14:schemeClr w14:val="tx1"/>
            </w14:solidFill>
          </w14:textFill>
        </w:rPr>
        <w:t>。</w:t>
      </w:r>
    </w:p>
    <w:p>
      <w:pPr>
        <w:widowControl w:val="0"/>
        <w:ind w:firstLineChars="200"/>
        <w:jc w:val="left"/>
        <w:rPr>
          <w:rFonts w:hint="eastAsia" w:asciiTheme="majorEastAsia" w:hAnsiTheme="majorEastAsia" w:eastAsiaTheme="majorEastAsia" w:cstheme="majorEastAsia"/>
          <w:b/>
          <w:bCs/>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highlight w:val="none"/>
          <w:u w:val="none"/>
          <w:lang w:val="en-US" w:eastAsia="zh-CN"/>
          <w14:textFill>
            <w14:solidFill>
              <w14:schemeClr w14:val="tx1"/>
            </w14:solidFill>
          </w14:textFill>
        </w:rPr>
        <w:t>2.</w:t>
      </w:r>
      <w:r>
        <w:rPr>
          <w:rFonts w:hint="eastAsia" w:asciiTheme="majorEastAsia" w:hAnsiTheme="majorEastAsia" w:eastAsiaTheme="majorEastAsia" w:cstheme="majorEastAsia"/>
          <w:b/>
          <w:bCs/>
          <w:color w:val="000000" w:themeColor="text1"/>
          <w:sz w:val="21"/>
          <w:szCs w:val="21"/>
          <w:highlight w:val="none"/>
          <w:u w:val="none"/>
          <w:lang w:eastAsia="zh-CN"/>
          <w14:textFill>
            <w14:solidFill>
              <w14:schemeClr w14:val="tx1"/>
            </w14:solidFill>
          </w14:textFill>
        </w:rPr>
        <w:t>采购</w:t>
      </w:r>
      <w:r>
        <w:rPr>
          <w:rFonts w:hint="eastAsia" w:asciiTheme="majorEastAsia" w:hAnsiTheme="majorEastAsia" w:eastAsiaTheme="majorEastAsia" w:cstheme="majorEastAsia"/>
          <w:b/>
          <w:bCs/>
          <w:color w:val="000000" w:themeColor="text1"/>
          <w:sz w:val="21"/>
          <w:szCs w:val="21"/>
          <w:highlight w:val="none"/>
          <w:u w:val="none"/>
          <w:lang w:val="en-US" w:eastAsia="zh-CN"/>
          <w14:textFill>
            <w14:solidFill>
              <w14:schemeClr w14:val="tx1"/>
            </w14:solidFill>
          </w14:textFill>
        </w:rPr>
        <w:t>方</w:t>
      </w:r>
      <w:r>
        <w:rPr>
          <w:rFonts w:hint="eastAsia" w:asciiTheme="majorEastAsia" w:hAnsiTheme="majorEastAsia" w:eastAsiaTheme="majorEastAsia" w:cstheme="majorEastAsia"/>
          <w:b/>
          <w:bCs/>
          <w:color w:val="000000" w:themeColor="text1"/>
          <w:sz w:val="21"/>
          <w:szCs w:val="21"/>
          <w:highlight w:val="none"/>
          <w:u w:val="none"/>
          <w:lang w:eastAsia="zh-CN"/>
          <w14:textFill>
            <w14:solidFill>
              <w14:schemeClr w14:val="tx1"/>
            </w14:solidFill>
          </w14:textFill>
        </w:rPr>
        <w:t>无需为上述约定的</w:t>
      </w:r>
      <w:r>
        <w:rPr>
          <w:rFonts w:hint="eastAsia" w:asciiTheme="majorEastAsia" w:hAnsiTheme="majorEastAsia" w:eastAsiaTheme="majorEastAsia" w:cstheme="majorEastAsia"/>
          <w:b/>
          <w:bCs/>
          <w:color w:val="000000" w:themeColor="text1"/>
          <w:sz w:val="21"/>
          <w:szCs w:val="21"/>
          <w:highlight w:val="none"/>
          <w:u w:val="none"/>
          <w:lang w:val="en-US" w:eastAsia="zh-CN"/>
          <w14:textFill>
            <w14:solidFill>
              <w14:schemeClr w14:val="tx1"/>
            </w14:solidFill>
          </w14:textFill>
        </w:rPr>
        <w:t>项目</w:t>
      </w:r>
      <w:r>
        <w:rPr>
          <w:rFonts w:hint="eastAsia" w:asciiTheme="majorEastAsia" w:hAnsiTheme="majorEastAsia" w:eastAsiaTheme="majorEastAsia" w:cstheme="majorEastAsia"/>
          <w:b/>
          <w:bCs/>
          <w:color w:val="000000" w:themeColor="text1"/>
          <w:sz w:val="21"/>
          <w:szCs w:val="21"/>
          <w:highlight w:val="none"/>
          <w:u w:val="none"/>
          <w:lang w:eastAsia="zh-CN"/>
          <w14:textFill>
            <w14:solidFill>
              <w14:schemeClr w14:val="tx1"/>
            </w14:solidFill>
          </w14:textFill>
        </w:rPr>
        <w:t>再支付任何费用。</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采购方不承担供应商准备报名文件和递交报名文件以及参加本次采购活动所发生的任何成本或费用。</w:t>
      </w:r>
    </w:p>
    <w:p>
      <w:pPr>
        <w:widowControl w:val="0"/>
        <w:kinsoku/>
        <w:overflowPunct/>
        <w:topLinePunct w:val="0"/>
        <w:bidi w:val="0"/>
        <w:jc w:val="left"/>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pPr>
        <w:pStyle w:val="26"/>
        <w:ind w:firstLine="0" w:firstLineChars="0"/>
        <w:rPr>
          <w:rFonts w:hint="eastAsia" w:asciiTheme="majorEastAsia" w:hAnsiTheme="majorEastAsia" w:eastAsiaTheme="majorEastAsia" w:cstheme="majorEastAsia"/>
          <w:color w:val="000000" w:themeColor="text1"/>
          <w:szCs w:val="24"/>
          <w:highlight w:val="none"/>
          <w14:textFill>
            <w14:solidFill>
              <w14:schemeClr w14:val="tx1"/>
            </w14:solidFill>
          </w14:textFill>
        </w:rPr>
      </w:pPr>
    </w:p>
    <w:p>
      <w:pPr>
        <w:pStyle w:val="26"/>
        <w:ind w:firstLine="0" w:firstLineChars="0"/>
        <w:rPr>
          <w:rFonts w:hint="eastAsia" w:asciiTheme="majorEastAsia" w:hAnsiTheme="majorEastAsia" w:eastAsiaTheme="majorEastAsia" w:cstheme="majorEastAsia"/>
          <w:color w:val="000000" w:themeColor="text1"/>
          <w:szCs w:val="24"/>
          <w:highlight w:val="none"/>
          <w14:textFill>
            <w14:solidFill>
              <w14:schemeClr w14:val="tx1"/>
            </w14:solidFill>
          </w14:textFill>
        </w:rPr>
      </w:pPr>
    </w:p>
    <w:p>
      <w:pPr>
        <w:widowControl w:val="0"/>
        <w:tabs>
          <w:tab w:val="left" w:pos="142"/>
        </w:tabs>
        <w:kinsoku/>
        <w:overflowPunct/>
        <w:topLinePunct w:val="0"/>
        <w:autoSpaceDE w:val="0"/>
        <w:autoSpaceDN w:val="0"/>
        <w:bidi w:val="0"/>
        <w:jc w:val="both"/>
        <w:textAlignment w:val="bottom"/>
        <w:rPr>
          <w:rFonts w:hint="eastAsia"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lang w:val="en-US" w:eastAsia="zh-CN"/>
          <w14:textFill>
            <w14:solidFill>
              <w14:schemeClr w14:val="tx1"/>
            </w14:solidFill>
          </w14:textFill>
        </w:rPr>
        <w:t>供应商</w:t>
      </w:r>
      <w:r>
        <w:rPr>
          <w:rFonts w:hint="eastAsia" w:asciiTheme="majorEastAsia" w:hAnsiTheme="majorEastAsia" w:eastAsiaTheme="majorEastAsia" w:cstheme="majorEastAsia"/>
          <w:color w:val="000000" w:themeColor="text1"/>
          <w:sz w:val="24"/>
          <w:highlight w:val="none"/>
          <w14:textFill>
            <w14:solidFill>
              <w14:schemeClr w14:val="tx1"/>
            </w14:solidFill>
          </w14:textFill>
        </w:rPr>
        <w:t>全称（盖法人公章）：</w:t>
      </w:r>
    </w:p>
    <w:p>
      <w:pPr>
        <w:widowControl w:val="0"/>
        <w:tabs>
          <w:tab w:val="left" w:pos="142"/>
        </w:tabs>
        <w:kinsoku/>
        <w:overflowPunct/>
        <w:topLinePunct w:val="0"/>
        <w:autoSpaceDE w:val="0"/>
        <w:autoSpaceDN w:val="0"/>
        <w:bidi w:val="0"/>
        <w:jc w:val="both"/>
        <w:textAlignment w:val="bottom"/>
        <w:rPr>
          <w:rFonts w:hint="eastAsia" w:asciiTheme="majorEastAsia" w:hAnsiTheme="majorEastAsia" w:eastAsiaTheme="majorEastAsia" w:cstheme="majorEastAsia"/>
          <w:color w:val="000000" w:themeColor="text1"/>
          <w:sz w:val="24"/>
          <w:highlight w:val="none"/>
          <w14:textFill>
            <w14:solidFill>
              <w14:schemeClr w14:val="tx1"/>
            </w14:solidFill>
          </w14:textFill>
        </w:rPr>
      </w:pPr>
    </w:p>
    <w:p>
      <w:pPr>
        <w:widowControl w:val="0"/>
        <w:tabs>
          <w:tab w:val="left" w:pos="142"/>
        </w:tabs>
        <w:kinsoku/>
        <w:overflowPunct/>
        <w:topLinePunct w:val="0"/>
        <w:autoSpaceDE w:val="0"/>
        <w:autoSpaceDN w:val="0"/>
        <w:bidi w:val="0"/>
        <w:jc w:val="both"/>
        <w:textAlignment w:val="bottom"/>
        <w:rPr>
          <w:rFonts w:hint="eastAsia" w:asciiTheme="majorEastAsia" w:hAnsiTheme="majorEastAsia" w:eastAsiaTheme="majorEastAsia" w:cstheme="majorEastAsia"/>
          <w:color w:val="000000" w:themeColor="text1"/>
          <w:sz w:val="24"/>
          <w:highlight w:val="none"/>
          <w14:textFill>
            <w14:solidFill>
              <w14:schemeClr w14:val="tx1"/>
            </w14:solidFill>
          </w14:textFill>
        </w:rPr>
      </w:pPr>
    </w:p>
    <w:p>
      <w:pPr>
        <w:widowControl w:val="0"/>
        <w:tabs>
          <w:tab w:val="left" w:pos="142"/>
        </w:tabs>
        <w:kinsoku/>
        <w:overflowPunct/>
        <w:topLinePunct w:val="0"/>
        <w:autoSpaceDE w:val="0"/>
        <w:autoSpaceDN w:val="0"/>
        <w:bidi w:val="0"/>
        <w:jc w:val="both"/>
        <w:textAlignment w:val="bottom"/>
        <w:rPr>
          <w:rFonts w:hint="eastAsia"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14:textFill>
            <w14:solidFill>
              <w14:schemeClr w14:val="tx1"/>
            </w14:solidFill>
          </w14:textFill>
        </w:rPr>
        <w:t>授权代表签名：</w:t>
      </w:r>
    </w:p>
    <w:p>
      <w:pPr>
        <w:widowControl w:val="0"/>
        <w:tabs>
          <w:tab w:val="left" w:pos="142"/>
        </w:tabs>
        <w:kinsoku/>
        <w:overflowPunct/>
        <w:topLinePunct w:val="0"/>
        <w:autoSpaceDE w:val="0"/>
        <w:autoSpaceDN w:val="0"/>
        <w:bidi w:val="0"/>
        <w:jc w:val="both"/>
        <w:textAlignment w:val="bottom"/>
        <w:rPr>
          <w:rFonts w:hint="eastAsia" w:asciiTheme="majorEastAsia" w:hAnsiTheme="majorEastAsia" w:eastAsiaTheme="majorEastAsia" w:cstheme="majorEastAsia"/>
          <w:color w:val="000000" w:themeColor="text1"/>
          <w:sz w:val="24"/>
          <w:highlight w:val="none"/>
          <w14:textFill>
            <w14:solidFill>
              <w14:schemeClr w14:val="tx1"/>
            </w14:solidFill>
          </w14:textFill>
        </w:rPr>
      </w:pPr>
    </w:p>
    <w:p>
      <w:pPr>
        <w:widowControl w:val="0"/>
        <w:tabs>
          <w:tab w:val="left" w:pos="142"/>
        </w:tabs>
        <w:kinsoku/>
        <w:overflowPunct/>
        <w:topLinePunct w:val="0"/>
        <w:autoSpaceDE w:val="0"/>
        <w:autoSpaceDN w:val="0"/>
        <w:bidi w:val="0"/>
        <w:jc w:val="both"/>
        <w:textAlignment w:val="bottom"/>
        <w:rPr>
          <w:rFonts w:hint="eastAsia" w:asciiTheme="majorEastAsia" w:hAnsiTheme="majorEastAsia" w:eastAsiaTheme="majorEastAsia" w:cstheme="majorEastAsia"/>
          <w:color w:val="000000" w:themeColor="text1"/>
          <w:sz w:val="24"/>
          <w:highlight w:val="none"/>
          <w14:textFill>
            <w14:solidFill>
              <w14:schemeClr w14:val="tx1"/>
            </w14:solidFill>
          </w14:textFill>
        </w:rPr>
      </w:pPr>
    </w:p>
    <w:p>
      <w:pPr>
        <w:widowControl w:val="0"/>
        <w:tabs>
          <w:tab w:val="left" w:pos="142"/>
        </w:tabs>
        <w:kinsoku/>
        <w:overflowPunct/>
        <w:topLinePunct w:val="0"/>
        <w:autoSpaceDE w:val="0"/>
        <w:autoSpaceDN w:val="0"/>
        <w:bidi w:val="0"/>
        <w:jc w:val="both"/>
        <w:textAlignment w:val="bottom"/>
        <w:rPr>
          <w:rFonts w:hint="eastAsia"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14:textFill>
            <w14:solidFill>
              <w14:schemeClr w14:val="tx1"/>
            </w14:solidFill>
          </w14:textFill>
        </w:rPr>
        <w:t>日期：</w:t>
      </w:r>
    </w:p>
    <w:p>
      <w:pPr>
        <w:rPr>
          <w:rFonts w:hint="eastAsia"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br w:type="page"/>
      </w:r>
    </w:p>
    <w:p>
      <w:pPr>
        <w:bidi w:val="0"/>
        <w:jc w:val="cente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t>2.2 年度明细报价表</w:t>
      </w:r>
    </w:p>
    <w:tbl>
      <w:tblPr>
        <w:tblStyle w:val="14"/>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854"/>
        <w:gridCol w:w="2268"/>
        <w:gridCol w:w="1311"/>
        <w:gridCol w:w="922"/>
        <w:gridCol w:w="126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88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报价项目</w:t>
            </w:r>
          </w:p>
        </w:tc>
        <w:tc>
          <w:tcPr>
            <w:tcW w:w="412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具体项目</w:t>
            </w:r>
          </w:p>
        </w:tc>
        <w:tc>
          <w:tcPr>
            <w:tcW w:w="131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数量</w:t>
            </w:r>
          </w:p>
        </w:tc>
        <w:tc>
          <w:tcPr>
            <w:tcW w:w="92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单位</w:t>
            </w:r>
          </w:p>
        </w:tc>
        <w:tc>
          <w:tcPr>
            <w:tcW w:w="126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单价</w:t>
            </w:r>
          </w:p>
        </w:tc>
        <w:tc>
          <w:tcPr>
            <w:tcW w:w="137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jc w:val="center"/>
        </w:trPr>
        <w:tc>
          <w:tcPr>
            <w:tcW w:w="8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费用</w:t>
            </w:r>
          </w:p>
        </w:tc>
        <w:tc>
          <w:tcPr>
            <w:tcW w:w="18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1、</w:t>
            </w:r>
            <w:r>
              <w:rPr>
                <w:rFonts w:hint="eastAsia" w:asciiTheme="majorEastAsia" w:hAnsiTheme="majorEastAsia" w:eastAsiaTheme="majorEastAsia" w:cstheme="majorEastAsia"/>
                <w:bCs/>
                <w:color w:val="000000" w:themeColor="text1"/>
                <w:sz w:val="24"/>
                <w:szCs w:val="24"/>
                <w:highlight w:val="none"/>
                <w:lang w:eastAsia="zh-CN"/>
                <w14:textFill>
                  <w14:solidFill>
                    <w14:schemeClr w14:val="tx1"/>
                  </w14:solidFill>
                </w14:textFill>
              </w:rPr>
              <w:t>白云国际机场</w:t>
            </w: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服务质量测评</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1.1 问卷调查</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份</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1.2 访谈</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个</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1.3神秘顾客</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名</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1.4分期报告</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项</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1.5年度报告</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项</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1.6……</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2、揭阳潮汕机场</w:t>
            </w: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服务质量测评</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2.1问卷调查</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份</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2.2访谈</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个</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2.3神秘顾客</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名</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2.4分期报告</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项</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2.5年度报告</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项</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2.6……</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3、湛江机场</w:t>
            </w: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服务质量测评</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3.1问卷调查</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份</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3.2访谈</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个</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3.3神秘顾客</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名</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3.4分期报告</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项</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3.5年度报告</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项</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3.6……</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4、梅</w:t>
            </w: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州</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机场</w:t>
            </w: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服务质量测评</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4.1问卷调查</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份</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4.2访谈</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个</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4.3神秘顾客</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名</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4.4分期报告</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项</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4.5年度报告</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项</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4.6……</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5.惠州机场服务质量测评</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5</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.1问卷调查</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份</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5</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.2访谈</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个</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5</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.3神秘顾客</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名</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5</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.4分期报告</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项</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5</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.5年度报告</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项</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5</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.6……</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6.韶关机场服务质量测评</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6</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.1问卷调查</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份</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6</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.2访谈</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个</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6</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.3神秘顾客</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名</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6</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.4分期报告</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项</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6</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.5年度报告</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项</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6</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.6……</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7.物流公司服务质量测评</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7</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.1问卷调查</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份</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7</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.2访谈</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个</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7</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.3神秘顾客</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名</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7</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.4分期报告</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项</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7</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.5年度报告</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项</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8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7</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.6……</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kern w:val="2"/>
                <w:sz w:val="24"/>
                <w:szCs w:val="24"/>
                <w:highlight w:val="none"/>
                <w:lang w:val="en-US" w:eastAsia="zh-CN" w:bidi="ar-SA"/>
                <w14:textFill>
                  <w14:solidFill>
                    <w14:schemeClr w14:val="tx1"/>
                  </w14:solidFill>
                </w14:textFill>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883" w:type="dxa"/>
            <w:tcBorders>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年度合计</w:t>
            </w:r>
          </w:p>
        </w:tc>
        <w:tc>
          <w:tcPr>
            <w:tcW w:w="4122" w:type="dxa"/>
            <w:gridSpan w:val="2"/>
            <w:tcBorders>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（大写）人民币                 元</w:t>
            </w:r>
          </w:p>
        </w:tc>
        <w:tc>
          <w:tcPr>
            <w:tcW w:w="4873" w:type="dxa"/>
            <w:gridSpan w:val="4"/>
            <w:tcBorders>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小写）</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 xml:space="preserve"> 元</w:t>
            </w:r>
          </w:p>
        </w:tc>
      </w:tr>
    </w:tbl>
    <w:p>
      <w:pPr>
        <w:widowControl w:val="0"/>
        <w:kinsoku/>
        <w:overflowPunct/>
        <w:topLinePunct w:val="0"/>
        <w:bidi w:val="0"/>
        <w:snapToGrid w:val="0"/>
        <w:ind w:firstLine="630"/>
        <w:rPr>
          <w:rFonts w:hint="eastAsia" w:asciiTheme="majorEastAsia" w:hAnsiTheme="majorEastAsia" w:eastAsiaTheme="majorEastAsia" w:cstheme="majorEastAsia"/>
          <w:bCs/>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注：1</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.本表为年度明细报价表。如每年度报价和服务内容相同，可三年一并填写，并相应注明。如每年度报价和服务内容不同，应分开逐年填写。</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服务所需食宿、通讯、税费等费用计入投标总价</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各项单价已包含</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供应商</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应支付的全部税费。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表中已列出的调研形式和数量为</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采购方</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要求的基本内容和数量，表中未列出的数量由</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供应商</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根据自身的服务方案填报。除列出的调研形式和数量外，</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供应商</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可根据自身的服务方案填报额外增加的调研形式（或服务内容）和数量。</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采购方</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保留在项目实施过程中增加或减少各种调研形式数量的权利，并按</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供应商</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所报的单价及实际执行的调研数量进行结算。</w:t>
      </w:r>
    </w:p>
    <w:p>
      <w:pPr>
        <w:pStyle w:val="26"/>
        <w:ind w:firstLine="0" w:firstLineChars="0"/>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p>
    <w:p>
      <w:pPr>
        <w:keepNext w:val="0"/>
        <w:keepLines w:val="0"/>
        <w:pageBreakBefore w:val="0"/>
        <w:widowControl w:val="0"/>
        <w:tabs>
          <w:tab w:val="left" w:pos="142"/>
        </w:tabs>
        <w:kinsoku/>
        <w:wordWrap/>
        <w:overflowPunct/>
        <w:topLinePunct w:val="0"/>
        <w:autoSpaceDE w:val="0"/>
        <w:autoSpaceDN w:val="0"/>
        <w:bidi w:val="0"/>
        <w:adjustRightInd/>
        <w:snapToGrid/>
        <w:ind w:right="420"/>
        <w:textAlignment w:val="bottom"/>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pPr>
        <w:keepNext w:val="0"/>
        <w:keepLines w:val="0"/>
        <w:pageBreakBefore w:val="0"/>
        <w:widowControl w:val="0"/>
        <w:tabs>
          <w:tab w:val="left" w:pos="142"/>
        </w:tabs>
        <w:kinsoku/>
        <w:wordWrap/>
        <w:overflowPunct/>
        <w:topLinePunct w:val="0"/>
        <w:autoSpaceDE w:val="0"/>
        <w:autoSpaceDN w:val="0"/>
        <w:bidi w:val="0"/>
        <w:adjustRightInd/>
        <w:snapToGrid/>
        <w:ind w:right="420"/>
        <w:textAlignment w:val="bottom"/>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pPr>
        <w:widowControl w:val="0"/>
        <w:tabs>
          <w:tab w:val="left" w:pos="142"/>
        </w:tabs>
        <w:kinsoku/>
        <w:overflowPunct/>
        <w:topLinePunct w:val="0"/>
        <w:autoSpaceDE w:val="0"/>
        <w:autoSpaceDN w:val="0"/>
        <w:bidi w:val="0"/>
        <w:jc w:val="both"/>
        <w:textAlignment w:val="bottom"/>
        <w:rPr>
          <w:rFonts w:hint="eastAsia"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lang w:val="en-US" w:eastAsia="zh-CN"/>
          <w14:textFill>
            <w14:solidFill>
              <w14:schemeClr w14:val="tx1"/>
            </w14:solidFill>
          </w14:textFill>
        </w:rPr>
        <w:t>供应商</w:t>
      </w:r>
      <w:r>
        <w:rPr>
          <w:rFonts w:hint="eastAsia" w:asciiTheme="majorEastAsia" w:hAnsiTheme="majorEastAsia" w:eastAsiaTheme="majorEastAsia" w:cstheme="majorEastAsia"/>
          <w:color w:val="000000" w:themeColor="text1"/>
          <w:sz w:val="24"/>
          <w:highlight w:val="none"/>
          <w14:textFill>
            <w14:solidFill>
              <w14:schemeClr w14:val="tx1"/>
            </w14:solidFill>
          </w14:textFill>
        </w:rPr>
        <w:t>全称（盖法人公章）：</w:t>
      </w:r>
    </w:p>
    <w:p>
      <w:pPr>
        <w:widowControl w:val="0"/>
        <w:tabs>
          <w:tab w:val="left" w:pos="142"/>
        </w:tabs>
        <w:kinsoku/>
        <w:overflowPunct/>
        <w:topLinePunct w:val="0"/>
        <w:autoSpaceDE w:val="0"/>
        <w:autoSpaceDN w:val="0"/>
        <w:bidi w:val="0"/>
        <w:jc w:val="both"/>
        <w:textAlignment w:val="bottom"/>
        <w:rPr>
          <w:rFonts w:hint="eastAsia" w:asciiTheme="majorEastAsia" w:hAnsiTheme="majorEastAsia" w:eastAsiaTheme="majorEastAsia" w:cstheme="majorEastAsia"/>
          <w:color w:val="000000" w:themeColor="text1"/>
          <w:sz w:val="24"/>
          <w:highlight w:val="none"/>
          <w14:textFill>
            <w14:solidFill>
              <w14:schemeClr w14:val="tx1"/>
            </w14:solidFill>
          </w14:textFill>
        </w:rPr>
      </w:pPr>
    </w:p>
    <w:p>
      <w:pPr>
        <w:widowControl w:val="0"/>
        <w:tabs>
          <w:tab w:val="left" w:pos="142"/>
        </w:tabs>
        <w:kinsoku/>
        <w:overflowPunct/>
        <w:topLinePunct w:val="0"/>
        <w:autoSpaceDE w:val="0"/>
        <w:autoSpaceDN w:val="0"/>
        <w:bidi w:val="0"/>
        <w:jc w:val="both"/>
        <w:textAlignment w:val="bottom"/>
        <w:rPr>
          <w:rFonts w:hint="eastAsia" w:asciiTheme="majorEastAsia" w:hAnsiTheme="majorEastAsia" w:eastAsiaTheme="majorEastAsia" w:cstheme="majorEastAsia"/>
          <w:color w:val="000000" w:themeColor="text1"/>
          <w:sz w:val="24"/>
          <w:highlight w:val="none"/>
          <w14:textFill>
            <w14:solidFill>
              <w14:schemeClr w14:val="tx1"/>
            </w14:solidFill>
          </w14:textFill>
        </w:rPr>
      </w:pPr>
    </w:p>
    <w:p>
      <w:pPr>
        <w:widowControl w:val="0"/>
        <w:tabs>
          <w:tab w:val="left" w:pos="142"/>
        </w:tabs>
        <w:kinsoku/>
        <w:overflowPunct/>
        <w:topLinePunct w:val="0"/>
        <w:autoSpaceDE w:val="0"/>
        <w:autoSpaceDN w:val="0"/>
        <w:bidi w:val="0"/>
        <w:jc w:val="both"/>
        <w:textAlignment w:val="bottom"/>
        <w:rPr>
          <w:rFonts w:hint="eastAsia"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14:textFill>
            <w14:solidFill>
              <w14:schemeClr w14:val="tx1"/>
            </w14:solidFill>
          </w14:textFill>
        </w:rPr>
        <w:t>授权代表签名：</w:t>
      </w:r>
    </w:p>
    <w:p>
      <w:pPr>
        <w:widowControl w:val="0"/>
        <w:tabs>
          <w:tab w:val="left" w:pos="142"/>
        </w:tabs>
        <w:kinsoku/>
        <w:overflowPunct/>
        <w:topLinePunct w:val="0"/>
        <w:autoSpaceDE w:val="0"/>
        <w:autoSpaceDN w:val="0"/>
        <w:bidi w:val="0"/>
        <w:jc w:val="both"/>
        <w:textAlignment w:val="bottom"/>
        <w:rPr>
          <w:rFonts w:hint="eastAsia" w:asciiTheme="majorEastAsia" w:hAnsiTheme="majorEastAsia" w:eastAsiaTheme="majorEastAsia" w:cstheme="majorEastAsia"/>
          <w:color w:val="000000" w:themeColor="text1"/>
          <w:sz w:val="24"/>
          <w:highlight w:val="none"/>
          <w14:textFill>
            <w14:solidFill>
              <w14:schemeClr w14:val="tx1"/>
            </w14:solidFill>
          </w14:textFill>
        </w:rPr>
      </w:pPr>
    </w:p>
    <w:p>
      <w:pPr>
        <w:widowControl w:val="0"/>
        <w:tabs>
          <w:tab w:val="left" w:pos="142"/>
        </w:tabs>
        <w:kinsoku/>
        <w:overflowPunct/>
        <w:topLinePunct w:val="0"/>
        <w:autoSpaceDE w:val="0"/>
        <w:autoSpaceDN w:val="0"/>
        <w:bidi w:val="0"/>
        <w:jc w:val="both"/>
        <w:textAlignment w:val="bottom"/>
        <w:rPr>
          <w:rFonts w:hint="eastAsia" w:asciiTheme="majorEastAsia" w:hAnsiTheme="majorEastAsia" w:eastAsiaTheme="majorEastAsia" w:cstheme="majorEastAsia"/>
          <w:color w:val="000000" w:themeColor="text1"/>
          <w:sz w:val="24"/>
          <w:highlight w:val="none"/>
          <w14:textFill>
            <w14:solidFill>
              <w14:schemeClr w14:val="tx1"/>
            </w14:solidFill>
          </w14:textFill>
        </w:rPr>
      </w:pPr>
    </w:p>
    <w:p>
      <w:pPr>
        <w:keepNext w:val="0"/>
        <w:keepLines w:val="0"/>
        <w:pageBreakBefore w:val="0"/>
        <w:widowControl w:val="0"/>
        <w:tabs>
          <w:tab w:val="left" w:pos="142"/>
        </w:tabs>
        <w:kinsoku/>
        <w:wordWrap/>
        <w:overflowPunct/>
        <w:topLinePunct w:val="0"/>
        <w:autoSpaceDE w:val="0"/>
        <w:autoSpaceDN w:val="0"/>
        <w:bidi w:val="0"/>
        <w:adjustRightInd/>
        <w:snapToGrid/>
        <w:ind w:right="420"/>
        <w:textAlignment w:val="bottom"/>
        <w:rPr>
          <w:rFonts w:hint="eastAsia" w:asciiTheme="majorEastAsia" w:hAnsiTheme="majorEastAsia" w:eastAsiaTheme="majorEastAsia" w:cstheme="majorEastAsia"/>
          <w:b/>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14:textFill>
            <w14:solidFill>
              <w14:schemeClr w14:val="tx1"/>
            </w14:solidFill>
          </w14:textFill>
        </w:rPr>
        <w:t>日期：</w:t>
      </w:r>
    </w:p>
    <w:p>
      <w:pPr>
        <w:pStyle w:val="2"/>
        <w:widowControl w:val="0"/>
        <w:kinsoku/>
        <w:overflowPunct/>
        <w:topLinePunct w:val="0"/>
        <w:bidi w:val="0"/>
        <w:rPr>
          <w:rFonts w:hint="eastAsia" w:asciiTheme="majorEastAsia" w:hAnsiTheme="majorEastAsia" w:eastAsiaTheme="majorEastAsia" w:cstheme="majorEastAsia"/>
          <w:color w:val="000000" w:themeColor="text1"/>
          <w:highlight w:val="non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5" w:h="16838"/>
          <w:pgMar w:top="1587" w:right="1474" w:bottom="1474" w:left="1587" w:header="850"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26"/>
        <w:keepNext w:val="0"/>
        <w:keepLines w:val="0"/>
        <w:pageBreakBefore w:val="0"/>
        <w:kinsoku/>
        <w:wordWrap/>
        <w:overflowPunct/>
        <w:topLinePunct w:val="0"/>
        <w:autoSpaceDE/>
        <w:autoSpaceDN/>
        <w:bidi w:val="0"/>
        <w:adjustRightInd/>
        <w:snapToGrid/>
        <w:ind w:left="0" w:leftChars="0" w:firstLine="0" w:firstLineChars="0"/>
        <w:jc w:val="left"/>
        <w:textAlignment w:val="auto"/>
        <w:rPr>
          <w:rFonts w:hint="default" w:ascii="黑体" w:hAnsi="黑体" w:eastAsia="黑体" w:cs="黑体"/>
          <w:b w:val="0"/>
          <w:bCs/>
          <w:color w:val="000000" w:themeColor="text1"/>
          <w:sz w:val="28"/>
          <w:szCs w:val="28"/>
          <w:highlight w:val="none"/>
          <w:u w:val="none"/>
          <w:lang w:val="en-US" w:eastAsia="zh-CN"/>
          <w14:textFill>
            <w14:solidFill>
              <w14:schemeClr w14:val="tx1"/>
            </w14:solidFill>
          </w14:textFill>
        </w:rPr>
      </w:pPr>
      <w:r>
        <w:rPr>
          <w:rFonts w:hint="eastAsia" w:ascii="黑体" w:hAnsi="黑体" w:eastAsia="黑体" w:cs="黑体"/>
          <w:b w:val="0"/>
          <w:bCs/>
          <w:color w:val="000000" w:themeColor="text1"/>
          <w:sz w:val="28"/>
          <w:szCs w:val="28"/>
          <w:highlight w:val="none"/>
          <w:u w:val="none"/>
          <w:lang w:val="en-US" w:eastAsia="zh-CN"/>
          <w14:textFill>
            <w14:solidFill>
              <w14:schemeClr w14:val="tx1"/>
            </w14:solidFill>
          </w14:textFill>
        </w:rPr>
        <w:t>三、资格审查文件</w:t>
      </w:r>
    </w:p>
    <w:p>
      <w:pPr>
        <w:bidi w:val="0"/>
        <w:jc w:val="cente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t>3.1供应商基本情况说明</w:t>
      </w:r>
    </w:p>
    <w:tbl>
      <w:tblPr>
        <w:tblStyle w:val="1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680"/>
        <w:gridCol w:w="1050"/>
        <w:gridCol w:w="945"/>
        <w:gridCol w:w="1785"/>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单位名称</w:t>
            </w:r>
          </w:p>
        </w:tc>
        <w:tc>
          <w:tcPr>
            <w:tcW w:w="3675" w:type="dxa"/>
            <w:gridSpan w:val="3"/>
            <w:vAlign w:val="center"/>
          </w:tcPr>
          <w:p>
            <w:pPr>
              <w:jc w:val="center"/>
              <w:rPr>
                <w:rFonts w:ascii="宋体" w:hAnsi="宋体"/>
                <w:color w:val="000000" w:themeColor="text1"/>
                <w:szCs w:val="21"/>
                <w:highlight w:val="none"/>
                <w14:textFill>
                  <w14:solidFill>
                    <w14:schemeClr w14:val="tx1"/>
                  </w14:solidFill>
                </w14:textFill>
              </w:rPr>
            </w:pPr>
          </w:p>
        </w:tc>
        <w:tc>
          <w:tcPr>
            <w:tcW w:w="178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组织机构代码</w:t>
            </w:r>
          </w:p>
        </w:tc>
        <w:tc>
          <w:tcPr>
            <w:tcW w:w="2321"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注册地址</w:t>
            </w:r>
          </w:p>
        </w:tc>
        <w:tc>
          <w:tcPr>
            <w:tcW w:w="3675" w:type="dxa"/>
            <w:gridSpan w:val="3"/>
            <w:vAlign w:val="center"/>
          </w:tcPr>
          <w:p>
            <w:pPr>
              <w:jc w:val="center"/>
              <w:rPr>
                <w:rFonts w:ascii="宋体" w:hAnsi="宋体"/>
                <w:color w:val="000000" w:themeColor="text1"/>
                <w:szCs w:val="21"/>
                <w:highlight w:val="none"/>
                <w14:textFill>
                  <w14:solidFill>
                    <w14:schemeClr w14:val="tx1"/>
                  </w14:solidFill>
                </w14:textFill>
              </w:rPr>
            </w:pPr>
          </w:p>
        </w:tc>
        <w:tc>
          <w:tcPr>
            <w:tcW w:w="178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注册登记号</w:t>
            </w:r>
          </w:p>
        </w:tc>
        <w:tc>
          <w:tcPr>
            <w:tcW w:w="2321"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经营地址</w:t>
            </w:r>
          </w:p>
        </w:tc>
        <w:tc>
          <w:tcPr>
            <w:tcW w:w="3675" w:type="dxa"/>
            <w:gridSpan w:val="3"/>
            <w:vAlign w:val="center"/>
          </w:tcPr>
          <w:p>
            <w:pPr>
              <w:jc w:val="center"/>
              <w:rPr>
                <w:rFonts w:ascii="宋体" w:hAnsi="宋体"/>
                <w:color w:val="000000" w:themeColor="text1"/>
                <w:szCs w:val="21"/>
                <w:highlight w:val="none"/>
                <w14:textFill>
                  <w14:solidFill>
                    <w14:schemeClr w14:val="tx1"/>
                  </w14:solidFill>
                </w14:textFill>
              </w:rPr>
            </w:pPr>
          </w:p>
        </w:tc>
        <w:tc>
          <w:tcPr>
            <w:tcW w:w="1785" w:type="dxa"/>
            <w:vAlign w:val="center"/>
          </w:tcPr>
          <w:p>
            <w:pPr>
              <w:jc w:val="center"/>
              <w:rPr>
                <w:rFonts w:ascii="宋体" w:hAnsi="宋体"/>
                <w:color w:val="000000" w:themeColor="text1"/>
                <w:spacing w:val="3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税务登记证号</w:t>
            </w:r>
          </w:p>
        </w:tc>
        <w:tc>
          <w:tcPr>
            <w:tcW w:w="2321"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单位性质</w:t>
            </w:r>
          </w:p>
        </w:tc>
        <w:tc>
          <w:tcPr>
            <w:tcW w:w="3675" w:type="dxa"/>
            <w:gridSpan w:val="3"/>
            <w:vAlign w:val="center"/>
          </w:tcPr>
          <w:p>
            <w:pPr>
              <w:pStyle w:val="28"/>
              <w:widowControl w:val="0"/>
              <w:spacing w:before="0" w:after="0"/>
              <w:ind w:left="2160" w:hanging="480"/>
              <w:jc w:val="both"/>
              <w:rPr>
                <w:color w:val="000000" w:themeColor="text1"/>
                <w:kern w:val="2"/>
                <w:sz w:val="21"/>
                <w:szCs w:val="21"/>
                <w:highlight w:val="none"/>
                <w14:textFill>
                  <w14:solidFill>
                    <w14:schemeClr w14:val="tx1"/>
                  </w14:solidFill>
                </w14:textFill>
              </w:rPr>
            </w:pPr>
          </w:p>
        </w:tc>
        <w:tc>
          <w:tcPr>
            <w:tcW w:w="1785" w:type="dxa"/>
            <w:vAlign w:val="center"/>
          </w:tcPr>
          <w:p>
            <w:pPr>
              <w:jc w:val="center"/>
              <w:rPr>
                <w:rFonts w:ascii="宋体" w:hAnsi="宋体"/>
                <w:color w:val="000000" w:themeColor="text1"/>
                <w:spacing w:val="34"/>
                <w:szCs w:val="21"/>
                <w:highlight w:val="none"/>
                <w14:textFill>
                  <w14:solidFill>
                    <w14:schemeClr w14:val="tx1"/>
                  </w14:solidFill>
                </w14:textFill>
              </w:rPr>
            </w:pPr>
            <w:r>
              <w:rPr>
                <w:rFonts w:hint="eastAsia" w:ascii="宋体" w:hAnsi="宋体"/>
                <w:color w:val="000000" w:themeColor="text1"/>
                <w:spacing w:val="34"/>
                <w:szCs w:val="21"/>
                <w:highlight w:val="none"/>
                <w14:textFill>
                  <w14:solidFill>
                    <w14:schemeClr w14:val="tx1"/>
                  </w14:solidFill>
                </w14:textFill>
              </w:rPr>
              <w:t>注册资本</w:t>
            </w:r>
          </w:p>
        </w:tc>
        <w:tc>
          <w:tcPr>
            <w:tcW w:w="2321"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经营范围</w:t>
            </w:r>
          </w:p>
        </w:tc>
        <w:tc>
          <w:tcPr>
            <w:tcW w:w="3675" w:type="dxa"/>
            <w:gridSpan w:val="3"/>
            <w:vAlign w:val="center"/>
          </w:tcPr>
          <w:p>
            <w:pPr>
              <w:jc w:val="center"/>
              <w:rPr>
                <w:rFonts w:ascii="宋体" w:hAnsi="宋体"/>
                <w:color w:val="000000" w:themeColor="text1"/>
                <w:szCs w:val="21"/>
                <w:highlight w:val="none"/>
                <w14:textFill>
                  <w14:solidFill>
                    <w14:schemeClr w14:val="tx1"/>
                  </w14:solidFill>
                </w14:textFill>
              </w:rPr>
            </w:pPr>
          </w:p>
        </w:tc>
        <w:tc>
          <w:tcPr>
            <w:tcW w:w="178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经营时间</w:t>
            </w:r>
          </w:p>
        </w:tc>
        <w:tc>
          <w:tcPr>
            <w:tcW w:w="2321"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资质情况</w:t>
            </w:r>
          </w:p>
        </w:tc>
        <w:tc>
          <w:tcPr>
            <w:tcW w:w="7781" w:type="dxa"/>
            <w:gridSpan w:val="5"/>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员工数量</w:t>
            </w:r>
          </w:p>
        </w:tc>
        <w:tc>
          <w:tcPr>
            <w:tcW w:w="7781" w:type="dxa"/>
            <w:gridSpan w:val="5"/>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共</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w:t>
            </w:r>
          </w:p>
        </w:tc>
        <w:tc>
          <w:tcPr>
            <w:tcW w:w="3675" w:type="dxa"/>
            <w:gridSpan w:val="3"/>
            <w:vAlign w:val="center"/>
          </w:tcPr>
          <w:p>
            <w:pPr>
              <w:jc w:val="center"/>
              <w:rPr>
                <w:rFonts w:ascii="宋体" w:hAnsi="宋体"/>
                <w:color w:val="000000" w:themeColor="text1"/>
                <w:szCs w:val="21"/>
                <w:highlight w:val="none"/>
                <w14:textFill>
                  <w14:solidFill>
                    <w14:schemeClr w14:val="tx1"/>
                  </w14:solidFill>
                </w14:textFill>
              </w:rPr>
            </w:pPr>
          </w:p>
        </w:tc>
        <w:tc>
          <w:tcPr>
            <w:tcW w:w="178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p>
        </w:tc>
        <w:tc>
          <w:tcPr>
            <w:tcW w:w="2321"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15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主要业绩</w:t>
            </w:r>
          </w:p>
        </w:tc>
        <w:tc>
          <w:tcPr>
            <w:tcW w:w="7781" w:type="dxa"/>
            <w:gridSpan w:val="5"/>
            <w:vAlign w:val="center"/>
          </w:tcPr>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6" w:type="dxa"/>
            <w:gridSpan w:val="6"/>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  名</w:t>
            </w:r>
          </w:p>
        </w:tc>
        <w:tc>
          <w:tcPr>
            <w:tcW w:w="3675" w:type="dxa"/>
            <w:gridSpan w:val="3"/>
            <w:vAlign w:val="center"/>
          </w:tcPr>
          <w:p>
            <w:pPr>
              <w:jc w:val="center"/>
              <w:rPr>
                <w:rFonts w:ascii="宋体" w:hAnsi="宋体"/>
                <w:color w:val="000000" w:themeColor="text1"/>
                <w:szCs w:val="21"/>
                <w:highlight w:val="none"/>
                <w14:textFill>
                  <w14:solidFill>
                    <w14:schemeClr w14:val="tx1"/>
                  </w14:solidFill>
                </w14:textFill>
              </w:rPr>
            </w:pPr>
          </w:p>
        </w:tc>
        <w:tc>
          <w:tcPr>
            <w:tcW w:w="178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身份证号码</w:t>
            </w:r>
          </w:p>
        </w:tc>
        <w:tc>
          <w:tcPr>
            <w:tcW w:w="2321"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  务</w:t>
            </w:r>
          </w:p>
        </w:tc>
        <w:tc>
          <w:tcPr>
            <w:tcW w:w="1680" w:type="dxa"/>
            <w:vAlign w:val="center"/>
          </w:tcPr>
          <w:p>
            <w:pPr>
              <w:jc w:val="center"/>
              <w:rPr>
                <w:rFonts w:ascii="宋体" w:hAnsi="宋体"/>
                <w:color w:val="000000" w:themeColor="text1"/>
                <w:szCs w:val="21"/>
                <w:highlight w:val="none"/>
                <w14:textFill>
                  <w14:solidFill>
                    <w14:schemeClr w14:val="tx1"/>
                  </w14:solidFill>
                </w14:textFill>
              </w:rPr>
            </w:pPr>
          </w:p>
        </w:tc>
        <w:tc>
          <w:tcPr>
            <w:tcW w:w="1050"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   称</w:t>
            </w:r>
          </w:p>
        </w:tc>
        <w:tc>
          <w:tcPr>
            <w:tcW w:w="945" w:type="dxa"/>
            <w:vAlign w:val="center"/>
          </w:tcPr>
          <w:p>
            <w:pPr>
              <w:jc w:val="center"/>
              <w:rPr>
                <w:rFonts w:ascii="宋体" w:hAnsi="宋体"/>
                <w:color w:val="000000" w:themeColor="text1"/>
                <w:szCs w:val="21"/>
                <w:highlight w:val="none"/>
                <w14:textFill>
                  <w14:solidFill>
                    <w14:schemeClr w14:val="tx1"/>
                  </w14:solidFill>
                </w14:textFill>
              </w:rPr>
            </w:pPr>
          </w:p>
        </w:tc>
        <w:tc>
          <w:tcPr>
            <w:tcW w:w="1785"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学    历</w:t>
            </w:r>
          </w:p>
        </w:tc>
        <w:tc>
          <w:tcPr>
            <w:tcW w:w="2321" w:type="dxa"/>
            <w:vAlign w:val="center"/>
          </w:tcPr>
          <w:p>
            <w:pPr>
              <w:jc w:val="center"/>
              <w:rPr>
                <w:rFonts w:ascii="宋体" w:hAnsi="宋体"/>
                <w:color w:val="000000" w:themeColor="text1"/>
                <w:szCs w:val="21"/>
                <w:highlight w:val="none"/>
                <w14:textFill>
                  <w14:solidFill>
                    <w14:schemeClr w14:val="tx1"/>
                  </w14:solidFill>
                </w14:textFill>
              </w:rPr>
            </w:pPr>
          </w:p>
        </w:tc>
      </w:tr>
    </w:tbl>
    <w:p>
      <w:pPr>
        <w:widowControl/>
        <w:tabs>
          <w:tab w:val="left" w:pos="142"/>
        </w:tabs>
        <w:autoSpaceDE w:val="0"/>
        <w:autoSpaceDN w:val="0"/>
        <w:spacing w:line="560" w:lineRule="exact"/>
        <w:ind w:firstLine="480" w:firstLineChars="200"/>
        <w:textAlignment w:val="bottom"/>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兹证明上述声明是真实、正确的，并提供了全部能提供的资料和数据，我们同意遵照贵方要求出示有关证明文件。</w:t>
      </w:r>
    </w:p>
    <w:p>
      <w:pPr>
        <w:spacing w:line="360" w:lineRule="auto"/>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pPr>
    </w:p>
    <w:p>
      <w:pPr>
        <w:widowControl/>
        <w:tabs>
          <w:tab w:val="left" w:pos="142"/>
        </w:tabs>
        <w:autoSpaceDE w:val="0"/>
        <w:autoSpaceDN w:val="0"/>
        <w:spacing w:line="560" w:lineRule="exact"/>
        <w:ind w:firstLine="480" w:firstLineChars="200"/>
        <w:jc w:val="left"/>
        <w:textAlignment w:val="bottom"/>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供应商全</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称（盖公章）：</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p>
    <w:p>
      <w:pPr>
        <w:widowControl/>
        <w:tabs>
          <w:tab w:val="left" w:pos="142"/>
        </w:tabs>
        <w:autoSpaceDE w:val="0"/>
        <w:autoSpaceDN w:val="0"/>
        <w:spacing w:line="560" w:lineRule="exact"/>
        <w:ind w:firstLine="480" w:firstLineChars="200"/>
        <w:textAlignment w:val="bottom"/>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法定代表人/授权委托代表签名：</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p>
    <w:p>
      <w:pPr>
        <w:widowControl/>
        <w:tabs>
          <w:tab w:val="left" w:pos="142"/>
        </w:tabs>
        <w:autoSpaceDE w:val="0"/>
        <w:autoSpaceDN w:val="0"/>
        <w:spacing w:line="560" w:lineRule="exact"/>
        <w:ind w:firstLine="480" w:firstLineChars="200"/>
        <w:jc w:val="left"/>
        <w:textAlignment w:val="bottom"/>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日期：</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p>
    <w:p>
      <w:pP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br w:type="page"/>
      </w:r>
    </w:p>
    <w:p>
      <w:pPr>
        <w:bidi w:val="0"/>
        <w:jc w:val="cente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t>3.2 营业执照（或法律法规规定的其他主体证明文件）复印件</w:t>
      </w:r>
    </w:p>
    <w:p>
      <w:pP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br w:type="page"/>
      </w:r>
    </w:p>
    <w:p>
      <w:pPr>
        <w:bidi w:val="0"/>
        <w:jc w:val="cente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t>3.3 法定代表人证明书</w:t>
      </w:r>
    </w:p>
    <w:p>
      <w:pPr>
        <w:pStyle w:val="26"/>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现任我单位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职务，为法定代表人（负责人），特此证明。</w:t>
      </w:r>
    </w:p>
    <w:p>
      <w:pPr>
        <w:pStyle w:val="26"/>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有效期限：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pStyle w:val="26"/>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附：法定代表人（负责人）性别：</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年龄：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身份证号码：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p>
      <w:pPr>
        <w:pStyle w:val="26"/>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签发</w:t>
      </w:r>
      <w:r>
        <w:rPr>
          <w:rFonts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日</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1．内容必须填写真实、清楚、涂改无效。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2．将此证明书提交采购方作为合同附件。</w:t>
      </w:r>
    </w:p>
    <w:p>
      <w:pPr>
        <w:spacing w:line="560" w:lineRule="exact"/>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 xml:space="preserve">    </w:t>
      </w:r>
    </w:p>
    <w:p>
      <w:pPr>
        <w:spacing w:line="560" w:lineRule="exact"/>
        <w:rPr>
          <w:rFonts w:ascii="仿宋_GB2312" w:hAnsi="仿宋" w:eastAsia="仿宋_GB2312"/>
          <w:color w:val="000000" w:themeColor="text1"/>
          <w:sz w:val="28"/>
          <w:szCs w:val="28"/>
          <w:highlight w:val="none"/>
          <w14:textFill>
            <w14:solidFill>
              <w14:schemeClr w14:val="tx1"/>
            </w14:solidFill>
          </w14:textFill>
        </w:rPr>
      </w:pPr>
      <w:r>
        <w:rPr>
          <w:rFonts w:ascii="仿宋_GB2312" w:hAnsi="仿宋" w:eastAsia="仿宋_GB2312"/>
          <w:color w:val="000000" w:themeColor="text1"/>
          <w:sz w:val="28"/>
          <w:szCs w:val="28"/>
          <w:highlight w:val="none"/>
          <w14:textFill>
            <w14:solidFill>
              <w14:schemeClr w14:val="tx1"/>
            </w14:solidFill>
          </w14:textFill>
        </w:rPr>
        <w:br w:type="page"/>
      </w:r>
    </w:p>
    <w:p>
      <w:pPr>
        <w:tabs>
          <w:tab w:val="left" w:pos="8364"/>
        </w:tabs>
        <w:snapToGrid w:val="0"/>
        <w:spacing w:line="560" w:lineRule="exact"/>
        <w:ind w:right="-57"/>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val="en-US" w:eastAsia="zh-CN"/>
          <w14:textFill>
            <w14:solidFill>
              <w14:schemeClr w14:val="tx1"/>
            </w14:solidFill>
          </w14:textFill>
        </w:rPr>
        <w:t>3.4法人</w:t>
      </w:r>
      <w:r>
        <w:rPr>
          <w:rFonts w:hint="eastAsia" w:ascii="宋体" w:hAnsi="宋体"/>
          <w:b/>
          <w:bCs/>
          <w:color w:val="000000" w:themeColor="text1"/>
          <w:sz w:val="32"/>
          <w:szCs w:val="32"/>
          <w:highlight w:val="none"/>
          <w14:textFill>
            <w14:solidFill>
              <w14:schemeClr w14:val="tx1"/>
            </w14:solidFill>
          </w14:textFill>
        </w:rPr>
        <w:t>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本授权书宣告：</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（供应商名称） （职务） （法定代表人姓名）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是本单位的法定代表人，授权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（职务） （姓名）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为我单位代理人，该代理人有权在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XXXX</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项目的报价活动中，以我单位的名义签署</w:t>
      </w:r>
      <w:r>
        <w:rPr>
          <w:rFonts w:hint="eastAsia" w:ascii="宋体" w:hAnsi="宋体" w:cs="宋体"/>
          <w:color w:val="000000" w:themeColor="text1"/>
          <w:sz w:val="24"/>
          <w:szCs w:val="24"/>
          <w:highlight w:val="none"/>
          <w:u w:val="none"/>
          <w:lang w:val="en-US" w:eastAsia="zh-CN"/>
          <w14:textFill>
            <w14:solidFill>
              <w14:schemeClr w14:val="tx1"/>
            </w14:solidFill>
          </w14:textFill>
        </w:rPr>
        <w:t>报名文件</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，与采购</w:t>
      </w:r>
      <w:r>
        <w:rPr>
          <w:rFonts w:hint="eastAsia" w:ascii="宋体" w:hAnsi="宋体" w:cs="宋体"/>
          <w:color w:val="000000" w:themeColor="text1"/>
          <w:sz w:val="24"/>
          <w:szCs w:val="24"/>
          <w:highlight w:val="none"/>
          <w:u w:val="none"/>
          <w:lang w:val="en-US" w:eastAsia="zh-CN"/>
          <w14:textFill>
            <w14:solidFill>
              <w14:schemeClr w14:val="tx1"/>
            </w14:solidFill>
          </w14:textFill>
        </w:rPr>
        <w:t>方</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协商、签订合同协议书以及执行一切与此有关的事项。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p>
    <w:p>
      <w:pPr>
        <w:pStyle w:val="2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p>
    <w:p>
      <w:pPr>
        <w:pStyle w:val="2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供应商：（盖公章）</w:t>
      </w:r>
    </w:p>
    <w:p>
      <w:pPr>
        <w:pStyle w:val="2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法定代表人：（签字）</w:t>
      </w:r>
    </w:p>
    <w:p>
      <w:pPr>
        <w:pStyle w:val="2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被授权人（代理人）：（签字）</w:t>
      </w:r>
    </w:p>
    <w:p>
      <w:pPr>
        <w:pStyle w:val="2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日期：</w:t>
      </w: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年</w:t>
      </w: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月</w:t>
      </w: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说明：如报名文件签署人不是法定代表人，须提供法定代表人/授权委托书。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br w:type="page"/>
      </w:r>
    </w:p>
    <w:p>
      <w:pPr>
        <w:keepNext w:val="0"/>
        <w:keepLines w:val="0"/>
        <w:pageBreakBefore w:val="0"/>
        <w:tabs>
          <w:tab w:val="left" w:pos="8364"/>
        </w:tabs>
        <w:kinsoku/>
        <w:wordWrap/>
        <w:overflowPunct/>
        <w:topLinePunct w:val="0"/>
        <w:autoSpaceDE/>
        <w:autoSpaceDN/>
        <w:bidi w:val="0"/>
        <w:adjustRightInd/>
        <w:snapToGrid w:val="0"/>
        <w:spacing w:line="360" w:lineRule="auto"/>
        <w:ind w:right="-57"/>
        <w:jc w:val="center"/>
        <w:textAlignment w:val="auto"/>
        <w:rPr>
          <w:rFonts w:hint="default" w:ascii="宋体" w:hAnsi="宋体" w:cs="Times New Roman"/>
          <w:b/>
          <w:bCs/>
          <w:color w:val="000000" w:themeColor="text1"/>
          <w:sz w:val="32"/>
          <w:szCs w:val="32"/>
          <w:highlight w:val="none"/>
          <w:lang w:val="en-US" w:eastAsia="zh-CN"/>
          <w14:textFill>
            <w14:solidFill>
              <w14:schemeClr w14:val="tx1"/>
            </w14:solidFill>
          </w14:textFill>
        </w:rPr>
      </w:pPr>
      <w:r>
        <w:rPr>
          <w:rFonts w:hint="eastAsia" w:ascii="宋体" w:hAnsi="宋体" w:cs="Times New Roman"/>
          <w:b/>
          <w:bCs/>
          <w:color w:val="000000" w:themeColor="text1"/>
          <w:sz w:val="32"/>
          <w:szCs w:val="32"/>
          <w:highlight w:val="none"/>
          <w:lang w:val="en-US" w:eastAsia="zh-CN"/>
          <w14:textFill>
            <w14:solidFill>
              <w14:schemeClr w14:val="tx1"/>
            </w14:solidFill>
          </w14:textFill>
        </w:rPr>
        <w:t>3.5 诚信承诺函</w:t>
      </w:r>
    </w:p>
    <w:p>
      <w:pPr>
        <w:keepNext w:val="0"/>
        <w:keepLines w:val="0"/>
        <w:pageBreakBefore w:val="0"/>
        <w:tabs>
          <w:tab w:val="left" w:pos="8364"/>
        </w:tabs>
        <w:kinsoku/>
        <w:wordWrap/>
        <w:overflowPunct/>
        <w:topLinePunct w:val="0"/>
        <w:autoSpaceDE/>
        <w:autoSpaceDN/>
        <w:bidi w:val="0"/>
        <w:adjustRightInd/>
        <w:snapToGrid w:val="0"/>
        <w:spacing w:line="360" w:lineRule="auto"/>
        <w:ind w:right="-57"/>
        <w:jc w:val="center"/>
        <w:textAlignment w:val="auto"/>
        <w:rPr>
          <w:rFonts w:ascii="宋体" w:hAnsi="宋体"/>
          <w:b/>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广东省机场管理集团有限公司</w:t>
      </w:r>
      <w:r>
        <w:rPr>
          <w:rFonts w:hint="eastAsia" w:ascii="宋体" w:hAnsi="宋体" w:cs="宋体"/>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在研究并完全理解了</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广东机场集团</w:t>
      </w:r>
      <w:r>
        <w:rPr>
          <w:rFonts w:hint="eastAsia" w:ascii="宋体" w:hAnsi="宋体" w:cs="宋体"/>
          <w:color w:val="000000" w:themeColor="text1"/>
          <w:sz w:val="24"/>
          <w:szCs w:val="24"/>
          <w:highlight w:val="none"/>
          <w:lang w:val="en-US" w:eastAsia="zh-CN"/>
          <w14:textFill>
            <w14:solidFill>
              <w14:schemeClr w14:val="tx1"/>
            </w14:solidFill>
          </w14:textFill>
        </w:rPr>
        <w:t>服务质量测评</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cs="宋体"/>
          <w:color w:val="000000" w:themeColor="text1"/>
          <w:sz w:val="24"/>
          <w:szCs w:val="24"/>
          <w:highlight w:val="none"/>
          <w:lang w:val="en-US" w:eastAsia="zh-CN"/>
          <w14:textFill>
            <w14:solidFill>
              <w14:schemeClr w14:val="tx1"/>
            </w14:solidFill>
          </w14:textFill>
        </w:rPr>
        <w:t xml:space="preserve"> 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后，我司完全同意并接受项目竞价</w:t>
      </w:r>
      <w:r>
        <w:rPr>
          <w:rFonts w:hint="eastAsia" w:ascii="宋体" w:hAnsi="宋体" w:eastAsia="宋体" w:cs="宋体"/>
          <w:color w:val="000000" w:themeColor="text1"/>
          <w:sz w:val="24"/>
          <w:szCs w:val="24"/>
          <w:highlight w:val="none"/>
          <w:lang w:val="en-US"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的所有内容，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同时</w:t>
      </w:r>
      <w:r>
        <w:rPr>
          <w:rFonts w:ascii="宋体" w:hAnsi="宋体" w:eastAsia="宋体" w:cs="宋体"/>
          <w:color w:val="000000" w:themeColor="text1"/>
          <w:sz w:val="24"/>
          <w:szCs w:val="24"/>
          <w:highlight w:val="none"/>
          <w14:textFill>
            <w14:solidFill>
              <w14:schemeClr w14:val="tx1"/>
            </w14:solidFill>
          </w14:textFill>
        </w:rPr>
        <w:t>承诺我司（包括独立法人及关联公司和自然人）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完全符合竞价文件第一部分采购公告第</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val="en-US" w:eastAsia="zh-CN"/>
          <w14:textFill>
            <w14:solidFill>
              <w14:schemeClr w14:val="tx1"/>
            </w14:solidFill>
          </w14:textFill>
        </w:rPr>
        <w:t>项</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合格</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资格条件</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，并完全响应采购方“</w:t>
      </w:r>
      <w:r>
        <w:rPr>
          <w:rFonts w:hint="eastAsia" w:ascii="宋体" w:hAnsi="宋体" w:eastAsia="宋体" w:cs="宋体"/>
          <w:color w:val="000000" w:themeColor="text1"/>
          <w:sz w:val="24"/>
          <w:szCs w:val="24"/>
          <w:highlight w:val="none"/>
          <w:lang w:eastAsia="zh-CN"/>
          <w14:textFill>
            <w14:solidFill>
              <w14:schemeClr w14:val="tx1"/>
            </w14:solidFill>
          </w14:textFill>
        </w:rPr>
        <w:t>合作商</w:t>
      </w:r>
      <w:r>
        <w:rPr>
          <w:rFonts w:hint="eastAsia" w:ascii="宋体" w:hAnsi="宋体" w:eastAsia="宋体" w:cs="宋体"/>
          <w:color w:val="000000" w:themeColor="text1"/>
          <w:sz w:val="24"/>
          <w:szCs w:val="24"/>
          <w:highlight w:val="none"/>
          <w14:textFill>
            <w14:solidFill>
              <w14:schemeClr w14:val="tx1"/>
            </w14:solidFill>
          </w14:textFill>
        </w:rPr>
        <w:t>不诚信行为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的确定条件。承诺</w:t>
      </w:r>
      <w:r>
        <w:rPr>
          <w:rFonts w:hint="eastAsia" w:ascii="宋体" w:hAnsi="宋体" w:eastAsia="宋体" w:cs="宋体"/>
          <w:color w:val="000000" w:themeColor="text1"/>
          <w:sz w:val="24"/>
          <w:szCs w:val="24"/>
          <w:highlight w:val="none"/>
          <w14:textFill>
            <w14:solidFill>
              <w14:schemeClr w14:val="tx1"/>
            </w14:solidFill>
          </w14:textFill>
        </w:rPr>
        <w:t>如有造假行为，我司愿意无条件接受</w:t>
      </w:r>
      <w:r>
        <w:rPr>
          <w:rFonts w:hint="eastAsia" w:ascii="宋体" w:hAnsi="宋体" w:eastAsia="宋体" w:cs="宋体"/>
          <w:color w:val="000000" w:themeColor="text1"/>
          <w:sz w:val="24"/>
          <w:szCs w:val="24"/>
          <w:highlight w:val="none"/>
          <w:lang w:eastAsia="zh-CN"/>
          <w14:textFill>
            <w14:solidFill>
              <w14:schemeClr w14:val="tx1"/>
            </w14:solidFill>
          </w14:textFill>
        </w:rPr>
        <w:t>采购方</w:t>
      </w:r>
      <w:r>
        <w:rPr>
          <w:rFonts w:hint="eastAsia" w:ascii="宋体" w:hAnsi="宋体" w:eastAsia="宋体" w:cs="宋体"/>
          <w:color w:val="000000" w:themeColor="text1"/>
          <w:sz w:val="24"/>
          <w:szCs w:val="24"/>
          <w:highlight w:val="none"/>
          <w14:textFill>
            <w14:solidFill>
              <w14:schemeClr w14:val="tx1"/>
            </w14:solidFill>
          </w14:textFill>
        </w:rPr>
        <w:t>的以下处理：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1.取消本项目报价、成交资格，并在相关网站公示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2.由</w:t>
      </w:r>
      <w:r>
        <w:rPr>
          <w:rFonts w:hint="eastAsia" w:ascii="宋体" w:hAnsi="宋体" w:eastAsia="宋体" w:cs="宋体"/>
          <w:color w:val="000000" w:themeColor="text1"/>
          <w:sz w:val="24"/>
          <w:szCs w:val="24"/>
          <w:highlight w:val="none"/>
          <w:lang w:eastAsia="zh-CN"/>
          <w14:textFill>
            <w14:solidFill>
              <w14:schemeClr w14:val="tx1"/>
            </w14:solidFill>
          </w14:textFill>
        </w:rPr>
        <w:t>采购方</w:t>
      </w:r>
      <w:r>
        <w:rPr>
          <w:rFonts w:hint="eastAsia" w:ascii="宋体" w:hAnsi="宋体" w:eastAsia="宋体" w:cs="宋体"/>
          <w:color w:val="000000" w:themeColor="text1"/>
          <w:sz w:val="24"/>
          <w:szCs w:val="24"/>
          <w:highlight w:val="none"/>
          <w14:textFill>
            <w14:solidFill>
              <w14:schemeClr w14:val="tx1"/>
            </w14:solidFill>
          </w14:textFill>
        </w:rPr>
        <w:t>没收合同履约保证金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严格按照《广东省机场管理集团有限公司采购合作对象管理办法》接受处罚，</w:t>
      </w:r>
      <w:r>
        <w:rPr>
          <w:rFonts w:hint="eastAsia" w:ascii="宋体" w:hAnsi="宋体" w:eastAsia="宋体" w:cs="宋体"/>
          <w:color w:val="000000" w:themeColor="text1"/>
          <w:sz w:val="24"/>
          <w:szCs w:val="24"/>
          <w:highlight w:val="none"/>
          <w14:textFill>
            <w14:solidFill>
              <w14:schemeClr w14:val="tx1"/>
            </w14:solidFill>
          </w14:textFill>
        </w:rPr>
        <w:t>禁止参加广东省机场管理集团有限公司本部、各全资、控股公司及集团公司所属非法人实体单位的所有</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采购项目。</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自行承担被取消项目资格的所有后果和责任。</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其他行政处理决定。</w:t>
      </w:r>
    </w:p>
    <w:p>
      <w:pPr>
        <w:pStyle w:val="26"/>
        <w:keepNext w:val="0"/>
        <w:keepLines w:val="0"/>
        <w:pageBreakBefore w:val="0"/>
        <w:kinsoku/>
        <w:wordWrap/>
        <w:overflowPunct/>
        <w:topLinePunct w:val="0"/>
        <w:autoSpaceDE/>
        <w:autoSpaceDN/>
        <w:bidi w:val="0"/>
        <w:adjustRightInd/>
        <w:spacing w:line="360" w:lineRule="auto"/>
        <w:textAlignment w:val="auto"/>
        <w:rPr>
          <w:rFonts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kinsoku/>
        <w:wordWrap/>
        <w:overflowPunct/>
        <w:topLinePunct w:val="0"/>
        <w:autoSpaceDE/>
        <w:autoSpaceDN/>
        <w:bidi w:val="0"/>
        <w:adjustRightInd/>
        <w:spacing w:line="360" w:lineRule="auto"/>
        <w:textAlignment w:val="auto"/>
        <w:rPr>
          <w:rFonts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供应商名称（公章）：</w:t>
      </w:r>
    </w:p>
    <w:p>
      <w:pPr>
        <w:pStyle w:val="26"/>
        <w:keepNext w:val="0"/>
        <w:keepLines w:val="0"/>
        <w:pageBreakBefore w:val="0"/>
        <w:kinsoku/>
        <w:wordWrap/>
        <w:overflowPunct/>
        <w:topLinePunct w:val="0"/>
        <w:autoSpaceDE/>
        <w:autoSpaceDN/>
        <w:bidi w:val="0"/>
        <w:adjustRightInd/>
        <w:spacing w:line="360" w:lineRule="auto"/>
        <w:textAlignment w:val="auto"/>
        <w:rPr>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供应商授权代表签字：</w:t>
      </w:r>
    </w:p>
    <w:p>
      <w:pPr>
        <w:pStyle w:val="26"/>
        <w:keepNext w:val="0"/>
        <w:keepLines w:val="0"/>
        <w:pageBreakBefore w:val="0"/>
        <w:kinsoku/>
        <w:wordWrap/>
        <w:overflowPunct/>
        <w:topLinePunct w:val="0"/>
        <w:autoSpaceDE/>
        <w:autoSpaceDN/>
        <w:bidi w:val="0"/>
        <w:adjustRightInd/>
        <w:spacing w:line="360" w:lineRule="auto"/>
        <w:textAlignment w:val="auto"/>
        <w:rPr>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日</w:t>
      </w:r>
      <w:r>
        <w:rPr>
          <w:rFonts w:ascii="宋体" w:hAnsi="宋体" w:eastAsia="宋体" w:cs="宋体"/>
          <w:color w:val="000000" w:themeColor="text1"/>
          <w:sz w:val="24"/>
          <w:szCs w:val="24"/>
          <w:highlight w:val="none"/>
          <w14:textFill>
            <w14:solidFill>
              <w14:schemeClr w14:val="tx1"/>
            </w14:solidFill>
          </w14:textFill>
        </w:rPr>
        <w:br w:type="page"/>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t>3.7信用证明</w:t>
      </w:r>
    </w:p>
    <w:p>
      <w:pPr>
        <w:jc w:val="both"/>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1）“国家企业信用信息公示系统”网站（www.gsxt.gov.cn）格式（</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经营异常名录或严重违法失信企业名单）</w:t>
      </w:r>
    </w:p>
    <w:p>
      <w:pPr>
        <w:spacing w:line="312" w:lineRule="auto"/>
        <w:jc w:val="center"/>
        <w:rPr>
          <w:rFonts w:hint="eastAsia" w:ascii="宋体" w:hAnsi="宋体" w:eastAsia="宋体" w:cs="宋体"/>
          <w:color w:val="000000" w:themeColor="text1"/>
          <w:sz w:val="21"/>
          <w:szCs w:val="21"/>
          <w:highlight w:val="none"/>
          <w14:textFill>
            <w14:solidFill>
              <w14:schemeClr w14:val="tx1"/>
            </w14:solidFill>
          </w14:textFill>
        </w:rPr>
      </w:pP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drawing>
          <wp:inline distT="0" distB="0" distL="114300" distR="114300">
            <wp:extent cx="5754370" cy="3400425"/>
            <wp:effectExtent l="0" t="0" r="17780" b="9525"/>
            <wp:docPr id="4" name="图片 1" descr="20e1554e9c7d14c9bc8f0a51824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20e1554e9c7d14c9bc8f0a518248f6e"/>
                    <pic:cNvPicPr>
                      <a:picLocks noChangeAspect="1"/>
                    </pic:cNvPicPr>
                  </pic:nvPicPr>
                  <pic:blipFill>
                    <a:blip r:embed="rId17"/>
                    <a:stretch>
                      <a:fillRect/>
                    </a:stretch>
                  </pic:blipFill>
                  <pic:spPr>
                    <a:xfrm>
                      <a:off x="0" y="0"/>
                      <a:ext cx="5754370" cy="3400425"/>
                    </a:xfrm>
                    <a:prstGeom prst="rect">
                      <a:avLst/>
                    </a:prstGeom>
                    <a:noFill/>
                    <a:ln>
                      <a:noFill/>
                    </a:ln>
                  </pic:spPr>
                </pic:pic>
              </a:graphicData>
            </a:graphic>
          </wp:inline>
        </w:drawing>
      </w:r>
      <w:r>
        <w:rPr>
          <w:rFonts w:hint="eastAsia" w:eastAsia="宋体"/>
          <w:color w:val="000000" w:themeColor="text1"/>
          <w:highlight w:val="none"/>
          <w:lang w:eastAsia="zh-CN"/>
          <w14:textFill>
            <w14:solidFill>
              <w14:schemeClr w14:val="tx1"/>
            </w14:solidFill>
          </w14:textFill>
        </w:rPr>
        <w:drawing>
          <wp:inline distT="0" distB="0" distL="114300" distR="114300">
            <wp:extent cx="5628640" cy="3422015"/>
            <wp:effectExtent l="0" t="0" r="10160" b="6985"/>
            <wp:docPr id="5" name="图片 2"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8876a4f4cb1073547e969db5166d652"/>
                    <pic:cNvPicPr>
                      <a:picLocks noChangeAspect="1"/>
                    </pic:cNvPicPr>
                  </pic:nvPicPr>
                  <pic:blipFill>
                    <a:blip r:embed="rId18"/>
                    <a:stretch>
                      <a:fillRect/>
                    </a:stretch>
                  </pic:blipFill>
                  <pic:spPr>
                    <a:xfrm>
                      <a:off x="0" y="0"/>
                      <a:ext cx="5628640" cy="3422015"/>
                    </a:xfrm>
                    <a:prstGeom prst="rect">
                      <a:avLst/>
                    </a:prstGeom>
                    <a:noFill/>
                    <a:ln>
                      <a:noFill/>
                    </a:ln>
                  </pic:spPr>
                </pic:pic>
              </a:graphicData>
            </a:graphic>
          </wp:inline>
        </w:drawing>
      </w:r>
      <w:r>
        <w:rPr>
          <w:rFonts w:hint="eastAsia" w:eastAsia="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须按上述格式要求截图并加盖公章，截图清晰显示单位名称及查询结果。</w:t>
      </w:r>
    </w:p>
    <w:p>
      <w:pPr>
        <w:jc w:val="center"/>
        <w:rPr>
          <w:rFonts w:hint="eastAsia" w:eastAsia="宋体"/>
          <w:color w:val="000000" w:themeColor="text1"/>
          <w:highlight w:val="none"/>
          <w:lang w:eastAsia="zh-CN"/>
          <w14:textFill>
            <w14:solidFill>
              <w14:schemeClr w14:val="tx1"/>
            </w14:solidFill>
          </w14:textFill>
        </w:rPr>
      </w:pPr>
    </w:p>
    <w:p>
      <w:pPr>
        <w:jc w:val="center"/>
        <w:rPr>
          <w:rFonts w:hint="eastAsia" w:ascii="宋体" w:hAnsi="宋体" w:eastAsia="宋体" w:cs="宋体"/>
          <w:b/>
          <w:color w:val="000000" w:themeColor="text1"/>
          <w:sz w:val="21"/>
          <w:szCs w:val="21"/>
          <w:highlight w:val="none"/>
          <w14:textFill>
            <w14:solidFill>
              <w14:schemeClr w14:val="tx1"/>
            </w14:solidFill>
          </w14:textFill>
        </w:rPr>
      </w:pPr>
    </w:p>
    <w:p>
      <w:pPr>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“信用中国”网站（www.creditchina.gov.cn）截图格式</w:t>
      </w:r>
    </w:p>
    <w:p>
      <w:pPr>
        <w:pStyle w:val="26"/>
        <w:rPr>
          <w:rFonts w:hint="eastAsia"/>
          <w:color w:val="000000" w:themeColor="text1"/>
          <w:highlight w:val="none"/>
          <w14:textFill>
            <w14:solidFill>
              <w14:schemeClr w14:val="tx1"/>
            </w14:solidFill>
          </w14:textFill>
        </w:rPr>
      </w:pP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drawing>
          <wp:inline distT="0" distB="0" distL="114300" distR="114300">
            <wp:extent cx="5759450" cy="5522595"/>
            <wp:effectExtent l="0" t="0" r="12700" b="1905"/>
            <wp:docPr id="3" name="图片 3" descr="86d5a2220ddf2c62cb1673af490a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6d5a2220ddf2c62cb1673af490a6dd"/>
                    <pic:cNvPicPr>
                      <a:picLocks noChangeAspect="1"/>
                    </pic:cNvPicPr>
                  </pic:nvPicPr>
                  <pic:blipFill>
                    <a:blip r:embed="rId19"/>
                    <a:stretch>
                      <a:fillRect/>
                    </a:stretch>
                  </pic:blipFill>
                  <pic:spPr>
                    <a:xfrm>
                      <a:off x="0" y="0"/>
                      <a:ext cx="5759450" cy="5522595"/>
                    </a:xfrm>
                    <a:prstGeom prst="rect">
                      <a:avLst/>
                    </a:prstGeom>
                    <a:noFill/>
                    <a:ln>
                      <a:noFill/>
                    </a:ln>
                  </pic:spPr>
                </pic:pic>
              </a:graphicData>
            </a:graphic>
          </wp:inline>
        </w:drawing>
      </w: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须按上述格式要求截图并加盖公章，截图清晰显示单位名称及</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严重失信主体名单</w:t>
      </w:r>
      <w:r>
        <w:rPr>
          <w:rFonts w:hint="eastAsia" w:ascii="宋体" w:hAnsi="宋体" w:eastAsia="宋体" w:cs="宋体"/>
          <w:color w:val="000000" w:themeColor="text1"/>
          <w:sz w:val="21"/>
          <w:szCs w:val="21"/>
          <w:highlight w:val="none"/>
          <w14:textFill>
            <w14:solidFill>
              <w14:schemeClr w14:val="tx1"/>
            </w14:solidFill>
          </w14:textFill>
        </w:rPr>
        <w:t>信息。</w:t>
      </w:r>
      <w:bookmarkEnd w:id="4"/>
      <w:bookmarkEnd w:id="5"/>
      <w:bookmarkEnd w:id="6"/>
      <w:bookmarkEnd w:id="7"/>
      <w:bookmarkEnd w:id="8"/>
      <w:bookmarkEnd w:id="9"/>
      <w:bookmarkEnd w:id="10"/>
      <w:bookmarkEnd w:id="11"/>
      <w:bookmarkEnd w:id="12"/>
      <w:bookmarkEnd w:id="13"/>
      <w:bookmarkEnd w:id="14"/>
      <w:bookmarkEnd w:id="15"/>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26"/>
        <w:keepNext w:val="0"/>
        <w:keepLines w:val="0"/>
        <w:pageBreakBefore w:val="0"/>
        <w:kinsoku/>
        <w:wordWrap/>
        <w:overflowPunct/>
        <w:topLinePunct w:val="0"/>
        <w:autoSpaceDE/>
        <w:autoSpaceDN/>
        <w:bidi w:val="0"/>
        <w:adjustRightInd/>
        <w:snapToGrid/>
        <w:ind w:left="0" w:leftChars="0" w:firstLine="0" w:firstLineChars="0"/>
        <w:jc w:val="left"/>
        <w:textAlignment w:val="auto"/>
        <w:rPr>
          <w:rFonts w:hint="default" w:ascii="黑体" w:hAnsi="黑体" w:eastAsia="黑体" w:cs="黑体"/>
          <w:b w:val="0"/>
          <w:bCs/>
          <w:color w:val="000000" w:themeColor="text1"/>
          <w:sz w:val="28"/>
          <w:szCs w:val="28"/>
          <w:highlight w:val="none"/>
          <w:u w:val="none"/>
          <w:lang w:val="en-US" w:eastAsia="zh-CN"/>
          <w14:textFill>
            <w14:solidFill>
              <w14:schemeClr w14:val="tx1"/>
            </w14:solidFill>
          </w14:textFill>
        </w:rPr>
      </w:pPr>
      <w:r>
        <w:rPr>
          <w:rFonts w:hint="eastAsia" w:ascii="黑体" w:hAnsi="黑体" w:eastAsia="黑体" w:cs="黑体"/>
          <w:b w:val="0"/>
          <w:bCs/>
          <w:color w:val="000000" w:themeColor="text1"/>
          <w:sz w:val="28"/>
          <w:szCs w:val="28"/>
          <w:highlight w:val="none"/>
          <w:u w:val="none"/>
          <w:lang w:val="en-US" w:eastAsia="zh-CN"/>
          <w14:textFill>
            <w14:solidFill>
              <w14:schemeClr w14:val="tx1"/>
            </w14:solidFill>
          </w14:textFill>
        </w:rPr>
        <w:t>四、技术方案（自拟格式）</w:t>
      </w:r>
    </w:p>
    <w:p>
      <w:pPr>
        <w:bidi w:val="0"/>
        <w:rPr>
          <w:rFonts w:hint="default"/>
          <w:color w:val="000000" w:themeColor="text1"/>
          <w:highlight w:val="none"/>
          <w:lang w:val="en-US"/>
          <w14:textFill>
            <w14:solidFill>
              <w14:schemeClr w14:val="tx1"/>
            </w14:solidFill>
          </w14:textFill>
        </w:rPr>
      </w:pPr>
      <w:r>
        <w:rPr>
          <w:rFonts w:hint="default"/>
          <w:color w:val="000000" w:themeColor="text1"/>
          <w:highlight w:val="none"/>
          <w:lang w:val="en-US"/>
          <w14:textFill>
            <w14:solidFill>
              <w14:schemeClr w14:val="tx1"/>
            </w14:solidFill>
          </w14:textFill>
        </w:rPr>
        <w:br w:type="page"/>
      </w:r>
    </w:p>
    <w:p>
      <w:pPr>
        <w:pStyle w:val="26"/>
        <w:keepNext w:val="0"/>
        <w:keepLines w:val="0"/>
        <w:pageBreakBefore w:val="0"/>
        <w:kinsoku/>
        <w:wordWrap/>
        <w:overflowPunct/>
        <w:topLinePunct w:val="0"/>
        <w:autoSpaceDE/>
        <w:autoSpaceDN/>
        <w:bidi w:val="0"/>
        <w:adjustRightInd/>
        <w:snapToGrid/>
        <w:ind w:left="0" w:leftChars="0" w:firstLine="0" w:firstLineChars="0"/>
        <w:jc w:val="left"/>
        <w:textAlignment w:val="auto"/>
        <w:rPr>
          <w:rFonts w:hint="eastAsia" w:ascii="黑体" w:hAnsi="黑体" w:eastAsia="黑体" w:cs="黑体"/>
          <w:b w:val="0"/>
          <w:bCs/>
          <w:color w:val="000000" w:themeColor="text1"/>
          <w:sz w:val="28"/>
          <w:szCs w:val="28"/>
          <w:highlight w:val="none"/>
          <w:u w:val="none"/>
          <w:lang w:val="en-US" w:eastAsia="zh-CN"/>
          <w14:textFill>
            <w14:solidFill>
              <w14:schemeClr w14:val="tx1"/>
            </w14:solidFill>
          </w14:textFill>
        </w:rPr>
      </w:pPr>
      <w:r>
        <w:rPr>
          <w:rFonts w:hint="eastAsia" w:ascii="黑体" w:hAnsi="黑体" w:eastAsia="黑体" w:cs="黑体"/>
          <w:b w:val="0"/>
          <w:bCs/>
          <w:color w:val="000000" w:themeColor="text1"/>
          <w:sz w:val="28"/>
          <w:szCs w:val="28"/>
          <w:highlight w:val="none"/>
          <w:u w:val="none"/>
          <w:lang w:val="en-US" w:eastAsia="zh-CN"/>
          <w14:textFill>
            <w14:solidFill>
              <w14:schemeClr w14:val="tx1"/>
            </w14:solidFill>
          </w14:textFill>
        </w:rPr>
        <w:t>五、商务方案</w:t>
      </w:r>
    </w:p>
    <w:p>
      <w:pPr>
        <w:pStyle w:val="26"/>
        <w:ind w:left="0" w:leftChars="0" w:firstLine="0" w:firstLineChars="0"/>
        <w:jc w:val="center"/>
        <w:rPr>
          <w:rFonts w:hint="default"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t>5.1 有效业绩证明</w:t>
      </w:r>
    </w:p>
    <w:p>
      <w:pPr>
        <w:pStyle w:val="26"/>
        <w:ind w:left="0" w:leftChars="0" w:firstLine="0" w:firstLineChars="0"/>
        <w:jc w:val="center"/>
        <w:rPr>
          <w:rFonts w:hint="eastAsia" w:asciiTheme="majorEastAsia" w:hAnsiTheme="majorEastAsia" w:eastAsiaTheme="majorEastAsia" w:cstheme="majorEastAsia"/>
          <w:b/>
          <w:bCs/>
          <w:color w:val="000000" w:themeColor="text1"/>
          <w:highlight w:val="none"/>
          <w:lang w:val="en-US" w:eastAsia="zh-CN"/>
          <w14:textFill>
            <w14:solidFill>
              <w14:schemeClr w14:val="tx1"/>
            </w14:solidFill>
          </w14:textFill>
        </w:rPr>
      </w:pPr>
    </w:p>
    <w:tbl>
      <w:tblPr>
        <w:tblStyle w:val="14"/>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444"/>
        <w:gridCol w:w="2136"/>
        <w:gridCol w:w="1502"/>
        <w:gridCol w:w="1444"/>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07" w:type="pct"/>
            <w:shd w:val="clear" w:color="auto" w:fill="F3F3F3"/>
            <w:noWrap w:val="0"/>
            <w:vAlign w:val="center"/>
          </w:tcPr>
          <w:p>
            <w:pPr>
              <w:widowControl w:val="0"/>
              <w:kinsoku/>
              <w:overflowPunct/>
              <w:topLinePunct w:val="0"/>
              <w:bidi w:val="0"/>
              <w:jc w:val="center"/>
              <w:rPr>
                <w:rFonts w:hint="eastAsia" w:asciiTheme="majorEastAsia" w:hAnsiTheme="majorEastAsia" w:eastAsiaTheme="majorEastAsia" w:cstheme="majorEastAsia"/>
                <w:b/>
                <w:bCs/>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highlight w:val="none"/>
                <w14:textFill>
                  <w14:solidFill>
                    <w14:schemeClr w14:val="tx1"/>
                  </w14:solidFill>
                </w14:textFill>
              </w:rPr>
              <w:t>序号</w:t>
            </w:r>
          </w:p>
        </w:tc>
        <w:tc>
          <w:tcPr>
            <w:tcW w:w="813" w:type="pct"/>
            <w:shd w:val="clear" w:color="auto" w:fill="F3F3F3"/>
            <w:noWrap w:val="0"/>
            <w:vAlign w:val="center"/>
          </w:tcPr>
          <w:p>
            <w:pPr>
              <w:widowControl w:val="0"/>
              <w:kinsoku/>
              <w:overflowPunct/>
              <w:topLinePunct w:val="0"/>
              <w:bidi w:val="0"/>
              <w:jc w:val="center"/>
              <w:rPr>
                <w:rFonts w:hint="eastAsia" w:asciiTheme="majorEastAsia" w:hAnsiTheme="majorEastAsia" w:eastAsiaTheme="majorEastAsia" w:cstheme="majorEastAsia"/>
                <w:b/>
                <w:bCs/>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highlight w:val="none"/>
                <w14:textFill>
                  <w14:solidFill>
                    <w14:schemeClr w14:val="tx1"/>
                  </w14:solidFill>
                </w14:textFill>
              </w:rPr>
              <w:t>客户名称</w:t>
            </w:r>
          </w:p>
        </w:tc>
        <w:tc>
          <w:tcPr>
            <w:tcW w:w="1203" w:type="pct"/>
            <w:shd w:val="clear" w:color="auto" w:fill="F3F3F3"/>
            <w:noWrap w:val="0"/>
            <w:vAlign w:val="center"/>
          </w:tcPr>
          <w:p>
            <w:pPr>
              <w:widowControl w:val="0"/>
              <w:kinsoku/>
              <w:overflowPunct/>
              <w:topLinePunct w:val="0"/>
              <w:bidi w:val="0"/>
              <w:jc w:val="center"/>
              <w:rPr>
                <w:rFonts w:hint="eastAsia" w:asciiTheme="majorEastAsia" w:hAnsiTheme="majorEastAsia" w:eastAsiaTheme="majorEastAsia" w:cstheme="majorEastAsia"/>
                <w:b/>
                <w:bCs/>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highlight w:val="none"/>
                <w14:textFill>
                  <w14:solidFill>
                    <w14:schemeClr w14:val="tx1"/>
                  </w14:solidFill>
                </w14:textFill>
              </w:rPr>
              <w:t>项目名称和所在地</w:t>
            </w:r>
          </w:p>
        </w:tc>
        <w:tc>
          <w:tcPr>
            <w:tcW w:w="846" w:type="pct"/>
            <w:shd w:val="clear" w:color="auto" w:fill="F3F3F3"/>
            <w:noWrap w:val="0"/>
            <w:vAlign w:val="center"/>
          </w:tcPr>
          <w:p>
            <w:pPr>
              <w:widowControl w:val="0"/>
              <w:kinsoku/>
              <w:overflowPunct/>
              <w:topLinePunct w:val="0"/>
              <w:bidi w:val="0"/>
              <w:jc w:val="center"/>
              <w:rPr>
                <w:rFonts w:hint="eastAsia" w:asciiTheme="majorEastAsia" w:hAnsiTheme="majorEastAsia" w:eastAsiaTheme="majorEastAsia" w:cstheme="majorEastAsia"/>
                <w:b/>
                <w:bCs/>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highlight w:val="none"/>
                <w14:textFill>
                  <w14:solidFill>
                    <w14:schemeClr w14:val="tx1"/>
                  </w14:solidFill>
                </w14:textFill>
              </w:rPr>
              <w:t>服务内容</w:t>
            </w:r>
          </w:p>
        </w:tc>
        <w:tc>
          <w:tcPr>
            <w:tcW w:w="813" w:type="pct"/>
            <w:shd w:val="clear" w:color="auto" w:fill="F3F3F3"/>
            <w:noWrap w:val="0"/>
            <w:vAlign w:val="center"/>
          </w:tcPr>
          <w:p>
            <w:pPr>
              <w:widowControl w:val="0"/>
              <w:kinsoku/>
              <w:overflowPunct/>
              <w:topLinePunct w:val="0"/>
              <w:bidi w:val="0"/>
              <w:jc w:val="center"/>
              <w:rPr>
                <w:rFonts w:hint="eastAsia" w:asciiTheme="majorEastAsia" w:hAnsiTheme="majorEastAsia" w:eastAsiaTheme="majorEastAsia" w:cstheme="majorEastAsia"/>
                <w:b/>
                <w:bCs/>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highlight w:val="none"/>
                <w14:textFill>
                  <w14:solidFill>
                    <w14:schemeClr w14:val="tx1"/>
                  </w14:solidFill>
                </w14:textFill>
              </w:rPr>
              <w:t>合同金额</w:t>
            </w:r>
          </w:p>
        </w:tc>
        <w:tc>
          <w:tcPr>
            <w:tcW w:w="819" w:type="pct"/>
            <w:shd w:val="clear" w:color="auto" w:fill="F3F3F3"/>
            <w:noWrap w:val="0"/>
            <w:vAlign w:val="center"/>
          </w:tcPr>
          <w:p>
            <w:pPr>
              <w:widowControl w:val="0"/>
              <w:kinsoku/>
              <w:overflowPunct/>
              <w:topLinePunct w:val="0"/>
              <w:bidi w:val="0"/>
              <w:jc w:val="center"/>
              <w:rPr>
                <w:rFonts w:hint="eastAsia" w:asciiTheme="majorEastAsia" w:hAnsiTheme="majorEastAsia" w:eastAsiaTheme="majorEastAsia" w:cstheme="majorEastAsia"/>
                <w:b/>
                <w:bCs/>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highlight w:val="none"/>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7"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t>1</w:t>
            </w:r>
          </w:p>
        </w:tc>
        <w:tc>
          <w:tcPr>
            <w:tcW w:w="81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120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46"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3"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9"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7"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t>2</w:t>
            </w:r>
          </w:p>
        </w:tc>
        <w:tc>
          <w:tcPr>
            <w:tcW w:w="81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120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46"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3"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9"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7"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t>3</w:t>
            </w:r>
          </w:p>
        </w:tc>
        <w:tc>
          <w:tcPr>
            <w:tcW w:w="81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120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46"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3"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9"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7"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tc>
        <w:tc>
          <w:tcPr>
            <w:tcW w:w="81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120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46"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3"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9"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7"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5</w:t>
            </w:r>
          </w:p>
        </w:tc>
        <w:tc>
          <w:tcPr>
            <w:tcW w:w="81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120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46"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3"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9"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7"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6</w:t>
            </w:r>
          </w:p>
        </w:tc>
        <w:tc>
          <w:tcPr>
            <w:tcW w:w="81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120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46"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3"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9"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7"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7</w:t>
            </w:r>
          </w:p>
        </w:tc>
        <w:tc>
          <w:tcPr>
            <w:tcW w:w="81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120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46"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3"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9"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7" w:type="pct"/>
            <w:noWrap w:val="0"/>
            <w:vAlign w:val="center"/>
          </w:tcPr>
          <w:p>
            <w:pPr>
              <w:widowControl w:val="0"/>
              <w:kinsoku/>
              <w:overflowPunct/>
              <w:topLinePunct w:val="0"/>
              <w:bidi w:val="0"/>
              <w:jc w:val="center"/>
              <w:rPr>
                <w:rFonts w:hint="default"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8</w:t>
            </w:r>
          </w:p>
        </w:tc>
        <w:tc>
          <w:tcPr>
            <w:tcW w:w="81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120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46"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3"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9"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7"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t>…</w:t>
            </w:r>
          </w:p>
        </w:tc>
        <w:tc>
          <w:tcPr>
            <w:tcW w:w="81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1203"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46"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3" w:type="pct"/>
            <w:noWrap w:val="0"/>
            <w:vAlign w:val="top"/>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c>
          <w:tcPr>
            <w:tcW w:w="819" w:type="pct"/>
            <w:noWrap w:val="0"/>
            <w:vAlign w:val="center"/>
          </w:tcPr>
          <w:p>
            <w:pPr>
              <w:widowControl w:val="0"/>
              <w:kinsoku/>
              <w:overflowPunct/>
              <w:topLinePunct w:val="0"/>
              <w:bidi w:val="0"/>
              <w:jc w:val="center"/>
              <w:rPr>
                <w:rFonts w:hint="eastAsia" w:asciiTheme="majorEastAsia" w:hAnsiTheme="majorEastAsia" w:eastAsiaTheme="majorEastAsia" w:cstheme="majorEastAsia"/>
                <w:color w:val="000000" w:themeColor="text1"/>
                <w:highlight w:val="none"/>
                <w14:textFill>
                  <w14:solidFill>
                    <w14:schemeClr w14:val="tx1"/>
                  </w14:solidFill>
                </w14:textFill>
              </w:rPr>
            </w:pPr>
          </w:p>
        </w:tc>
      </w:tr>
    </w:tbl>
    <w:p>
      <w:pPr>
        <w:pStyle w:val="26"/>
        <w:ind w:left="0" w:leftChars="0" w:firstLine="0" w:firstLineChars="0"/>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说明：1.有效业绩指（同时满足以下要求）：1）合同期限：自2019年1月1日至报价截止时间，正在执行中或已完成的项目，合同期限不少于1年；2）合同金额：年均合同金额人民币30万元以上；3）应用范围：大型企业事业单位及政府部门公众服务类测评调查项目。</w:t>
      </w:r>
    </w:p>
    <w:p>
      <w:pPr>
        <w:pStyle w:val="26"/>
        <w:keepNext w:val="0"/>
        <w:keepLines w:val="0"/>
        <w:pageBreakBefore w:val="0"/>
        <w:kinsoku/>
        <w:wordWrap/>
        <w:overflowPunct/>
        <w:topLinePunct w:val="0"/>
        <w:autoSpaceDE/>
        <w:autoSpaceDN/>
        <w:bidi w:val="0"/>
        <w:adjustRightInd/>
        <w:snapToGrid/>
        <w:spacing w:line="360" w:lineRule="auto"/>
        <w:textAlignment w:val="auto"/>
        <w:rPr>
          <w:rFonts w:hint="default"/>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提供合同或协议的关键页复印件，</w:t>
      </w:r>
      <w:r>
        <w:rPr>
          <w:rFonts w:hint="eastAsia" w:ascii="宋体" w:hAnsi="宋体" w:eastAsia="宋体" w:cs="宋体"/>
          <w:color w:val="000000" w:themeColor="text1"/>
          <w:sz w:val="21"/>
          <w:szCs w:val="21"/>
          <w:highlight w:val="none"/>
          <w14:textFill>
            <w14:solidFill>
              <w14:schemeClr w14:val="tx1"/>
            </w14:solidFill>
          </w14:textFill>
        </w:rPr>
        <w:t>需清晰地反映签订合同双方的单位、项目名称、含签订合同双方的落款盖章、签订日期、项目金额、业绩应用范围。合同签约主体须与</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一致。所有材料须加盖</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公章。</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pStyle w:val="26"/>
        <w:ind w:left="0" w:leftChars="0" w:firstLine="0" w:firstLineChars="0"/>
        <w:jc w:val="center"/>
        <w:rPr>
          <w:rFonts w:hint="default"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t>5.2 业主评价证明</w:t>
      </w:r>
    </w:p>
    <w:p>
      <w:pPr>
        <w:pStyle w:val="26"/>
        <w:ind w:left="0" w:leftChars="0" w:firstLine="0" w:firstLineChars="0"/>
        <w:jc w:val="center"/>
        <w:rPr>
          <w:rFonts w:hint="eastAsia"/>
          <w:color w:val="000000" w:themeColor="text1"/>
          <w:highlight w:val="none"/>
          <w:lang w:val="en-US" w:eastAsia="zh-CN"/>
          <w14:textFill>
            <w14:solidFill>
              <w14:schemeClr w14:val="tx1"/>
            </w14:solidFill>
          </w14:textFill>
        </w:rPr>
      </w:pP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说明：提供相关证明材料，并加盖业主公章（如属复印件须加盖供应商公章）</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6"/>
        <w:ind w:left="0" w:leftChars="0" w:firstLine="0" w:firstLineChars="0"/>
        <w:jc w:val="center"/>
        <w:rPr>
          <w:rFonts w:hint="eastAsia"/>
          <w:color w:val="000000" w:themeColor="text1"/>
          <w:highlight w:val="none"/>
          <w:lang w:val="en-US" w:eastAsia="zh-CN"/>
          <w14:textFill>
            <w14:solidFill>
              <w14:schemeClr w14:val="tx1"/>
            </w14:solidFill>
          </w14:textFill>
        </w:rPr>
        <w:sectPr>
          <w:headerReference r:id="rId11" w:type="default"/>
          <w:footerReference r:id="rId12" w:type="default"/>
          <w:pgSz w:w="11906" w:h="16838"/>
          <w:pgMar w:top="2098" w:right="1474" w:bottom="1531" w:left="1587" w:header="851" w:footer="992" w:gutter="0"/>
          <w:pgNumType w:fmt="numberInDash"/>
          <w:cols w:space="0" w:num="1"/>
          <w:rtlGutter w:val="0"/>
          <w:docGrid w:type="lines" w:linePitch="300" w:charSpace="0"/>
        </w:sectPr>
      </w:pPr>
    </w:p>
    <w:p>
      <w:pPr>
        <w:pStyle w:val="26"/>
        <w:ind w:left="0" w:leftChars="0" w:firstLine="0" w:firstLineChars="0"/>
        <w:jc w:val="cente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t>5.3 项目负责人介绍</w:t>
      </w:r>
    </w:p>
    <w:p>
      <w:pPr>
        <w:pStyle w:val="26"/>
        <w:ind w:left="0" w:leftChars="0" w:firstLine="0" w:firstLineChars="0"/>
        <w:jc w:val="center"/>
        <w:rPr>
          <w:rFonts w:hint="default" w:asciiTheme="majorEastAsia" w:hAnsiTheme="majorEastAsia" w:eastAsiaTheme="majorEastAsia" w:cstheme="majorEastAsia"/>
          <w:b/>
          <w:bCs/>
          <w:color w:val="000000" w:themeColor="text1"/>
          <w:highlight w:val="none"/>
          <w:lang w:val="en-US" w:eastAsia="zh-CN"/>
          <w14:textFill>
            <w14:solidFill>
              <w14:schemeClr w14:val="tx1"/>
            </w14:solidFill>
          </w14:textFill>
        </w:rPr>
      </w:pPr>
    </w:p>
    <w:tbl>
      <w:tblPr>
        <w:tblStyle w:val="14"/>
        <w:tblW w:w="90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572"/>
        <w:gridCol w:w="465"/>
        <w:gridCol w:w="1123"/>
        <w:gridCol w:w="92"/>
        <w:gridCol w:w="1025"/>
        <w:gridCol w:w="555"/>
        <w:gridCol w:w="1125"/>
        <w:gridCol w:w="1090"/>
        <w:gridCol w:w="19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p>
        </w:tc>
        <w:tc>
          <w:tcPr>
            <w:tcW w:w="21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1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性别</w:t>
            </w:r>
          </w:p>
        </w:tc>
        <w:tc>
          <w:tcPr>
            <w:tcW w:w="16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年龄</w:t>
            </w:r>
          </w:p>
        </w:tc>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327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6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职称</w:t>
            </w:r>
          </w:p>
        </w:tc>
        <w:tc>
          <w:tcPr>
            <w:tcW w:w="30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exact"/>
          <w:jc w:val="center"/>
        </w:trPr>
        <w:tc>
          <w:tcPr>
            <w:tcW w:w="107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学历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学</w:t>
            </w:r>
            <w:r>
              <w:rPr>
                <w:rFonts w:hint="eastAsia" w:ascii="宋体" w:hAnsi="宋体" w:eastAsia="宋体" w:cs="宋体"/>
                <w:color w:val="000000" w:themeColor="text1"/>
                <w:kern w:val="0"/>
                <w:sz w:val="24"/>
                <w:szCs w:val="24"/>
                <w:highlight w:val="none"/>
                <w14:textFill>
                  <w14:solidFill>
                    <w14:schemeClr w14:val="tx1"/>
                  </w14:solidFill>
                </w14:textFill>
              </w:rPr>
              <w:t>位</w:t>
            </w:r>
          </w:p>
        </w:tc>
        <w:tc>
          <w:tcPr>
            <w:tcW w:w="1037"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全日制       教育</w:t>
            </w:r>
          </w:p>
        </w:tc>
        <w:tc>
          <w:tcPr>
            <w:tcW w:w="2240"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68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毕业院校</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系及专业</w:t>
            </w:r>
          </w:p>
        </w:tc>
        <w:tc>
          <w:tcPr>
            <w:tcW w:w="3024"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5" w:hRule="exact"/>
          <w:jc w:val="center"/>
        </w:trPr>
        <w:tc>
          <w:tcPr>
            <w:tcW w:w="107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7"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在职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教育</w:t>
            </w:r>
          </w:p>
        </w:tc>
        <w:tc>
          <w:tcPr>
            <w:tcW w:w="2240"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8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毕业院校</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系及专业</w:t>
            </w:r>
          </w:p>
        </w:tc>
        <w:tc>
          <w:tcPr>
            <w:tcW w:w="3024"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参加工作时间</w:t>
            </w:r>
          </w:p>
        </w:tc>
        <w:tc>
          <w:tcPr>
            <w:tcW w:w="224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27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从事市场调查</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满意度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调查行业年限</w:t>
            </w:r>
          </w:p>
        </w:tc>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52"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承担项目情况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6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业主单位</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1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服务内容</w:t>
            </w:r>
          </w:p>
        </w:tc>
        <w:tc>
          <w:tcPr>
            <w:tcW w:w="41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41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41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4"/>
                <w:highlight w:val="none"/>
                <w14:textFill>
                  <w14:solidFill>
                    <w14:schemeClr w14:val="tx1"/>
                  </w14:solidFill>
                </w14:textFill>
              </w:rPr>
            </w:pPr>
          </w:p>
        </w:tc>
        <w:tc>
          <w:tcPr>
            <w:tcW w:w="41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4"/>
                <w:highlight w:val="none"/>
                <w14:textFill>
                  <w14:solidFill>
                    <w14:schemeClr w14:val="tx1"/>
                  </w14:solidFill>
                </w14:textFill>
              </w:rPr>
            </w:pPr>
          </w:p>
        </w:tc>
        <w:tc>
          <w:tcPr>
            <w:tcW w:w="41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r>
    </w:tbl>
    <w:p>
      <w:pPr>
        <w:bidi w:val="0"/>
        <w:rPr>
          <w:rFonts w:hint="eastAsia"/>
          <w:color w:val="000000" w:themeColor="text1"/>
          <w:highlight w:val="none"/>
          <w:lang w:val="en-US" w:eastAsia="zh-CN"/>
          <w14:textFill>
            <w14:solidFill>
              <w14:schemeClr w14:val="tx1"/>
            </w14:solidFill>
          </w14:textFill>
        </w:rPr>
      </w:pPr>
    </w:p>
    <w:p>
      <w:pPr>
        <w:pStyle w:val="26"/>
        <w:ind w:left="0" w:leftChars="0" w:firstLine="0" w:firstLineChars="0"/>
        <w:rPr>
          <w:rFonts w:hint="eastAsia"/>
          <w:color w:val="000000" w:themeColor="text1"/>
          <w:highlight w:val="none"/>
          <w:lang w:val="en-US" w:eastAsia="zh-CN"/>
          <w14:textFill>
            <w14:solidFill>
              <w14:schemeClr w14:val="tx1"/>
            </w14:solidFill>
          </w14:textFill>
        </w:rPr>
      </w:pPr>
    </w:p>
    <w:p>
      <w:pPr>
        <w:bidi w:val="0"/>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说明：</w:t>
      </w:r>
      <w:r>
        <w:rPr>
          <w:rFonts w:hint="eastAsia" w:ascii="Times New Roman" w:hAnsi="Times New Roman" w:cs="Times New Roman"/>
          <w:color w:val="000000" w:themeColor="text1"/>
          <w:highlight w:val="none"/>
          <w:lang w:val="en-US" w:eastAsia="zh-CN"/>
          <w14:textFill>
            <w14:solidFill>
              <w14:schemeClr w14:val="tx1"/>
            </w14:solidFill>
          </w14:textFill>
        </w:rPr>
        <w:t>提供服务人员学历、工作经历证明（加盖供应商公章）</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pStyle w:val="26"/>
        <w:ind w:left="0" w:leftChars="0" w:firstLine="0" w:firstLineChars="0"/>
        <w:jc w:val="cente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t>5.4 项目服务团队成员介绍</w:t>
      </w:r>
    </w:p>
    <w:p>
      <w:pPr>
        <w:pStyle w:val="26"/>
        <w:ind w:left="0" w:leftChars="0" w:firstLine="0" w:firstLineChars="0"/>
        <w:jc w:val="both"/>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t>1）团队配置</w:t>
      </w:r>
    </w:p>
    <w:tbl>
      <w:tblPr>
        <w:tblStyle w:val="14"/>
        <w:tblW w:w="101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876"/>
        <w:gridCol w:w="821"/>
        <w:gridCol w:w="1323"/>
        <w:gridCol w:w="1134"/>
        <w:gridCol w:w="1323"/>
        <w:gridCol w:w="34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17" w:type="dxa"/>
            <w:tcBorders>
              <w:bottom w:val="single" w:color="auto" w:sz="4" w:space="0"/>
            </w:tcBorders>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姓名</w:t>
            </w:r>
          </w:p>
        </w:tc>
        <w:tc>
          <w:tcPr>
            <w:tcW w:w="876" w:type="dxa"/>
            <w:tcBorders>
              <w:bottom w:val="single" w:color="auto" w:sz="4" w:space="0"/>
            </w:tcBorders>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职务</w:t>
            </w:r>
          </w:p>
        </w:tc>
        <w:tc>
          <w:tcPr>
            <w:tcW w:w="821" w:type="dxa"/>
            <w:tcBorders>
              <w:bottom w:val="single" w:color="auto" w:sz="4" w:space="0"/>
            </w:tcBorders>
            <w:noWrap w:val="0"/>
            <w:vAlign w:val="top"/>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毕业院校</w:t>
            </w:r>
          </w:p>
        </w:tc>
        <w:tc>
          <w:tcPr>
            <w:tcW w:w="1323" w:type="dxa"/>
            <w:tcBorders>
              <w:bottom w:val="single" w:color="auto" w:sz="4" w:space="0"/>
            </w:tcBorders>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专业</w:t>
            </w:r>
          </w:p>
        </w:tc>
        <w:tc>
          <w:tcPr>
            <w:tcW w:w="1134" w:type="dxa"/>
            <w:noWrap w:val="0"/>
            <w:vAlign w:val="center"/>
          </w:tcPr>
          <w:p>
            <w:pPr>
              <w:widowControl w:val="0"/>
              <w:kinsoku/>
              <w:overflowPunct/>
              <w:topLinePunct w:val="0"/>
              <w:bidi w:val="0"/>
              <w:spacing w:line="300" w:lineRule="exact"/>
              <w:jc w:val="center"/>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学历</w:t>
            </w:r>
          </w:p>
        </w:tc>
        <w:tc>
          <w:tcPr>
            <w:tcW w:w="1323" w:type="dxa"/>
            <w:noWrap w:val="0"/>
            <w:vAlign w:val="center"/>
          </w:tcPr>
          <w:p>
            <w:pPr>
              <w:widowControl w:val="0"/>
              <w:kinsoku/>
              <w:overflowPunct/>
              <w:topLinePunct w:val="0"/>
              <w:bidi w:val="0"/>
              <w:spacing w:line="300" w:lineRule="exact"/>
              <w:jc w:val="center"/>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工作年限</w:t>
            </w:r>
          </w:p>
        </w:tc>
        <w:tc>
          <w:tcPr>
            <w:tcW w:w="3402" w:type="dxa"/>
            <w:noWrap w:val="0"/>
            <w:vAlign w:val="center"/>
          </w:tcPr>
          <w:p>
            <w:pPr>
              <w:widowControl w:val="0"/>
              <w:kinsoku/>
              <w:overflowPunct/>
              <w:topLinePunct w:val="0"/>
              <w:bidi w:val="0"/>
              <w:spacing w:line="300" w:lineRule="exact"/>
              <w:jc w:val="center"/>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承担项目经历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17"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876"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821" w:type="dxa"/>
            <w:noWrap w:val="0"/>
            <w:vAlign w:val="top"/>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323"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134" w:type="dxa"/>
            <w:noWrap w:val="0"/>
            <w:vAlign w:val="top"/>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323"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3402"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17"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876"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821" w:type="dxa"/>
            <w:noWrap w:val="0"/>
            <w:vAlign w:val="top"/>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323"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134" w:type="dxa"/>
            <w:noWrap w:val="0"/>
            <w:vAlign w:val="top"/>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323"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3402"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17"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876"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821" w:type="dxa"/>
            <w:noWrap w:val="0"/>
            <w:vAlign w:val="top"/>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323"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134" w:type="dxa"/>
            <w:noWrap w:val="0"/>
            <w:vAlign w:val="top"/>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323"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3402"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17"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876"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821" w:type="dxa"/>
            <w:noWrap w:val="0"/>
            <w:vAlign w:val="top"/>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323"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134" w:type="dxa"/>
            <w:noWrap w:val="0"/>
            <w:vAlign w:val="top"/>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323"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3402"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17"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876"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821" w:type="dxa"/>
            <w:noWrap w:val="0"/>
            <w:vAlign w:val="top"/>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323"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134" w:type="dxa"/>
            <w:noWrap w:val="0"/>
            <w:vAlign w:val="top"/>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323"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3402"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17"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876"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821" w:type="dxa"/>
            <w:noWrap w:val="0"/>
            <w:vAlign w:val="top"/>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323"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134" w:type="dxa"/>
            <w:noWrap w:val="0"/>
            <w:vAlign w:val="top"/>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1323"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c>
          <w:tcPr>
            <w:tcW w:w="3402" w:type="dxa"/>
            <w:noWrap w:val="0"/>
            <w:vAlign w:val="center"/>
          </w:tcPr>
          <w:p>
            <w:pPr>
              <w:widowControl w:val="0"/>
              <w:kinsoku/>
              <w:overflowPunct/>
              <w:topLinePunct w:val="0"/>
              <w:bidi w:val="0"/>
              <w:jc w:val="center"/>
              <w:rPr>
                <w:rFonts w:hint="eastAsia" w:ascii="宋体" w:hAnsi="宋体"/>
                <w:color w:val="000000" w:themeColor="text1"/>
                <w:sz w:val="24"/>
                <w:szCs w:val="20"/>
                <w:highlight w:val="none"/>
                <w14:textFill>
                  <w14:solidFill>
                    <w14:schemeClr w14:val="tx1"/>
                  </w14:solidFill>
                </w14:textFill>
              </w:rPr>
            </w:pPr>
          </w:p>
        </w:tc>
      </w:tr>
    </w:tbl>
    <w:p>
      <w:pP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br w:type="page"/>
      </w:r>
    </w:p>
    <w:p>
      <w:pPr>
        <w:pStyle w:val="26"/>
        <w:ind w:left="0" w:leftChars="0" w:firstLine="0" w:firstLineChars="0"/>
        <w:jc w:val="both"/>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t>2）成员简历</w:t>
      </w:r>
    </w:p>
    <w:tbl>
      <w:tblPr>
        <w:tblStyle w:val="14"/>
        <w:tblW w:w="90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572"/>
        <w:gridCol w:w="465"/>
        <w:gridCol w:w="1123"/>
        <w:gridCol w:w="92"/>
        <w:gridCol w:w="1025"/>
        <w:gridCol w:w="555"/>
        <w:gridCol w:w="1125"/>
        <w:gridCol w:w="1090"/>
        <w:gridCol w:w="19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p>
        </w:tc>
        <w:tc>
          <w:tcPr>
            <w:tcW w:w="21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1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性别</w:t>
            </w:r>
          </w:p>
        </w:tc>
        <w:tc>
          <w:tcPr>
            <w:tcW w:w="16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年龄</w:t>
            </w:r>
          </w:p>
        </w:tc>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327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6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职称</w:t>
            </w:r>
          </w:p>
        </w:tc>
        <w:tc>
          <w:tcPr>
            <w:tcW w:w="30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exact"/>
          <w:jc w:val="center"/>
        </w:trPr>
        <w:tc>
          <w:tcPr>
            <w:tcW w:w="107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学历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学</w:t>
            </w:r>
            <w:r>
              <w:rPr>
                <w:rFonts w:hint="eastAsia" w:ascii="宋体" w:hAnsi="宋体" w:eastAsia="宋体" w:cs="宋体"/>
                <w:color w:val="000000" w:themeColor="text1"/>
                <w:kern w:val="0"/>
                <w:sz w:val="24"/>
                <w:szCs w:val="24"/>
                <w:highlight w:val="none"/>
                <w14:textFill>
                  <w14:solidFill>
                    <w14:schemeClr w14:val="tx1"/>
                  </w14:solidFill>
                </w14:textFill>
              </w:rPr>
              <w:t>位</w:t>
            </w:r>
          </w:p>
        </w:tc>
        <w:tc>
          <w:tcPr>
            <w:tcW w:w="1037"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全日制       教育</w:t>
            </w:r>
          </w:p>
        </w:tc>
        <w:tc>
          <w:tcPr>
            <w:tcW w:w="2240"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68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毕业院校</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系及专业</w:t>
            </w:r>
          </w:p>
        </w:tc>
        <w:tc>
          <w:tcPr>
            <w:tcW w:w="3024"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5" w:hRule="exact"/>
          <w:jc w:val="center"/>
        </w:trPr>
        <w:tc>
          <w:tcPr>
            <w:tcW w:w="107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37"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在职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教育</w:t>
            </w:r>
          </w:p>
        </w:tc>
        <w:tc>
          <w:tcPr>
            <w:tcW w:w="2240"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8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毕业院校</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系及专业</w:t>
            </w:r>
          </w:p>
        </w:tc>
        <w:tc>
          <w:tcPr>
            <w:tcW w:w="3024"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参加工作时间</w:t>
            </w:r>
          </w:p>
        </w:tc>
        <w:tc>
          <w:tcPr>
            <w:tcW w:w="224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27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从事市场调查</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满意度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调查行业年限</w:t>
            </w:r>
          </w:p>
        </w:tc>
        <w:tc>
          <w:tcPr>
            <w:tcW w:w="19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52"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承担项目情况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6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业主单位</w:t>
            </w: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1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服务内容</w:t>
            </w:r>
          </w:p>
        </w:tc>
        <w:tc>
          <w:tcPr>
            <w:tcW w:w="41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41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41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4"/>
                <w:highlight w:val="none"/>
                <w14:textFill>
                  <w14:solidFill>
                    <w14:schemeClr w14:val="tx1"/>
                  </w14:solidFill>
                </w14:textFill>
              </w:rPr>
            </w:pPr>
          </w:p>
        </w:tc>
        <w:tc>
          <w:tcPr>
            <w:tcW w:w="41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c>
          <w:tcPr>
            <w:tcW w:w="1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themeColor="text1"/>
                <w:sz w:val="24"/>
                <w:highlight w:val="none"/>
                <w14:textFill>
                  <w14:solidFill>
                    <w14:schemeClr w14:val="tx1"/>
                  </w14:solidFill>
                </w14:textFill>
              </w:rPr>
            </w:pPr>
          </w:p>
        </w:tc>
        <w:tc>
          <w:tcPr>
            <w:tcW w:w="41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themeColor="text1"/>
                <w:sz w:val="24"/>
                <w:highlight w:val="none"/>
                <w14:textFill>
                  <w14:solidFill>
                    <w14:schemeClr w14:val="tx1"/>
                  </w14:solidFill>
                </w14:textFill>
              </w:rPr>
            </w:pPr>
          </w:p>
        </w:tc>
      </w:tr>
    </w:tbl>
    <w:p>
      <w:pPr>
        <w:rPr>
          <w:rFonts w:hint="default"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p>
    <w:p>
      <w:pPr>
        <w:bidi w:val="0"/>
        <w:rPr>
          <w:rFonts w:hint="default"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说明：</w:t>
      </w:r>
      <w:r>
        <w:rPr>
          <w:rFonts w:hint="eastAsia" w:ascii="Times New Roman" w:hAnsi="Times New Roman" w:cs="Times New Roman"/>
          <w:color w:val="000000" w:themeColor="text1"/>
          <w:highlight w:val="none"/>
          <w:lang w:val="en-US" w:eastAsia="zh-CN"/>
          <w14:textFill>
            <w14:solidFill>
              <w14:schemeClr w14:val="tx1"/>
            </w14:solidFill>
          </w14:textFill>
        </w:rPr>
        <w:t>提供服务人员学历、职称、工作经历、证明（加盖供应商公章）</w:t>
      </w:r>
    </w:p>
    <w:p>
      <w:pPr>
        <w:rPr>
          <w:rFonts w:hint="default"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r>
        <w:rPr>
          <w:rFonts w:hint="default"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br w:type="page"/>
      </w:r>
    </w:p>
    <w:p>
      <w:pPr>
        <w:pStyle w:val="26"/>
        <w:ind w:left="0" w:leftChars="0" w:firstLine="0" w:firstLineChars="0"/>
        <w:jc w:val="both"/>
        <w:rPr>
          <w:rFonts w:hint="eastAsia" w:ascii="仿宋_GB2312" w:hAnsi="仿宋" w:eastAsia="仿宋_GB2312"/>
          <w:b/>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t>3）</w:t>
      </w:r>
    </w:p>
    <w:p>
      <w:pPr>
        <w:pStyle w:val="26"/>
        <w:ind w:left="0" w:leftChars="0" w:firstLine="0" w:firstLineChars="0"/>
        <w:jc w:val="center"/>
        <w:rPr>
          <w:rFonts w:hint="default"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t>服务</w:t>
      </w:r>
      <w:r>
        <w:rPr>
          <w:rFonts w:hint="eastAsia" w:asciiTheme="majorEastAsia" w:hAnsiTheme="majorEastAsia" w:eastAsiaTheme="majorEastAsia" w:cstheme="majorEastAsia"/>
          <w:b/>
          <w:bCs/>
          <w:color w:val="000000" w:themeColor="text1"/>
          <w:sz w:val="28"/>
          <w:szCs w:val="28"/>
          <w:highlight w:val="none"/>
          <w14:textFill>
            <w14:solidFill>
              <w14:schemeClr w14:val="tx1"/>
            </w14:solidFill>
          </w14:textFill>
        </w:rPr>
        <w:t>团队人员</w:t>
      </w: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t>承诺书</w:t>
      </w:r>
    </w:p>
    <w:p>
      <w:pPr>
        <w:pStyle w:val="5"/>
        <w:widowControl w:val="0"/>
        <w:kinsoku/>
        <w:overflowPunct/>
        <w:topLinePunct w:val="0"/>
        <w:bidi w:val="0"/>
        <w:spacing w:line="360" w:lineRule="auto"/>
        <w:ind w:firstLine="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pPr>
        <w:pStyle w:val="5"/>
        <w:widowControl w:val="0"/>
        <w:kinsoku/>
        <w:overflowPunct/>
        <w:topLinePunct w:val="0"/>
        <w:bidi w:val="0"/>
        <w:spacing w:line="360" w:lineRule="auto"/>
        <w:ind w:firstLine="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广东省机场管理集团有限公司： </w:t>
      </w:r>
    </w:p>
    <w:p>
      <w:pPr>
        <w:pStyle w:val="5"/>
        <w:widowControl w:val="0"/>
        <w:kinsoku/>
        <w:overflowPunct/>
        <w:topLinePunct w:val="0"/>
        <w:bidi w:val="0"/>
        <w:spacing w:line="360" w:lineRule="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我方在此承诺：</w:t>
      </w:r>
    </w:p>
    <w:p>
      <w:pPr>
        <w:pStyle w:val="5"/>
        <w:widowControl w:val="0"/>
        <w:kinsoku/>
        <w:overflowPunct/>
        <w:topLinePunct w:val="0"/>
        <w:bidi w:val="0"/>
        <w:spacing w:line="360" w:lineRule="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为保证服务质量，每次开展调研活动时，我方将派出不少于</w:t>
      </w:r>
      <w:r>
        <w:rPr>
          <w:rFonts w:hint="eastAsia" w:asciiTheme="majorEastAsia" w:hAnsiTheme="majorEastAsia" w:eastAsiaTheme="majorEastAsia" w:cstheme="majorEastAsia"/>
          <w:color w:val="000000" w:themeColor="text1"/>
          <w:sz w:val="24"/>
          <w:szCs w:val="24"/>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人组成的</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团队来完成调研任务。</w:t>
      </w:r>
    </w:p>
    <w:p>
      <w:pPr>
        <w:pStyle w:val="5"/>
        <w:widowControl w:val="0"/>
        <w:kinsoku/>
        <w:overflowPunct/>
        <w:topLinePunct w:val="0"/>
        <w:bidi w:val="0"/>
        <w:spacing w:line="360" w:lineRule="auto"/>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2.保持服务团队稳定，若需调整项目服务团队，需事先征得贵司同意。</w:t>
      </w:r>
    </w:p>
    <w:p>
      <w:pPr>
        <w:pStyle w:val="5"/>
        <w:widowControl w:val="0"/>
        <w:kinsoku/>
        <w:overflowPunct/>
        <w:topLinePunct w:val="0"/>
        <w:bidi w:val="0"/>
        <w:spacing w:line="360" w:lineRule="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pPr>
        <w:pStyle w:val="5"/>
        <w:widowControl w:val="0"/>
        <w:kinsoku/>
        <w:overflowPunct/>
        <w:topLinePunct w:val="0"/>
        <w:bidi w:val="0"/>
        <w:spacing w:line="360" w:lineRule="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pPr>
        <w:pStyle w:val="5"/>
        <w:widowControl w:val="0"/>
        <w:kinsoku/>
        <w:overflowPunct/>
        <w:topLinePunct w:val="0"/>
        <w:bidi w:val="0"/>
        <w:spacing w:line="360" w:lineRule="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ind w:firstLine="462"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供应商名称（公章）：</w:t>
      </w:r>
    </w:p>
    <w:p>
      <w:pPr>
        <w:pStyle w:val="26"/>
        <w:keepNext w:val="0"/>
        <w:keepLines w:val="0"/>
        <w:pageBreakBefore w:val="0"/>
        <w:kinsoku/>
        <w:wordWrap/>
        <w:overflowPunct/>
        <w:topLinePunct w:val="0"/>
        <w:autoSpaceDE/>
        <w:autoSpaceDN/>
        <w:bidi w:val="0"/>
        <w:adjustRightInd/>
        <w:spacing w:line="360" w:lineRule="auto"/>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ind w:firstLine="462"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供应商授权代表签字：</w:t>
      </w:r>
    </w:p>
    <w:p>
      <w:pPr>
        <w:pStyle w:val="26"/>
        <w:keepNext w:val="0"/>
        <w:keepLines w:val="0"/>
        <w:pageBreakBefore w:val="0"/>
        <w:kinsoku/>
        <w:wordWrap/>
        <w:overflowPunct/>
        <w:topLinePunct w:val="0"/>
        <w:autoSpaceDE/>
        <w:autoSpaceDN/>
        <w:bidi w:val="0"/>
        <w:adjustRightInd/>
        <w:spacing w:line="360" w:lineRule="auto"/>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360" w:lineRule="auto"/>
        <w:ind w:firstLine="462" w:firstLineChars="200"/>
        <w:textAlignment w:val="auto"/>
        <w:rPr>
          <w:rFonts w:hint="eastAsia" w:asciiTheme="majorEastAsia" w:hAnsiTheme="majorEastAsia" w:eastAsiaTheme="majorEastAsia" w:cstheme="majorEastAsia"/>
          <w:color w:val="000000" w:themeColor="text1"/>
          <w:sz w:val="24"/>
          <w:szCs w:val="24"/>
          <w:highlight w:val="none"/>
          <w:lang w:val="en-US"/>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日期：</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 年</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 月</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 日</w:t>
      </w:r>
    </w:p>
    <w:p>
      <w:pPr>
        <w:rPr>
          <w:rFonts w:hint="eastAsia" w:ascii="宋体" w:hAnsi="宋体" w:eastAsia="宋体" w:cs="宋体"/>
          <w:b/>
          <w:color w:val="000000" w:themeColor="text1"/>
          <w:kern w:val="44"/>
          <w:sz w:val="44"/>
          <w:szCs w:val="44"/>
          <w:highlight w:val="none"/>
          <w14:textFill>
            <w14:solidFill>
              <w14:schemeClr w14:val="tx1"/>
            </w14:solidFill>
          </w14:textFill>
        </w:rPr>
      </w:pPr>
    </w:p>
    <w:p>
      <w:pPr>
        <w:rPr>
          <w:rFonts w:hint="eastAsia" w:ascii="宋体" w:hAnsi="宋体" w:eastAsia="宋体" w:cs="宋体"/>
          <w:b/>
          <w:color w:val="000000" w:themeColor="text1"/>
          <w:kern w:val="44"/>
          <w:sz w:val="44"/>
          <w:szCs w:val="44"/>
          <w:highlight w:val="none"/>
          <w14:textFill>
            <w14:solidFill>
              <w14:schemeClr w14:val="tx1"/>
            </w14:solidFill>
          </w14:textFill>
        </w:rPr>
      </w:pPr>
    </w:p>
    <w:p>
      <w:pPr>
        <w:rPr>
          <w:rFonts w:hint="eastAsia" w:ascii="宋体" w:hAnsi="宋体" w:eastAsia="宋体" w:cs="宋体"/>
          <w:b/>
          <w:color w:val="000000" w:themeColor="text1"/>
          <w:kern w:val="44"/>
          <w:sz w:val="44"/>
          <w:szCs w:val="44"/>
          <w:highlight w:val="none"/>
          <w14:textFill>
            <w14:solidFill>
              <w14:schemeClr w14:val="tx1"/>
            </w14:solidFill>
          </w14:textFill>
        </w:rPr>
      </w:pPr>
      <w:r>
        <w:rPr>
          <w:rFonts w:hint="eastAsia" w:ascii="宋体" w:hAnsi="宋体" w:eastAsia="宋体" w:cs="宋体"/>
          <w:b/>
          <w:color w:val="000000" w:themeColor="text1"/>
          <w:kern w:val="44"/>
          <w:sz w:val="44"/>
          <w:szCs w:val="4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firstLine="315"/>
        <w:jc w:val="center"/>
        <w:textAlignment w:val="auto"/>
        <w:outlineLvl w:val="0"/>
        <w:rPr>
          <w:rFonts w:hint="eastAsia"/>
          <w:color w:val="000000" w:themeColor="text1"/>
          <w:highlight w:val="none"/>
          <w14:textFill>
            <w14:solidFill>
              <w14:schemeClr w14:val="tx1"/>
            </w14:solidFill>
          </w14:textFill>
        </w:rPr>
      </w:pPr>
      <w:r>
        <w:rPr>
          <w:rFonts w:hint="eastAsia" w:ascii="宋体" w:hAnsi="宋体" w:eastAsia="宋体" w:cs="宋体"/>
          <w:b/>
          <w:color w:val="000000" w:themeColor="text1"/>
          <w:kern w:val="44"/>
          <w:sz w:val="44"/>
          <w:szCs w:val="44"/>
          <w:highlight w:val="none"/>
          <w14:textFill>
            <w14:solidFill>
              <w14:schemeClr w14:val="tx1"/>
            </w14:solidFill>
          </w14:textFill>
        </w:rPr>
        <w:t>第</w:t>
      </w:r>
      <w:r>
        <w:rPr>
          <w:rFonts w:hint="eastAsia" w:ascii="宋体" w:hAnsi="宋体" w:cs="宋体"/>
          <w:b/>
          <w:color w:val="000000" w:themeColor="text1"/>
          <w:kern w:val="44"/>
          <w:sz w:val="44"/>
          <w:szCs w:val="44"/>
          <w:highlight w:val="none"/>
          <w:lang w:val="en-US" w:eastAsia="zh-CN"/>
          <w14:textFill>
            <w14:solidFill>
              <w14:schemeClr w14:val="tx1"/>
            </w14:solidFill>
          </w14:textFill>
        </w:rPr>
        <w:t>六</w:t>
      </w:r>
      <w:r>
        <w:rPr>
          <w:rFonts w:hint="eastAsia" w:ascii="宋体" w:hAnsi="宋体" w:eastAsia="宋体" w:cs="宋体"/>
          <w:b/>
          <w:color w:val="000000" w:themeColor="text1"/>
          <w:kern w:val="44"/>
          <w:sz w:val="44"/>
          <w:szCs w:val="44"/>
          <w:highlight w:val="none"/>
          <w14:textFill>
            <w14:solidFill>
              <w14:schemeClr w14:val="tx1"/>
            </w14:solidFill>
          </w14:textFill>
        </w:rPr>
        <w:t>部分　</w:t>
      </w:r>
      <w:r>
        <w:rPr>
          <w:rFonts w:hint="eastAsia" w:ascii="宋体" w:hAnsi="宋体" w:cs="宋体"/>
          <w:b/>
          <w:color w:val="000000" w:themeColor="text1"/>
          <w:kern w:val="44"/>
          <w:sz w:val="44"/>
          <w:szCs w:val="44"/>
          <w:highlight w:val="none"/>
          <w:lang w:val="en-US" w:eastAsia="zh-CN"/>
          <w14:textFill>
            <w14:solidFill>
              <w14:schemeClr w14:val="tx1"/>
            </w14:solidFill>
          </w14:textFill>
        </w:rPr>
        <w:t>合同条款</w:t>
      </w:r>
    </w:p>
    <w:p>
      <w:pPr>
        <w:widowControl w:val="0"/>
        <w:tabs>
          <w:tab w:val="left" w:pos="851"/>
        </w:tabs>
        <w:kinsoku/>
        <w:overflowPunct/>
        <w:topLinePunct w:val="0"/>
        <w:bidi w:val="0"/>
        <w:spacing w:line="360" w:lineRule="auto"/>
        <w:ind w:left="391"/>
        <w:rPr>
          <w:rFonts w:hint="eastAsia" w:ascii="黑体" w:hAnsi="宋体" w:eastAsia="黑体" w:cs="黑体"/>
          <w:b/>
          <w:bCs/>
          <w:color w:val="000000" w:themeColor="text1"/>
          <w:sz w:val="44"/>
          <w:szCs w:val="44"/>
          <w:highlight w:val="none"/>
          <w14:textFill>
            <w14:solidFill>
              <w14:schemeClr w14:val="tx1"/>
            </w14:solidFill>
          </w14:textFill>
        </w:rPr>
      </w:pPr>
    </w:p>
    <w:p>
      <w:pPr>
        <w:widowControl w:val="0"/>
        <w:tabs>
          <w:tab w:val="left" w:pos="851"/>
        </w:tabs>
        <w:kinsoku/>
        <w:overflowPunct/>
        <w:topLinePunct w:val="0"/>
        <w:bidi w:val="0"/>
        <w:spacing w:line="360" w:lineRule="auto"/>
        <w:jc w:val="center"/>
        <w:rPr>
          <w:rFonts w:ascii="黑体" w:hAnsi="宋体" w:eastAsia="黑体"/>
          <w:b/>
          <w:bCs/>
          <w:color w:val="000000" w:themeColor="text1"/>
          <w:sz w:val="44"/>
          <w:szCs w:val="44"/>
          <w:highlight w:val="none"/>
          <w14:textFill>
            <w14:solidFill>
              <w14:schemeClr w14:val="tx1"/>
            </w14:solidFill>
          </w14:textFill>
        </w:rPr>
      </w:pPr>
      <w:r>
        <w:rPr>
          <w:rFonts w:hint="eastAsia" w:ascii="黑体" w:hAnsi="宋体" w:eastAsia="黑体" w:cs="黑体"/>
          <w:b/>
          <w:bCs/>
          <w:color w:val="000000" w:themeColor="text1"/>
          <w:sz w:val="44"/>
          <w:szCs w:val="44"/>
          <w:highlight w:val="none"/>
          <w14:textFill>
            <w14:solidFill>
              <w14:schemeClr w14:val="tx1"/>
            </w14:solidFill>
          </w14:textFill>
        </w:rPr>
        <w:t>广东省机场管理集团有限公司服务质量测评</w:t>
      </w:r>
    </w:p>
    <w:p>
      <w:pPr>
        <w:widowControl w:val="0"/>
        <w:kinsoku/>
        <w:overflowPunct/>
        <w:topLinePunct w:val="0"/>
        <w:bidi w:val="0"/>
        <w:spacing w:line="360" w:lineRule="auto"/>
        <w:jc w:val="center"/>
        <w:rPr>
          <w:rFonts w:ascii="黑体" w:hAnsi="宋体" w:eastAsia="黑体"/>
          <w:b/>
          <w:bCs/>
          <w:color w:val="000000" w:themeColor="text1"/>
          <w:sz w:val="44"/>
          <w:szCs w:val="44"/>
          <w:highlight w:val="none"/>
          <w14:textFill>
            <w14:solidFill>
              <w14:schemeClr w14:val="tx1"/>
            </w14:solidFill>
          </w14:textFill>
        </w:rPr>
      </w:pPr>
      <w:r>
        <w:rPr>
          <w:rFonts w:hint="eastAsia" w:ascii="黑体" w:hAnsi="宋体" w:eastAsia="黑体" w:cs="黑体"/>
          <w:b/>
          <w:bCs/>
          <w:color w:val="000000" w:themeColor="text1"/>
          <w:sz w:val="44"/>
          <w:szCs w:val="44"/>
          <w:highlight w:val="none"/>
          <w14:textFill>
            <w14:solidFill>
              <w14:schemeClr w14:val="tx1"/>
            </w14:solidFill>
          </w14:textFill>
        </w:rPr>
        <w:t>项目委托合同</w:t>
      </w:r>
    </w:p>
    <w:p>
      <w:pPr>
        <w:widowControl w:val="0"/>
        <w:kinsoku/>
        <w:overflowPunct/>
        <w:topLinePunct w:val="0"/>
        <w:bidi w:val="0"/>
        <w:spacing w:line="360" w:lineRule="auto"/>
        <w:ind w:left="391"/>
        <w:jc w:val="center"/>
        <w:rPr>
          <w:rFonts w:ascii="黑体" w:hAnsi="宋体" w:eastAsia="黑体"/>
          <w:b/>
          <w:bCs/>
          <w:color w:val="000000" w:themeColor="text1"/>
          <w:sz w:val="18"/>
          <w:szCs w:val="18"/>
          <w:highlight w:val="none"/>
          <w14:textFill>
            <w14:solidFill>
              <w14:schemeClr w14:val="tx1"/>
            </w14:solidFill>
          </w14:textFill>
        </w:rPr>
      </w:pPr>
    </w:p>
    <w:p>
      <w:pPr>
        <w:widowControl w:val="0"/>
        <w:kinsoku/>
        <w:overflowPunct/>
        <w:topLinePunct w:val="0"/>
        <w:bidi w:val="0"/>
        <w:ind w:right="210"/>
        <w:jc w:val="right"/>
        <w:outlineLvl w:val="0"/>
        <w:rPr>
          <w:rFonts w:ascii="宋体" w:hAnsi="Times New Roman" w:cs="宋体"/>
          <w:color w:val="000000" w:themeColor="text1"/>
          <w:szCs w:val="21"/>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p>
    <w:p>
      <w:pPr>
        <w:widowControl w:val="0"/>
        <w:kinsoku/>
        <w:overflowPunct/>
        <w:topLinePunct w:val="0"/>
        <w:bidi w:val="0"/>
        <w:rPr>
          <w:rFonts w:ascii="Verdana" w:hAnsi="Verdana" w:cs="宋体"/>
          <w:color w:val="000000" w:themeColor="text1"/>
          <w:sz w:val="24"/>
          <w:szCs w:val="24"/>
          <w:highlight w:val="none"/>
          <w:u w:val="single"/>
          <w14:textFill>
            <w14:solidFill>
              <w14:schemeClr w14:val="tx1"/>
            </w14:solidFill>
          </w14:textFill>
        </w:rPr>
      </w:pPr>
      <w:r>
        <w:rPr>
          <w:rFonts w:hint="eastAsia" w:ascii="宋体" w:hAnsi="Times New Roman" w:cs="宋体"/>
          <w:color w:val="000000" w:themeColor="text1"/>
          <w:sz w:val="24"/>
          <w:szCs w:val="24"/>
          <w:highlight w:val="none"/>
          <w14:textFill>
            <w14:solidFill>
              <w14:schemeClr w14:val="tx1"/>
            </w14:solidFill>
          </w14:textFill>
        </w:rPr>
        <w:t>甲方（委托方）</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p>
    <w:p>
      <w:pPr>
        <w:widowControl w:val="0"/>
        <w:kinsoku/>
        <w:overflowPunct/>
        <w:topLinePunct w:val="0"/>
        <w:bidi w:val="0"/>
        <w:rPr>
          <w:rFonts w:ascii="Verdana" w:hAnsi="Verdana" w:cs="宋体"/>
          <w:color w:val="000000" w:themeColor="text1"/>
          <w:sz w:val="24"/>
          <w:szCs w:val="24"/>
          <w:highlight w:val="none"/>
          <w:u w:val="single"/>
          <w14:textFill>
            <w14:solidFill>
              <w14:schemeClr w14:val="tx1"/>
            </w14:solidFill>
          </w14:textFill>
        </w:rPr>
      </w:pPr>
      <w:r>
        <w:rPr>
          <w:rFonts w:hint="eastAsia" w:ascii="Verdana" w:hAnsi="Verdana" w:cs="宋体"/>
          <w:color w:val="000000" w:themeColor="text1"/>
          <w:sz w:val="24"/>
          <w:szCs w:val="24"/>
          <w:highlight w:val="none"/>
          <w:u w:val="none"/>
          <w14:textFill>
            <w14:solidFill>
              <w14:schemeClr w14:val="tx1"/>
            </w14:solidFill>
          </w14:textFill>
        </w:rPr>
        <w:t>法定代表人：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widowControl w:val="0"/>
        <w:kinsoku/>
        <w:overflowPunct/>
        <w:topLinePunct w:val="0"/>
        <w:bidi w:val="0"/>
        <w:rPr>
          <w:rFonts w:ascii="Verdana" w:hAnsi="Verdana" w:cs="宋体"/>
          <w:color w:val="000000" w:themeColor="text1"/>
          <w:sz w:val="24"/>
          <w:szCs w:val="24"/>
          <w:highlight w:val="none"/>
          <w:u w:val="single"/>
          <w14:textFill>
            <w14:solidFill>
              <w14:schemeClr w14:val="tx1"/>
            </w14:solidFill>
          </w14:textFill>
        </w:rPr>
      </w:pPr>
      <w:r>
        <w:rPr>
          <w:rFonts w:hint="eastAsia" w:ascii="Verdana" w:hAnsi="Verdana" w:cs="宋体"/>
          <w:color w:val="000000" w:themeColor="text1"/>
          <w:sz w:val="24"/>
          <w:szCs w:val="24"/>
          <w:highlight w:val="none"/>
          <w:u w:val="none"/>
          <w14:textFill>
            <w14:solidFill>
              <w14:schemeClr w14:val="tx1"/>
            </w14:solidFill>
          </w14:textFill>
        </w:rPr>
        <w:t>住所地：</w:t>
      </w: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widowControl w:val="0"/>
        <w:tabs>
          <w:tab w:val="left" w:pos="1560"/>
        </w:tabs>
        <w:kinsoku/>
        <w:overflowPunct/>
        <w:topLinePunct w:val="0"/>
        <w:bidi w:val="0"/>
        <w:spacing w:line="360" w:lineRule="auto"/>
        <w:rPr>
          <w:rFonts w:hint="default" w:ascii="宋体" w:hAnsi="宋体" w:eastAsia="宋体" w:cs="宋体"/>
          <w:color w:val="000000" w:themeColor="text1"/>
          <w:kern w:val="0"/>
          <w:sz w:val="24"/>
          <w:szCs w:val="24"/>
          <w:highlight w:val="none"/>
          <w:u w:val="single"/>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乙方（受托方）：</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p>
    <w:p>
      <w:pPr>
        <w:widowControl w:val="0"/>
        <w:tabs>
          <w:tab w:val="left" w:pos="1560"/>
        </w:tabs>
        <w:kinsoku/>
        <w:overflowPunct/>
        <w:topLinePunct w:val="0"/>
        <w:bidi w:val="0"/>
        <w:spacing w:line="360" w:lineRule="auto"/>
        <w:rPr>
          <w:rFonts w:hint="default" w:ascii="宋体" w:hAnsi="宋体" w:eastAsia="宋体" w:cs="宋体"/>
          <w:color w:val="000000" w:themeColor="text1"/>
          <w:kern w:val="0"/>
          <w:sz w:val="24"/>
          <w:szCs w:val="24"/>
          <w:highlight w:val="none"/>
          <w:u w:val="single"/>
          <w:lang w:val="en-US" w:eastAsia="zh-CN"/>
          <w14:textFill>
            <w14:solidFill>
              <w14:schemeClr w14:val="tx1"/>
            </w14:solidFill>
          </w14:textFill>
        </w:rPr>
      </w:pPr>
      <w:r>
        <w:rPr>
          <w:rFonts w:hint="eastAsia" w:ascii="宋体" w:hAnsi="宋体" w:cs="宋体"/>
          <w:color w:val="000000" w:themeColor="text1"/>
          <w:kern w:val="0"/>
          <w:sz w:val="24"/>
          <w:szCs w:val="24"/>
          <w:highlight w:val="none"/>
          <w:u w:val="none"/>
          <w14:textFill>
            <w14:solidFill>
              <w14:schemeClr w14:val="tx1"/>
            </w14:solidFill>
          </w14:textFill>
        </w:rPr>
        <w:t>法定代表人：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widowControl w:val="0"/>
        <w:tabs>
          <w:tab w:val="left" w:pos="1560"/>
        </w:tabs>
        <w:kinsoku/>
        <w:overflowPunct/>
        <w:topLinePunct w:val="0"/>
        <w:bidi w:val="0"/>
        <w:spacing w:line="360" w:lineRule="auto"/>
        <w:rPr>
          <w:rFonts w:hint="default" w:ascii="宋体" w:hAnsi="宋体" w:cs="宋体"/>
          <w:color w:val="000000" w:themeColor="text1"/>
          <w:kern w:val="0"/>
          <w:sz w:val="24"/>
          <w:szCs w:val="24"/>
          <w:highlight w:val="none"/>
          <w:u w:val="single"/>
          <w:lang w:val="en-US"/>
          <w14:textFill>
            <w14:solidFill>
              <w14:schemeClr w14:val="tx1"/>
            </w14:solidFill>
          </w14:textFill>
        </w:rPr>
      </w:pPr>
      <w:r>
        <w:rPr>
          <w:rFonts w:hint="eastAsia" w:ascii="宋体" w:hAnsi="宋体" w:cs="宋体"/>
          <w:color w:val="000000" w:themeColor="text1"/>
          <w:kern w:val="0"/>
          <w:sz w:val="24"/>
          <w:szCs w:val="24"/>
          <w:highlight w:val="none"/>
          <w:u w:val="none"/>
          <w14:textFill>
            <w14:solidFill>
              <w14:schemeClr w14:val="tx1"/>
            </w14:solidFill>
          </w14:textFill>
        </w:rPr>
        <w:t>住所地：</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keepNext/>
        <w:keepLines/>
        <w:widowControl w:val="0"/>
        <w:numPr>
          <w:ilvl w:val="0"/>
          <w:numId w:val="2"/>
        </w:numPr>
        <w:kinsoku/>
        <w:overflowPunct/>
        <w:topLinePunct w:val="0"/>
        <w:bidi w:val="0"/>
        <w:spacing w:before="260" w:after="260" w:line="416" w:lineRule="auto"/>
        <w:outlineLvl w:val="2"/>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定义及解释</w:t>
      </w:r>
    </w:p>
    <w:p>
      <w:pPr>
        <w:widowControl w:val="0"/>
        <w:numPr>
          <w:ilvl w:val="1"/>
          <w:numId w:val="3"/>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下列措辞和用语，除上下文另有要求外，应具有所赋予它们的含义：</w:t>
      </w:r>
    </w:p>
    <w:p>
      <w:pPr>
        <w:widowControl w:val="0"/>
        <w:numPr>
          <w:ilvl w:val="0"/>
          <w:numId w:val="4"/>
        </w:numPr>
        <w:tabs>
          <w:tab w:val="left" w:pos="900"/>
        </w:tabs>
        <w:kinsoku/>
        <w:overflowPunct/>
        <w:topLinePunct w:val="0"/>
        <w:bidi w:val="0"/>
        <w:spacing w:line="360" w:lineRule="exact"/>
        <w:rPr>
          <w:rFonts w:ascii="Times New Roman" w:hAnsi="Times New Roman"/>
          <w:b/>
          <w:bCs/>
          <w:color w:val="000000" w:themeColor="text1"/>
          <w:szCs w:val="21"/>
          <w:highlight w:val="none"/>
          <w:u w:val="singl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“项目”是指</w:t>
      </w:r>
      <w:r>
        <w:rPr>
          <w:rFonts w:hint="eastAsia" w:ascii="Times New Roman" w:hAnsi="Times New Roman" w:cs="宋体"/>
          <w:b/>
          <w:bCs/>
          <w:color w:val="000000" w:themeColor="text1"/>
          <w:szCs w:val="21"/>
          <w:highlight w:val="none"/>
          <w:u w:val="single"/>
          <w14:textFill>
            <w14:solidFill>
              <w14:schemeClr w14:val="tx1"/>
            </w14:solidFill>
          </w14:textFill>
        </w:rPr>
        <w:t>广东机场集团服务质量测评。</w:t>
      </w:r>
    </w:p>
    <w:p>
      <w:pPr>
        <w:widowControl w:val="0"/>
        <w:numPr>
          <w:ilvl w:val="0"/>
          <w:numId w:val="4"/>
        </w:numPr>
        <w:tabs>
          <w:tab w:val="left" w:pos="900"/>
        </w:tabs>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“服务”是指乙方根据合同条件为完成项目所提供和履行的所有服务，包括正常的服务、附加的服务和额外的服务。</w:t>
      </w:r>
    </w:p>
    <w:p>
      <w:pPr>
        <w:widowControl w:val="0"/>
        <w:numPr>
          <w:ilvl w:val="0"/>
          <w:numId w:val="4"/>
        </w:numPr>
        <w:tabs>
          <w:tab w:val="left" w:pos="900"/>
        </w:tabs>
        <w:spacing w:line="360" w:lineRule="exact"/>
        <w:rPr>
          <w:rFonts w:hint="eastAsia" w:ascii="Times New Roman" w:hAnsi="Times New Roman"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项目成果</w:t>
      </w:r>
      <w:r>
        <w:rPr>
          <w:rFonts w:hint="eastAsia" w:cs="宋体"/>
          <w:color w:val="000000" w:themeColor="text1"/>
          <w:szCs w:val="21"/>
          <w:highlight w:val="none"/>
          <w:lang w:eastAsia="zh-CN"/>
          <w14:textFill>
            <w14:solidFill>
              <w14:schemeClr w14:val="tx1"/>
            </w14:solidFill>
          </w14:textFill>
        </w:rPr>
        <w:t>：是指在乙方在合同履行过程中向甲方提交的</w:t>
      </w:r>
      <w:r>
        <w:rPr>
          <w:rFonts w:hint="eastAsia" w:cs="宋体"/>
          <w:color w:val="000000" w:themeColor="text1"/>
          <w:szCs w:val="21"/>
          <w:highlight w:val="none"/>
          <w:lang w:val="en-US" w:eastAsia="zh-CN"/>
          <w14:textFill>
            <w14:solidFill>
              <w14:schemeClr w14:val="tx1"/>
            </w14:solidFill>
          </w14:textFill>
        </w:rPr>
        <w:t>各类成果性</w:t>
      </w:r>
      <w:r>
        <w:rPr>
          <w:rFonts w:hint="eastAsia" w:cs="宋体"/>
          <w:color w:val="000000" w:themeColor="text1"/>
          <w:szCs w:val="21"/>
          <w:highlight w:val="none"/>
          <w:lang w:eastAsia="zh-CN"/>
          <w14:textFill>
            <w14:solidFill>
              <w14:schemeClr w14:val="tx1"/>
            </w14:solidFill>
          </w14:textFill>
        </w:rPr>
        <w:t>文件以及相关材料，包括但不限于乙方向甲方提交的</w:t>
      </w:r>
      <w:r>
        <w:rPr>
          <w:rFonts w:hint="eastAsia" w:cs="宋体"/>
          <w:color w:val="000000" w:themeColor="text1"/>
          <w:szCs w:val="21"/>
          <w:highlight w:val="none"/>
          <w14:textFill>
            <w14:solidFill>
              <w14:schemeClr w14:val="tx1"/>
            </w14:solidFill>
          </w14:textFill>
        </w:rPr>
        <w:t>服务质量研究报告</w:t>
      </w:r>
      <w:r>
        <w:rPr>
          <w:rFonts w:hint="eastAsia" w:cs="宋体"/>
          <w:color w:val="000000" w:themeColor="text1"/>
          <w:szCs w:val="21"/>
          <w:highlight w:val="none"/>
          <w:lang w:val="en-US" w:eastAsia="zh-CN"/>
          <w14:textFill>
            <w14:solidFill>
              <w14:schemeClr w14:val="tx1"/>
            </w14:solidFill>
          </w14:textFill>
        </w:rPr>
        <w:t>以及</w:t>
      </w:r>
      <w:r>
        <w:rPr>
          <w:rFonts w:hint="eastAsia" w:cs="宋体"/>
          <w:color w:val="000000" w:themeColor="text1"/>
          <w:szCs w:val="21"/>
          <w:highlight w:val="none"/>
          <w14:textFill>
            <w14:solidFill>
              <w14:schemeClr w14:val="tx1"/>
            </w14:solidFill>
          </w14:textFill>
        </w:rPr>
        <w:t>客户满意度评价、提升策略和服务质量改进建议</w:t>
      </w:r>
      <w:r>
        <w:rPr>
          <w:rFonts w:hint="eastAsia" w:cs="宋体"/>
          <w:color w:val="000000" w:themeColor="text1"/>
          <w:szCs w:val="21"/>
          <w:highlight w:val="none"/>
          <w:lang w:val="en-US" w:eastAsia="zh-CN"/>
          <w14:textFill>
            <w14:solidFill>
              <w14:schemeClr w14:val="tx1"/>
            </w14:solidFill>
          </w14:textFill>
        </w:rPr>
        <w:t>等</w:t>
      </w:r>
      <w:r>
        <w:rPr>
          <w:rFonts w:hint="eastAsia" w:cs="宋体"/>
          <w:color w:val="000000" w:themeColor="text1"/>
          <w:szCs w:val="21"/>
          <w:highlight w:val="none"/>
          <w:lang w:eastAsia="zh-CN"/>
          <w14:textFill>
            <w14:solidFill>
              <w14:schemeClr w14:val="tx1"/>
            </w14:solidFill>
          </w14:textFill>
        </w:rPr>
        <w:t>文件以及</w:t>
      </w:r>
      <w:r>
        <w:rPr>
          <w:rFonts w:hint="eastAsia" w:cs="宋体"/>
          <w:color w:val="000000" w:themeColor="text1"/>
          <w:szCs w:val="21"/>
          <w:highlight w:val="none"/>
          <w:lang w:val="en-US" w:eastAsia="zh-CN"/>
          <w14:textFill>
            <w14:solidFill>
              <w14:schemeClr w14:val="tx1"/>
            </w14:solidFill>
          </w14:textFill>
        </w:rPr>
        <w:t>上述</w:t>
      </w:r>
      <w:r>
        <w:rPr>
          <w:rFonts w:hint="eastAsia" w:cs="宋体"/>
          <w:color w:val="000000" w:themeColor="text1"/>
          <w:szCs w:val="21"/>
          <w:highlight w:val="none"/>
          <w:lang w:eastAsia="zh-CN"/>
          <w14:textFill>
            <w14:solidFill>
              <w14:schemeClr w14:val="tx1"/>
            </w14:solidFill>
          </w14:textFill>
        </w:rPr>
        <w:t>材料的初稿、修订版、最终定稿相关说明文件的纸质版以及电子版。</w:t>
      </w:r>
    </w:p>
    <w:p>
      <w:pPr>
        <w:widowControl w:val="0"/>
        <w:numPr>
          <w:ilvl w:val="0"/>
          <w:numId w:val="4"/>
        </w:numPr>
        <w:tabs>
          <w:tab w:val="left" w:pos="900"/>
        </w:tabs>
        <w:kinsoku/>
        <w:overflowPunct/>
        <w:topLinePunct w:val="0"/>
        <w:bidi w:val="0"/>
        <w:spacing w:line="360" w:lineRule="exact"/>
        <w:rPr>
          <w:rFonts w:hint="eastAsia" w:ascii="Times New Roman" w:hAnsi="Times New Roman" w:cs="宋体"/>
          <w:color w:val="000000" w:themeColor="text1"/>
          <w:sz w:val="21"/>
          <w:szCs w:val="21"/>
          <w:highlight w:val="none"/>
          <w:u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“甲方”为项目的委托方，即</w:t>
      </w:r>
      <w:r>
        <w:rPr>
          <w:rFonts w:hint="eastAsia" w:ascii="Times New Roman" w:hAnsi="Times New Roman" w:cs="宋体"/>
          <w:b w:val="0"/>
          <w:bCs w:val="0"/>
          <w:color w:val="000000" w:themeColor="text1"/>
          <w:szCs w:val="21"/>
          <w:highlight w:val="none"/>
          <w:u w:val="none"/>
          <w14:textFill>
            <w14:solidFill>
              <w14:schemeClr w14:val="tx1"/>
            </w14:solidFill>
          </w14:textFill>
        </w:rPr>
        <w:t>广东省机场管理集团有限公司</w:t>
      </w:r>
      <w:r>
        <w:rPr>
          <w:rFonts w:hint="eastAsia" w:ascii="Times New Roman" w:hAnsi="Times New Roman" w:cs="宋体"/>
          <w:b w:val="0"/>
          <w:bCs w:val="0"/>
          <w:color w:val="000000" w:themeColor="text1"/>
          <w:sz w:val="21"/>
          <w:szCs w:val="21"/>
          <w:highlight w:val="none"/>
          <w:u w:val="none"/>
          <w14:textFill>
            <w14:solidFill>
              <w14:schemeClr w14:val="tx1"/>
            </w14:solidFill>
          </w14:textFill>
        </w:rPr>
        <w:t>。</w:t>
      </w:r>
    </w:p>
    <w:p>
      <w:pPr>
        <w:widowControl w:val="0"/>
        <w:numPr>
          <w:ilvl w:val="0"/>
          <w:numId w:val="4"/>
        </w:numPr>
        <w:tabs>
          <w:tab w:val="left" w:pos="900"/>
        </w:tabs>
        <w:kinsoku/>
        <w:overflowPunct/>
        <w:topLinePunct w:val="0"/>
        <w:bidi w:val="0"/>
        <w:spacing w:line="360" w:lineRule="exact"/>
        <w:rPr>
          <w:rFonts w:hint="eastAsia"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“乙方”为项目的受托方，作为一个具备本项目服务能力的单位</w:t>
      </w:r>
      <w:r>
        <w:rPr>
          <w:rFonts w:hint="eastAsia" w:cs="宋体"/>
          <w:color w:val="000000" w:themeColor="text1"/>
          <w:szCs w:val="21"/>
          <w:highlight w:val="none"/>
          <w:lang w:eastAsia="zh-CN"/>
          <w14:textFill>
            <w14:solidFill>
              <w14:schemeClr w14:val="tx1"/>
            </w14:solidFill>
          </w14:textFill>
        </w:rPr>
        <w:t>，</w:t>
      </w:r>
      <w:r>
        <w:rPr>
          <w:rFonts w:hint="eastAsia" w:ascii="Times New Roman" w:hAnsi="Times New Roman" w:cs="宋体"/>
          <w:color w:val="000000" w:themeColor="text1"/>
          <w:szCs w:val="21"/>
          <w:highlight w:val="none"/>
          <w14:textFill>
            <w14:solidFill>
              <w14:schemeClr w14:val="tx1"/>
            </w14:solidFill>
          </w14:textFill>
        </w:rPr>
        <w:t>受甲方委托，提供和履行合同服务。</w:t>
      </w:r>
    </w:p>
    <w:p>
      <w:pPr>
        <w:widowControl w:val="0"/>
        <w:numPr>
          <w:ilvl w:val="0"/>
          <w:numId w:val="4"/>
        </w:numPr>
        <w:tabs>
          <w:tab w:val="left" w:pos="900"/>
        </w:tabs>
        <w:kinsoku/>
        <w:overflowPunct/>
        <w:topLinePunct w:val="0"/>
        <w:bidi w:val="0"/>
        <w:spacing w:line="360" w:lineRule="exact"/>
        <w:rPr>
          <w:rFonts w:hint="eastAsia"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“合同双方”是指甲方和乙方的统称。</w:t>
      </w:r>
    </w:p>
    <w:p>
      <w:pPr>
        <w:widowControl w:val="0"/>
        <w:numPr>
          <w:ilvl w:val="0"/>
          <w:numId w:val="4"/>
        </w:numPr>
        <w:tabs>
          <w:tab w:val="left" w:pos="900"/>
        </w:tabs>
        <w:kinsoku/>
        <w:overflowPunct/>
        <w:topLinePunct w:val="0"/>
        <w:bidi w:val="0"/>
        <w:spacing w:line="360" w:lineRule="exact"/>
        <w:rPr>
          <w:rFonts w:hint="eastAsia"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“日”、“天”是指公历日。</w:t>
      </w:r>
    </w:p>
    <w:p>
      <w:pPr>
        <w:widowControl w:val="0"/>
        <w:numPr>
          <w:ilvl w:val="0"/>
          <w:numId w:val="4"/>
        </w:numPr>
        <w:tabs>
          <w:tab w:val="left" w:pos="900"/>
        </w:tabs>
        <w:kinsoku/>
        <w:overflowPunct/>
        <w:topLinePunct w:val="0"/>
        <w:bidi w:val="0"/>
        <w:spacing w:line="360" w:lineRule="exact"/>
        <w:rPr>
          <w:rFonts w:hint="eastAsia"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“周”、“星期”是指七个公历日。</w:t>
      </w:r>
    </w:p>
    <w:p>
      <w:pPr>
        <w:widowControl w:val="0"/>
        <w:numPr>
          <w:ilvl w:val="0"/>
          <w:numId w:val="4"/>
        </w:numPr>
        <w:tabs>
          <w:tab w:val="left" w:pos="900"/>
        </w:tabs>
        <w:kinsoku/>
        <w:overflowPunct/>
        <w:topLinePunct w:val="0"/>
        <w:bidi w:val="0"/>
        <w:spacing w:line="360" w:lineRule="exact"/>
        <w:rPr>
          <w:rFonts w:hint="eastAsia"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“月”是指公历月份。</w:t>
      </w:r>
    </w:p>
    <w:p>
      <w:pPr>
        <w:keepNext/>
        <w:keepLines/>
        <w:widowControl w:val="0"/>
        <w:kinsoku/>
        <w:overflowPunct/>
        <w:topLinePunct w:val="0"/>
        <w:bidi w:val="0"/>
        <w:spacing w:before="260" w:after="260" w:line="416" w:lineRule="auto"/>
        <w:outlineLvl w:val="2"/>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第</w:t>
      </w:r>
      <w:r>
        <w:rPr>
          <w:rFonts w:ascii="Times New Roman" w:hAnsi="Times New Roman"/>
          <w:b/>
          <w:bCs/>
          <w:color w:val="000000" w:themeColor="text1"/>
          <w:szCs w:val="21"/>
          <w:highlight w:val="none"/>
          <w14:textFill>
            <w14:solidFill>
              <w14:schemeClr w14:val="tx1"/>
            </w14:solidFill>
          </w14:textFill>
        </w:rPr>
        <w:t>2</w:t>
      </w:r>
      <w:r>
        <w:rPr>
          <w:rFonts w:hint="eastAsia" w:ascii="Times New Roman" w:hAnsi="Times New Roman" w:cs="宋体"/>
          <w:b/>
          <w:bCs/>
          <w:color w:val="000000" w:themeColor="text1"/>
          <w:szCs w:val="21"/>
          <w:highlight w:val="none"/>
          <w14:textFill>
            <w14:solidFill>
              <w14:schemeClr w14:val="tx1"/>
            </w14:solidFill>
          </w14:textFill>
        </w:rPr>
        <w:t>条</w:t>
      </w:r>
      <w:r>
        <w:rPr>
          <w:rFonts w:ascii="Times New Roman" w:hAnsi="Times New Roman"/>
          <w:b/>
          <w:bCs/>
          <w:color w:val="000000" w:themeColor="text1"/>
          <w:szCs w:val="21"/>
          <w:highlight w:val="none"/>
          <w14:textFill>
            <w14:solidFill>
              <w14:schemeClr w14:val="tx1"/>
            </w14:solidFill>
          </w14:textFill>
        </w:rPr>
        <w:t xml:space="preserve"> </w:t>
      </w:r>
      <w:r>
        <w:rPr>
          <w:rFonts w:hint="eastAsia" w:ascii="Times New Roman" w:hAnsi="Times New Roman" w:cs="宋体"/>
          <w:b/>
          <w:bCs/>
          <w:color w:val="000000" w:themeColor="text1"/>
          <w:szCs w:val="21"/>
          <w:highlight w:val="none"/>
          <w14:textFill>
            <w14:solidFill>
              <w14:schemeClr w14:val="tx1"/>
            </w14:solidFill>
          </w14:textFill>
        </w:rPr>
        <w:t>项目范围</w:t>
      </w:r>
    </w:p>
    <w:p>
      <w:pPr>
        <w:widowControl w:val="0"/>
        <w:numPr>
          <w:ilvl w:val="1"/>
          <w:numId w:val="5"/>
        </w:numPr>
        <w:kinsoku/>
        <w:overflowPunct/>
        <w:topLinePunct w:val="0"/>
        <w:bidi w:val="0"/>
        <w:spacing w:line="360" w:lineRule="exact"/>
        <w:ind w:left="913" w:hanging="913"/>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乙方应按合同规定提供和履行服务，乙方提供的服务及提交的项目成果应完全满足合同及其附件的要求。</w:t>
      </w:r>
    </w:p>
    <w:p>
      <w:pPr>
        <w:widowControl w:val="0"/>
        <w:numPr>
          <w:ilvl w:val="1"/>
          <w:numId w:val="5"/>
        </w:numPr>
        <w:kinsoku/>
        <w:overflowPunct/>
        <w:topLinePunct w:val="0"/>
        <w:bidi w:val="0"/>
        <w:spacing w:line="360" w:lineRule="exact"/>
        <w:ind w:left="913" w:hanging="913"/>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bCs/>
          <w:color w:val="000000" w:themeColor="text1"/>
          <w:szCs w:val="21"/>
          <w:highlight w:val="none"/>
          <w14:textFill>
            <w14:solidFill>
              <w14:schemeClr w14:val="tx1"/>
            </w14:solidFill>
          </w14:textFill>
        </w:rPr>
        <w:t>乙方提供项目服务的时间为：</w:t>
      </w:r>
      <w:r>
        <w:rPr>
          <w:rFonts w:hint="eastAsia"/>
          <w:bCs/>
          <w:color w:val="000000" w:themeColor="text1"/>
          <w:szCs w:val="21"/>
          <w:highlight w:val="none"/>
          <w:lang w:val="en-US" w:eastAsia="zh-CN"/>
          <w14:textFill>
            <w14:solidFill>
              <w14:schemeClr w14:val="tx1"/>
            </w14:solidFill>
          </w14:textFill>
        </w:rPr>
        <w:t>最长三个服务测评年度，即2022年，2023年和2024年，并遵守2.3条的约定</w:t>
      </w:r>
      <w:r>
        <w:rPr>
          <w:rFonts w:hint="eastAsia" w:ascii="Times New Roman" w:hAnsi="Times New Roman"/>
          <w:bCs/>
          <w:color w:val="000000" w:themeColor="text1"/>
          <w:szCs w:val="21"/>
          <w:highlight w:val="none"/>
          <w:lang w:val="en-US" w:eastAsia="zh-CN"/>
          <w14:textFill>
            <w14:solidFill>
              <w14:schemeClr w14:val="tx1"/>
            </w14:solidFill>
          </w14:textFill>
        </w:rPr>
        <w:t>。</w:t>
      </w:r>
    </w:p>
    <w:p>
      <w:pPr>
        <w:widowControl w:val="0"/>
        <w:numPr>
          <w:ilvl w:val="1"/>
          <w:numId w:val="5"/>
        </w:numPr>
        <w:kinsoku/>
        <w:overflowPunct/>
        <w:topLinePunct w:val="0"/>
        <w:bidi w:val="0"/>
        <w:spacing w:line="360" w:lineRule="exact"/>
        <w:ind w:left="913" w:hanging="913"/>
        <w:rPr>
          <w:rFonts w:hint="eastAsia"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t>本项目采取１+</w:t>
      </w:r>
      <w:r>
        <w:rPr>
          <w:rFonts w:hint="eastAsia" w:ascii="Times New Roman" w:hAnsi="Times New Roman" w:eastAsia="宋体"/>
          <w:bCs/>
          <w:color w:val="000000" w:themeColor="text1"/>
          <w:sz w:val="21"/>
          <w:szCs w:val="21"/>
          <w:highlight w:val="none"/>
          <w:lang w:eastAsia="zh-CN"/>
          <w14:textFill>
            <w14:solidFill>
              <w14:schemeClr w14:val="tx1"/>
            </w14:solidFill>
          </w14:textFill>
        </w:rPr>
        <w:t>２</w:t>
      </w:r>
      <w: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t>模式，即</w:t>
      </w:r>
      <w:r>
        <w:rPr>
          <w:rFonts w:hint="eastAsia" w:ascii="Times New Roman" w:hAnsi="Times New Roman" w:eastAsia="宋体"/>
          <w:bCs/>
          <w:color w:val="000000" w:themeColor="text1"/>
          <w:sz w:val="21"/>
          <w:szCs w:val="21"/>
          <w:highlight w:val="none"/>
          <w:lang w:eastAsia="zh-CN"/>
          <w14:textFill>
            <w14:solidFill>
              <w14:schemeClr w14:val="tx1"/>
            </w14:solidFill>
          </w14:textFill>
        </w:rPr>
        <w:t>采购方</w:t>
      </w:r>
      <w:r>
        <w:rPr>
          <w:rFonts w:hint="eastAsia"/>
          <w:bCs/>
          <w:color w:val="000000" w:themeColor="text1"/>
          <w:sz w:val="21"/>
          <w:szCs w:val="21"/>
          <w:highlight w:val="none"/>
          <w:lang w:val="en-US" w:eastAsia="zh-CN"/>
          <w14:textFill>
            <w14:solidFill>
              <w14:schemeClr w14:val="tx1"/>
            </w14:solidFill>
          </w14:textFill>
        </w:rPr>
        <w:t>每年</w:t>
      </w:r>
      <w:r>
        <w:rPr>
          <w:rFonts w:hint="eastAsia" w:ascii="Times New Roman" w:hAnsi="Times New Roman" w:eastAsia="宋体"/>
          <w:bCs/>
          <w:color w:val="000000" w:themeColor="text1"/>
          <w:sz w:val="21"/>
          <w:szCs w:val="21"/>
          <w:highlight w:val="none"/>
          <w14:textFill>
            <w14:solidFill>
              <w14:schemeClr w14:val="tx1"/>
            </w14:solidFill>
          </w14:textFill>
        </w:rPr>
        <w:t>对</w:t>
      </w:r>
      <w: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t>项目开展情况</w:t>
      </w:r>
      <w:r>
        <w:rPr>
          <w:rFonts w:hint="eastAsia" w:ascii="Times New Roman" w:hAnsi="Times New Roman" w:eastAsia="宋体"/>
          <w:bCs/>
          <w:color w:val="000000" w:themeColor="text1"/>
          <w:sz w:val="21"/>
          <w:szCs w:val="21"/>
          <w:highlight w:val="none"/>
          <w14:textFill>
            <w14:solidFill>
              <w14:schemeClr w14:val="tx1"/>
            </w14:solidFill>
          </w14:textFill>
        </w:rPr>
        <w:t>进行考核，</w:t>
      </w:r>
      <w:r>
        <w:rPr>
          <w:rFonts w:hint="eastAsia"/>
          <w:bCs/>
          <w:color w:val="000000" w:themeColor="text1"/>
          <w:sz w:val="21"/>
          <w:szCs w:val="21"/>
          <w:highlight w:val="none"/>
          <w:lang w:val="en-US" w:eastAsia="zh-CN"/>
          <w14:textFill>
            <w14:solidFill>
              <w14:schemeClr w14:val="tx1"/>
            </w14:solidFill>
          </w14:textFill>
        </w:rPr>
        <w:t>首个服务测评年度的服务考核</w:t>
      </w:r>
      <w:r>
        <w:rPr>
          <w:rFonts w:hint="eastAsia" w:ascii="Times New Roman" w:hAnsi="Times New Roman" w:eastAsia="宋体"/>
          <w:bCs/>
          <w:color w:val="000000" w:themeColor="text1"/>
          <w:sz w:val="21"/>
          <w:szCs w:val="21"/>
          <w:highlight w:val="none"/>
          <w14:textFill>
            <w14:solidFill>
              <w14:schemeClr w14:val="tx1"/>
            </w14:solidFill>
          </w14:textFill>
        </w:rPr>
        <w:t>评定为优良的，双方经协商一致，服务期限</w:t>
      </w:r>
      <w:r>
        <w:rPr>
          <w:rFonts w:hint="eastAsia"/>
          <w:bCs/>
          <w:color w:val="000000" w:themeColor="text1"/>
          <w:sz w:val="21"/>
          <w:szCs w:val="21"/>
          <w:highlight w:val="none"/>
          <w:lang w:val="en-US" w:eastAsia="zh-CN"/>
          <w14:textFill>
            <w14:solidFill>
              <w14:schemeClr w14:val="tx1"/>
            </w14:solidFill>
          </w14:textFill>
        </w:rPr>
        <w:t>可相应延长，最长延长２个测评年度</w:t>
      </w:r>
      <w:r>
        <w:rPr>
          <w:rFonts w:hint="eastAsia" w:ascii="Times New Roman" w:hAnsi="Times New Roman" w:eastAsia="宋体"/>
          <w:bCs/>
          <w:color w:val="000000" w:themeColor="text1"/>
          <w:sz w:val="21"/>
          <w:szCs w:val="21"/>
          <w:highlight w:val="none"/>
          <w14:textFill>
            <w14:solidFill>
              <w14:schemeClr w14:val="tx1"/>
            </w14:solidFill>
          </w14:textFill>
        </w:rPr>
        <w:t>，</w:t>
      </w:r>
      <w:r>
        <w:rPr>
          <w:rFonts w:hint="eastAsia"/>
          <w:bCs/>
          <w:color w:val="000000" w:themeColor="text1"/>
          <w:sz w:val="21"/>
          <w:szCs w:val="21"/>
          <w:highlight w:val="none"/>
          <w:lang w:val="en-US" w:eastAsia="zh-CN"/>
          <w14:textFill>
            <w14:solidFill>
              <w14:schemeClr w14:val="tx1"/>
            </w14:solidFill>
          </w14:textFill>
        </w:rPr>
        <w:t>每年服务期满，甲方对乙方服务质量进行考评，考核评定为优良的，可执行下一年度合同，总</w:t>
      </w:r>
      <w:r>
        <w:rPr>
          <w:rFonts w:hint="eastAsia" w:ascii="Times New Roman" w:hAnsi="Times New Roman" w:eastAsia="宋体"/>
          <w:bCs/>
          <w:color w:val="000000" w:themeColor="text1"/>
          <w:sz w:val="21"/>
          <w:szCs w:val="21"/>
          <w:highlight w:val="none"/>
          <w14:textFill>
            <w14:solidFill>
              <w14:schemeClr w14:val="tx1"/>
            </w14:solidFill>
          </w14:textFill>
        </w:rPr>
        <w:t>服务期</w:t>
      </w:r>
      <w:r>
        <w:rPr>
          <w:rFonts w:hint="eastAsia"/>
          <w:bCs/>
          <w:color w:val="000000" w:themeColor="text1"/>
          <w:sz w:val="21"/>
          <w:szCs w:val="21"/>
          <w:highlight w:val="none"/>
          <w:lang w:val="en-US" w:eastAsia="zh-CN"/>
          <w14:textFill>
            <w14:solidFill>
              <w14:schemeClr w14:val="tx1"/>
            </w14:solidFill>
          </w14:textFill>
        </w:rPr>
        <w:t>限不超过３年。</w:t>
      </w:r>
    </w:p>
    <w:p>
      <w:pPr>
        <w:keepNext/>
        <w:keepLines/>
        <w:widowControl w:val="0"/>
        <w:kinsoku/>
        <w:overflowPunct/>
        <w:topLinePunct w:val="0"/>
        <w:bidi w:val="0"/>
        <w:spacing w:before="260" w:after="260" w:line="416" w:lineRule="auto"/>
        <w:outlineLvl w:val="2"/>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第</w:t>
      </w:r>
      <w:r>
        <w:rPr>
          <w:rFonts w:ascii="Times New Roman" w:hAnsi="Times New Roman"/>
          <w:b/>
          <w:bCs/>
          <w:color w:val="000000" w:themeColor="text1"/>
          <w:szCs w:val="21"/>
          <w:highlight w:val="none"/>
          <w14:textFill>
            <w14:solidFill>
              <w14:schemeClr w14:val="tx1"/>
            </w14:solidFill>
          </w14:textFill>
        </w:rPr>
        <w:t>3</w:t>
      </w:r>
      <w:r>
        <w:rPr>
          <w:rFonts w:hint="eastAsia" w:ascii="Times New Roman" w:hAnsi="Times New Roman" w:cs="宋体"/>
          <w:b/>
          <w:bCs/>
          <w:color w:val="000000" w:themeColor="text1"/>
          <w:szCs w:val="21"/>
          <w:highlight w:val="none"/>
          <w14:textFill>
            <w14:solidFill>
              <w14:schemeClr w14:val="tx1"/>
            </w14:solidFill>
          </w14:textFill>
        </w:rPr>
        <w:t>条</w:t>
      </w:r>
      <w:r>
        <w:rPr>
          <w:rFonts w:ascii="Times New Roman" w:hAnsi="Times New Roman"/>
          <w:b/>
          <w:bCs/>
          <w:color w:val="000000" w:themeColor="text1"/>
          <w:szCs w:val="21"/>
          <w:highlight w:val="none"/>
          <w14:textFill>
            <w14:solidFill>
              <w14:schemeClr w14:val="tx1"/>
            </w14:solidFill>
          </w14:textFill>
        </w:rPr>
        <w:t xml:space="preserve"> </w:t>
      </w:r>
      <w:r>
        <w:rPr>
          <w:rFonts w:hint="eastAsia" w:ascii="Times New Roman" w:hAnsi="Times New Roman" w:cs="宋体"/>
          <w:b/>
          <w:bCs/>
          <w:color w:val="000000" w:themeColor="text1"/>
          <w:szCs w:val="21"/>
          <w:highlight w:val="none"/>
          <w14:textFill>
            <w14:solidFill>
              <w14:schemeClr w14:val="tx1"/>
            </w14:solidFill>
          </w14:textFill>
        </w:rPr>
        <w:t>合同价格及支付条件</w:t>
      </w:r>
    </w:p>
    <w:p>
      <w:pPr>
        <w:widowControl w:val="0"/>
        <w:numPr>
          <w:ilvl w:val="1"/>
          <w:numId w:val="6"/>
        </w:numPr>
        <w:kinsoku/>
        <w:overflowPunct/>
        <w:topLinePunct w:val="0"/>
        <w:bidi w:val="0"/>
        <w:spacing w:line="360" w:lineRule="exact"/>
        <w:ind w:left="811"/>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合同总价款人民币</w:t>
      </w:r>
      <w:r>
        <w:rPr>
          <w:rFonts w:hint="eastAsia" w:cs="宋体"/>
          <w:b/>
          <w:bCs/>
          <w:color w:val="000000" w:themeColor="text1"/>
          <w:szCs w:val="21"/>
          <w:highlight w:val="none"/>
          <w:u w:val="single"/>
          <w:lang w:val="en-US" w:eastAsia="zh-CN"/>
          <w14:textFill>
            <w14:solidFill>
              <w14:schemeClr w14:val="tx1"/>
            </w14:solidFill>
          </w14:textFill>
        </w:rPr>
        <w:t xml:space="preserve">           </w:t>
      </w:r>
      <w:r>
        <w:rPr>
          <w:rFonts w:hint="eastAsia" w:ascii="Times New Roman" w:hAnsi="Times New Roman" w:cs="宋体"/>
          <w:b/>
          <w:bCs/>
          <w:color w:val="000000" w:themeColor="text1"/>
          <w:szCs w:val="21"/>
          <w:highlight w:val="none"/>
          <w:u w:val="none"/>
          <w14:textFill>
            <w14:solidFill>
              <w14:schemeClr w14:val="tx1"/>
            </w14:solidFill>
          </w14:textFill>
        </w:rPr>
        <w:t>万元</w:t>
      </w:r>
      <w:r>
        <w:rPr>
          <w:rFonts w:hint="eastAsia" w:ascii="Times New Roman" w:hAnsi="Times New Roman" w:cs="宋体"/>
          <w:b/>
          <w:bCs/>
          <w:color w:val="000000" w:themeColor="text1"/>
          <w:szCs w:val="21"/>
          <w:highlight w:val="none"/>
          <w14:textFill>
            <w14:solidFill>
              <w14:schemeClr w14:val="tx1"/>
            </w14:solidFill>
          </w14:textFill>
        </w:rPr>
        <w:t>（</w:t>
      </w:r>
      <w:r>
        <w:rPr>
          <w:rFonts w:ascii="Times New Roman" w:hAnsi="Times New Roman"/>
          <w:b/>
          <w:bCs/>
          <w:color w:val="000000" w:themeColor="text1"/>
          <w:szCs w:val="21"/>
          <w:highlight w:val="none"/>
          <w14:textFill>
            <w14:solidFill>
              <w14:schemeClr w14:val="tx1"/>
            </w14:solidFill>
          </w14:textFill>
        </w:rPr>
        <w:t>RMB</w:t>
      </w:r>
      <w:r>
        <w:rPr>
          <w:rFonts w:hint="eastAsia" w:ascii="Times New Roman" w:hAnsi="Times New Roman"/>
          <w:b/>
          <w:bCs/>
          <w:color w:val="000000" w:themeColor="text1"/>
          <w:szCs w:val="21"/>
          <w:highlight w:val="none"/>
          <w:lang w:val="en-US" w:eastAsia="zh-CN"/>
          <w14:textFill>
            <w14:solidFill>
              <w14:schemeClr w14:val="tx1"/>
            </w14:solidFill>
          </w14:textFill>
        </w:rPr>
        <w:t xml:space="preserve"> </w:t>
      </w:r>
      <w:r>
        <w:rPr>
          <w:rFonts w:hint="eastAsia"/>
          <w:b/>
          <w:bCs/>
          <w:color w:val="000000" w:themeColor="text1"/>
          <w:szCs w:val="21"/>
          <w:highlight w:val="none"/>
          <w:lang w:val="en-US" w:eastAsia="zh-CN"/>
          <w14:textFill>
            <w14:solidFill>
              <w14:schemeClr w14:val="tx1"/>
            </w14:solidFill>
          </w14:textFill>
        </w:rPr>
        <w:t xml:space="preserve">          </w:t>
      </w:r>
      <w:r>
        <w:rPr>
          <w:rFonts w:hint="eastAsia" w:ascii="Times New Roman" w:hAnsi="Times New Roman" w:cs="宋体"/>
          <w:b/>
          <w:bCs/>
          <w:color w:val="000000" w:themeColor="text1"/>
          <w:szCs w:val="21"/>
          <w:highlight w:val="none"/>
          <w14:textFill>
            <w14:solidFill>
              <w14:schemeClr w14:val="tx1"/>
            </w14:solidFill>
          </w14:textFill>
        </w:rPr>
        <w:t>元）。</w:t>
      </w:r>
      <w:r>
        <w:rPr>
          <w:rFonts w:hint="eastAsia" w:ascii="Times New Roman" w:hAnsi="Times New Roman" w:cs="宋体"/>
          <w:b/>
          <w:bCs/>
          <w:color w:val="000000" w:themeColor="text1"/>
          <w:szCs w:val="21"/>
          <w:highlight w:val="none"/>
          <w:lang w:val="en-US" w:eastAsia="zh-CN"/>
          <w14:textFill>
            <w14:solidFill>
              <w14:schemeClr w14:val="tx1"/>
            </w14:solidFill>
          </w14:textFill>
        </w:rPr>
        <w:t>其中2022年度</w:t>
      </w:r>
      <w:r>
        <w:rPr>
          <w:rFonts w:hint="eastAsia" w:cs="宋体"/>
          <w:b/>
          <w:bCs/>
          <w:color w:val="000000" w:themeColor="text1"/>
          <w:szCs w:val="21"/>
          <w:highlight w:val="none"/>
          <w:u w:val="single"/>
          <w:lang w:val="en-US" w:eastAsia="zh-CN"/>
          <w14:textFill>
            <w14:solidFill>
              <w14:schemeClr w14:val="tx1"/>
            </w14:solidFill>
          </w14:textFill>
        </w:rPr>
        <w:t xml:space="preserve">         </w:t>
      </w:r>
      <w:r>
        <w:rPr>
          <w:rFonts w:hint="eastAsia" w:ascii="Times New Roman" w:hAnsi="Times New Roman" w:cs="宋体"/>
          <w:b/>
          <w:bCs/>
          <w:color w:val="000000" w:themeColor="text1"/>
          <w:szCs w:val="21"/>
          <w:highlight w:val="none"/>
          <w:lang w:val="en-US" w:eastAsia="zh-CN"/>
          <w14:textFill>
            <w14:solidFill>
              <w14:schemeClr w14:val="tx1"/>
            </w14:solidFill>
          </w14:textFill>
        </w:rPr>
        <w:t>万</w:t>
      </w:r>
      <w:r>
        <w:rPr>
          <w:rFonts w:hint="eastAsia" w:cs="宋体"/>
          <w:b/>
          <w:bCs/>
          <w:color w:val="000000" w:themeColor="text1"/>
          <w:szCs w:val="21"/>
          <w:highlight w:val="none"/>
          <w:lang w:val="en-US" w:eastAsia="zh-CN"/>
          <w14:textFill>
            <w14:solidFill>
              <w14:schemeClr w14:val="tx1"/>
            </w14:solidFill>
          </w14:textFill>
        </w:rPr>
        <w:t>元</w:t>
      </w:r>
      <w:r>
        <w:rPr>
          <w:rFonts w:hint="eastAsia" w:ascii="Times New Roman" w:hAnsi="Times New Roman" w:cs="宋体"/>
          <w:b/>
          <w:bCs/>
          <w:color w:val="000000" w:themeColor="text1"/>
          <w:szCs w:val="21"/>
          <w:highlight w:val="none"/>
          <w:lang w:val="en-US" w:eastAsia="zh-CN"/>
          <w14:textFill>
            <w14:solidFill>
              <w14:schemeClr w14:val="tx1"/>
            </w14:solidFill>
          </w14:textFill>
        </w:rPr>
        <w:t>，2023年度</w:t>
      </w:r>
      <w:r>
        <w:rPr>
          <w:rFonts w:hint="eastAsia" w:cs="宋体"/>
          <w:b/>
          <w:bCs/>
          <w:color w:val="000000" w:themeColor="text1"/>
          <w:szCs w:val="21"/>
          <w:highlight w:val="none"/>
          <w:u w:val="single"/>
          <w:lang w:val="en-US" w:eastAsia="zh-CN"/>
          <w14:textFill>
            <w14:solidFill>
              <w14:schemeClr w14:val="tx1"/>
            </w14:solidFill>
          </w14:textFill>
        </w:rPr>
        <w:t xml:space="preserve">           </w:t>
      </w:r>
      <w:r>
        <w:rPr>
          <w:rFonts w:hint="eastAsia" w:ascii="Times New Roman" w:hAnsi="Times New Roman" w:cs="宋体"/>
          <w:b/>
          <w:bCs/>
          <w:color w:val="000000" w:themeColor="text1"/>
          <w:szCs w:val="21"/>
          <w:highlight w:val="none"/>
          <w:lang w:val="en-US" w:eastAsia="zh-CN"/>
          <w14:textFill>
            <w14:solidFill>
              <w14:schemeClr w14:val="tx1"/>
            </w14:solidFill>
          </w14:textFill>
        </w:rPr>
        <w:t>万元，2024年度</w:t>
      </w:r>
      <w:r>
        <w:rPr>
          <w:rFonts w:hint="eastAsia" w:cs="宋体"/>
          <w:b/>
          <w:bCs/>
          <w:color w:val="000000" w:themeColor="text1"/>
          <w:szCs w:val="21"/>
          <w:highlight w:val="none"/>
          <w:u w:val="single"/>
          <w:lang w:val="en-US" w:eastAsia="zh-CN"/>
          <w14:textFill>
            <w14:solidFill>
              <w14:schemeClr w14:val="tx1"/>
            </w14:solidFill>
          </w14:textFill>
        </w:rPr>
        <w:t xml:space="preserve">         </w:t>
      </w:r>
      <w:r>
        <w:rPr>
          <w:rFonts w:hint="eastAsia" w:ascii="Times New Roman" w:hAnsi="Times New Roman" w:cs="宋体"/>
          <w:b/>
          <w:bCs/>
          <w:color w:val="000000" w:themeColor="text1"/>
          <w:szCs w:val="21"/>
          <w:highlight w:val="none"/>
          <w:lang w:val="en-US" w:eastAsia="zh-CN"/>
          <w14:textFill>
            <w14:solidFill>
              <w14:schemeClr w14:val="tx1"/>
            </w14:solidFill>
          </w14:textFill>
        </w:rPr>
        <w:t>万元。税率为</w:t>
      </w:r>
      <w:r>
        <w:rPr>
          <w:rFonts w:hint="eastAsia" w:cs="宋体"/>
          <w:b/>
          <w:bCs/>
          <w:color w:val="000000" w:themeColor="text1"/>
          <w:szCs w:val="21"/>
          <w:highlight w:val="none"/>
          <w:u w:val="single"/>
          <w:lang w:val="en-US" w:eastAsia="zh-CN"/>
          <w14:textFill>
            <w14:solidFill>
              <w14:schemeClr w14:val="tx1"/>
            </w14:solidFill>
          </w14:textFill>
        </w:rPr>
        <w:t xml:space="preserve">     </w:t>
      </w:r>
      <w:r>
        <w:rPr>
          <w:rFonts w:hint="eastAsia" w:ascii="Times New Roman" w:hAnsi="Times New Roman" w:cs="宋体"/>
          <w:b/>
          <w:bCs/>
          <w:color w:val="000000" w:themeColor="text1"/>
          <w:szCs w:val="21"/>
          <w:highlight w:val="none"/>
          <w:lang w:val="en-US" w:eastAsia="zh-CN"/>
          <w14:textFill>
            <w14:solidFill>
              <w14:schemeClr w14:val="tx1"/>
            </w14:solidFill>
          </w14:textFill>
        </w:rPr>
        <w:t>%</w:t>
      </w:r>
      <w:r>
        <w:rPr>
          <w:rFonts w:hint="eastAsia" w:cs="宋体"/>
          <w:b/>
          <w:bCs/>
          <w:color w:val="000000" w:themeColor="text1"/>
          <w:szCs w:val="21"/>
          <w:highlight w:val="none"/>
          <w:lang w:val="en-US" w:eastAsia="zh-CN"/>
          <w14:textFill>
            <w14:solidFill>
              <w14:schemeClr w14:val="tx1"/>
            </w14:solidFill>
          </w14:textFill>
        </w:rPr>
        <w:t>，</w:t>
      </w:r>
      <w:r>
        <w:rPr>
          <w:rFonts w:hint="eastAsia" w:ascii="Times New Roman" w:hAnsi="Times New Roman" w:cs="宋体"/>
          <w:b/>
          <w:bCs/>
          <w:color w:val="000000" w:themeColor="text1"/>
          <w:szCs w:val="21"/>
          <w:highlight w:val="none"/>
          <w:lang w:val="en-US" w:eastAsia="zh-CN"/>
          <w14:textFill>
            <w14:solidFill>
              <w14:schemeClr w14:val="tx1"/>
            </w14:solidFill>
          </w14:textFill>
        </w:rPr>
        <w:t>如果遇到国家税率政策调整，本合同的税率也做相应调整，合同</w:t>
      </w:r>
      <w:r>
        <w:rPr>
          <w:rFonts w:hint="eastAsia" w:cs="宋体"/>
          <w:b/>
          <w:bCs/>
          <w:color w:val="000000" w:themeColor="text1"/>
          <w:szCs w:val="21"/>
          <w:highlight w:val="none"/>
          <w:lang w:val="en-US" w:eastAsia="zh-CN"/>
          <w14:textFill>
            <w14:solidFill>
              <w14:schemeClr w14:val="tx1"/>
            </w14:solidFill>
          </w14:textFill>
        </w:rPr>
        <w:t>不含税</w:t>
      </w:r>
      <w:r>
        <w:rPr>
          <w:rFonts w:hint="eastAsia" w:ascii="Times New Roman" w:hAnsi="Times New Roman" w:cs="宋体"/>
          <w:b/>
          <w:bCs/>
          <w:color w:val="000000" w:themeColor="text1"/>
          <w:szCs w:val="21"/>
          <w:highlight w:val="none"/>
          <w:lang w:val="en-US" w:eastAsia="zh-CN"/>
          <w14:textFill>
            <w14:solidFill>
              <w14:schemeClr w14:val="tx1"/>
            </w14:solidFill>
          </w14:textFill>
        </w:rPr>
        <w:t>金额</w:t>
      </w:r>
      <w:r>
        <w:rPr>
          <w:rFonts w:hint="eastAsia" w:cs="宋体"/>
          <w:b/>
          <w:bCs/>
          <w:color w:val="000000" w:themeColor="text1"/>
          <w:szCs w:val="21"/>
          <w:highlight w:val="none"/>
          <w:lang w:val="en-US" w:eastAsia="zh-CN"/>
          <w14:textFill>
            <w14:solidFill>
              <w14:schemeClr w14:val="tx1"/>
            </w14:solidFill>
          </w14:textFill>
        </w:rPr>
        <w:t>应保持</w:t>
      </w:r>
      <w:r>
        <w:rPr>
          <w:rFonts w:hint="eastAsia" w:ascii="Times New Roman" w:hAnsi="Times New Roman" w:cs="宋体"/>
          <w:b/>
          <w:bCs/>
          <w:color w:val="000000" w:themeColor="text1"/>
          <w:szCs w:val="21"/>
          <w:highlight w:val="none"/>
          <w:lang w:val="en-US" w:eastAsia="zh-CN"/>
          <w14:textFill>
            <w14:solidFill>
              <w14:schemeClr w14:val="tx1"/>
            </w14:solidFill>
          </w14:textFill>
        </w:rPr>
        <w:t>不变</w:t>
      </w:r>
      <w:r>
        <w:rPr>
          <w:rFonts w:hint="eastAsia" w:cs="宋体"/>
          <w:b/>
          <w:bCs/>
          <w:color w:val="000000" w:themeColor="text1"/>
          <w:szCs w:val="21"/>
          <w:highlight w:val="none"/>
          <w:lang w:val="en-US" w:eastAsia="zh-CN"/>
          <w14:textFill>
            <w14:solidFill>
              <w14:schemeClr w14:val="tx1"/>
            </w14:solidFill>
          </w14:textFill>
        </w:rPr>
        <w:t>。</w:t>
      </w:r>
    </w:p>
    <w:p>
      <w:pPr>
        <w:widowControl w:val="0"/>
        <w:numPr>
          <w:ilvl w:val="1"/>
          <w:numId w:val="6"/>
        </w:numPr>
        <w:kinsoku/>
        <w:overflowPunct/>
        <w:topLinePunct w:val="0"/>
        <w:bidi w:val="0"/>
        <w:spacing w:line="360" w:lineRule="exact"/>
        <w:ind w:left="811"/>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合同价格为含税价</w:t>
      </w:r>
      <w:r>
        <w:rPr>
          <w:rFonts w:hint="eastAsia" w:cs="宋体"/>
          <w:color w:val="000000" w:themeColor="text1"/>
          <w:szCs w:val="21"/>
          <w:highlight w:val="none"/>
          <w:lang w:val="en-US" w:eastAsia="zh-CN"/>
          <w14:textFill>
            <w14:solidFill>
              <w14:schemeClr w14:val="tx1"/>
            </w14:solidFill>
          </w14:textFill>
        </w:rPr>
        <w:t>，</w:t>
      </w:r>
      <w:r>
        <w:rPr>
          <w:rFonts w:hint="eastAsia" w:cs="宋体"/>
          <w:color w:val="000000" w:themeColor="text1"/>
          <w:szCs w:val="21"/>
          <w:highlight w:val="none"/>
          <w14:textFill>
            <w14:solidFill>
              <w14:schemeClr w14:val="tx1"/>
            </w14:solidFill>
          </w14:textFill>
        </w:rPr>
        <w:t>已包括执行该合同所发生的全部费用（包括但不限于专家评审会会务费、差旅费、资料费、税费</w:t>
      </w:r>
      <w:r>
        <w:rPr>
          <w:rFonts w:hint="eastAsia" w:cs="宋体"/>
          <w:color w:val="000000" w:themeColor="text1"/>
          <w:szCs w:val="21"/>
          <w:highlight w:val="none"/>
          <w:lang w:eastAsia="zh-CN"/>
          <w14:textFill>
            <w14:solidFill>
              <w14:schemeClr w14:val="tx1"/>
            </w14:solidFill>
          </w14:textFill>
        </w:rPr>
        <w:t>、</w:t>
      </w:r>
      <w:r>
        <w:rPr>
          <w:rFonts w:hint="eastAsia" w:cs="宋体"/>
          <w:color w:val="000000" w:themeColor="text1"/>
          <w:szCs w:val="21"/>
          <w:highlight w:val="none"/>
          <w14:textFill>
            <w14:solidFill>
              <w14:schemeClr w14:val="tx1"/>
            </w14:solidFill>
          </w14:textFill>
        </w:rPr>
        <w:t>住宿、膳食等以及未完全列举的一切费用），</w:t>
      </w:r>
      <w:r>
        <w:rPr>
          <w:rFonts w:hint="eastAsia" w:cs="宋体"/>
          <w:color w:val="000000" w:themeColor="text1"/>
          <w:szCs w:val="21"/>
          <w:highlight w:val="none"/>
          <w:lang w:val="en-US" w:eastAsia="zh-CN"/>
          <w14:textFill>
            <w14:solidFill>
              <w14:schemeClr w14:val="tx1"/>
            </w14:solidFill>
          </w14:textFill>
        </w:rPr>
        <w:t>除乙方因开展现场调查所产生的交通费用由甲方支付（实报实销），</w:t>
      </w:r>
      <w:r>
        <w:rPr>
          <w:rFonts w:hint="eastAsia" w:cs="宋体"/>
          <w:color w:val="000000" w:themeColor="text1"/>
          <w:szCs w:val="21"/>
          <w:highlight w:val="none"/>
          <w14:textFill>
            <w14:solidFill>
              <w14:schemeClr w14:val="tx1"/>
            </w14:solidFill>
          </w14:textFill>
        </w:rPr>
        <w:t>甲方无义务向乙方支付或报销任何本合同中未约定的其他税费或费用。</w:t>
      </w:r>
    </w:p>
    <w:p>
      <w:pPr>
        <w:widowControl w:val="0"/>
        <w:numPr>
          <w:ilvl w:val="1"/>
          <w:numId w:val="6"/>
        </w:numPr>
        <w:kinsoku/>
        <w:overflowPunct/>
        <w:topLinePunct w:val="0"/>
        <w:bidi w:val="0"/>
        <w:spacing w:line="360" w:lineRule="exact"/>
        <w:ind w:left="811"/>
        <w:rPr>
          <w:rFonts w:ascii="Times New Roman" w:hAnsi="Times New Roman"/>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甲方支付乙方调查执行人员因执行本合同工作所需的全部交通费用，该费用应经甲方书面审核，全年累计不超过人民币伍万元（RMB50,000元整），且乙方应向甲方提供合法有效的报销凭证。</w:t>
      </w:r>
    </w:p>
    <w:p>
      <w:pPr>
        <w:widowControl w:val="0"/>
        <w:numPr>
          <w:ilvl w:val="1"/>
          <w:numId w:val="6"/>
        </w:numPr>
        <w:kinsoku/>
        <w:overflowPunct/>
        <w:topLinePunct w:val="0"/>
        <w:bidi w:val="0"/>
        <w:spacing w:line="360" w:lineRule="exact"/>
        <w:ind w:left="811"/>
        <w:rPr>
          <w:rFonts w:ascii="Times New Roman" w:hAnsi="Times New Roman"/>
          <w:color w:val="000000" w:themeColor="text1"/>
          <w:szCs w:val="21"/>
          <w:highlight w:val="none"/>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除3.3约定的交通费用外，</w:t>
      </w:r>
      <w:r>
        <w:rPr>
          <w:rFonts w:hint="eastAsia" w:cs="宋体"/>
          <w:color w:val="000000" w:themeColor="text1"/>
          <w:szCs w:val="21"/>
          <w:highlight w:val="none"/>
          <w14:textFill>
            <w14:solidFill>
              <w14:schemeClr w14:val="tx1"/>
            </w14:solidFill>
          </w14:textFill>
        </w:rPr>
        <w:t xml:space="preserve">乙方调查执行人员在广州、揭阳、湛江、梅州、惠州、韶关工作期间的一切费用，由乙方自行承担。 </w:t>
      </w:r>
    </w:p>
    <w:p>
      <w:pPr>
        <w:widowControl w:val="0"/>
        <w:numPr>
          <w:ilvl w:val="1"/>
          <w:numId w:val="6"/>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合同价款的支付</w:t>
      </w:r>
    </w:p>
    <w:p>
      <w:pPr>
        <w:widowControl w:val="0"/>
        <w:numPr>
          <w:ilvl w:val="2"/>
          <w:numId w:val="6"/>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甲方</w:t>
      </w:r>
      <w:r>
        <w:rPr>
          <w:rFonts w:hint="eastAsia" w:ascii="Times New Roman" w:hAnsi="Times New Roman" w:cs="宋体"/>
          <w:color w:val="000000" w:themeColor="text1"/>
          <w:szCs w:val="21"/>
          <w:highlight w:val="none"/>
          <w:lang w:val="en-US" w:eastAsia="zh-CN"/>
          <w14:textFill>
            <w14:solidFill>
              <w14:schemeClr w14:val="tx1"/>
            </w14:solidFill>
          </w14:textFill>
        </w:rPr>
        <w:t>按年度支付合同款项</w:t>
      </w:r>
      <w:r>
        <w:rPr>
          <w:rFonts w:hint="eastAsia" w:cs="宋体"/>
          <w:color w:val="000000" w:themeColor="text1"/>
          <w:szCs w:val="21"/>
          <w:highlight w:val="none"/>
          <w:lang w:val="en-US" w:eastAsia="zh-CN"/>
          <w14:textFill>
            <w14:solidFill>
              <w14:schemeClr w14:val="tx1"/>
            </w14:solidFill>
          </w14:textFill>
        </w:rPr>
        <w:t>，依据</w:t>
      </w:r>
      <w:r>
        <w:rPr>
          <w:rFonts w:hint="eastAsia" w:ascii="Times New Roman" w:hAnsi="Times New Roman" w:cs="宋体"/>
          <w:color w:val="000000" w:themeColor="text1"/>
          <w:szCs w:val="21"/>
          <w:highlight w:val="none"/>
          <w14:textFill>
            <w14:solidFill>
              <w14:schemeClr w14:val="tx1"/>
            </w14:solidFill>
          </w14:textFill>
        </w:rPr>
        <w:t>本合同条款</w:t>
      </w:r>
      <w:r>
        <w:rPr>
          <w:rFonts w:hint="eastAsia" w:cs="宋体"/>
          <w:color w:val="000000" w:themeColor="text1"/>
          <w:szCs w:val="21"/>
          <w:highlight w:val="none"/>
          <w:lang w:val="en-US" w:eastAsia="zh-CN"/>
          <w14:textFill>
            <w14:solidFill>
              <w14:schemeClr w14:val="tx1"/>
            </w14:solidFill>
          </w14:textFill>
        </w:rPr>
        <w:t>第</w:t>
      </w:r>
      <w:r>
        <w:rPr>
          <w:rFonts w:ascii="Times New Roman" w:hAnsi="Times New Roman"/>
          <w:color w:val="000000" w:themeColor="text1"/>
          <w:szCs w:val="21"/>
          <w:highlight w:val="none"/>
          <w14:textFill>
            <w14:solidFill>
              <w14:schemeClr w14:val="tx1"/>
            </w14:solidFill>
          </w14:textFill>
        </w:rPr>
        <w:t>3.3.3</w:t>
      </w:r>
      <w:r>
        <w:rPr>
          <w:rFonts w:hint="eastAsia"/>
          <w:color w:val="000000" w:themeColor="text1"/>
          <w:szCs w:val="21"/>
          <w:highlight w:val="none"/>
          <w:lang w:val="en-US" w:eastAsia="zh-CN"/>
          <w14:textFill>
            <w14:solidFill>
              <w14:schemeClr w14:val="tx1"/>
            </w14:solidFill>
          </w14:textFill>
        </w:rPr>
        <w:t>条</w:t>
      </w:r>
      <w:r>
        <w:rPr>
          <w:rFonts w:hint="eastAsia" w:ascii="Times New Roman" w:hAnsi="Times New Roman" w:cs="宋体"/>
          <w:color w:val="000000" w:themeColor="text1"/>
          <w:szCs w:val="21"/>
          <w:highlight w:val="none"/>
          <w14:textFill>
            <w14:solidFill>
              <w14:schemeClr w14:val="tx1"/>
            </w14:solidFill>
          </w14:textFill>
        </w:rPr>
        <w:t>支付进度所规定时间和比例向乙方支付合同价款。</w:t>
      </w:r>
    </w:p>
    <w:p>
      <w:pPr>
        <w:widowControl w:val="0"/>
        <w:numPr>
          <w:ilvl w:val="2"/>
          <w:numId w:val="6"/>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付款方式：转账</w:t>
      </w:r>
    </w:p>
    <w:p>
      <w:pPr>
        <w:widowControl w:val="0"/>
        <w:numPr>
          <w:ilvl w:val="2"/>
          <w:numId w:val="6"/>
        </w:numPr>
        <w:kinsoku/>
        <w:overflowPunct/>
        <w:topLinePunct w:val="0"/>
        <w:bidi w:val="0"/>
        <w:spacing w:line="360" w:lineRule="exact"/>
        <w:rPr>
          <w:rFonts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支付进度</w:t>
      </w:r>
    </w:p>
    <w:p>
      <w:pPr>
        <w:widowControl w:val="0"/>
        <w:numPr>
          <w:ilvl w:val="3"/>
          <w:numId w:val="6"/>
        </w:numPr>
        <w:kinsoku/>
        <w:overflowPunct/>
        <w:topLinePunct w:val="0"/>
        <w:bidi w:val="0"/>
        <w:spacing w:line="360" w:lineRule="exact"/>
        <w:ind w:left="90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本合同签订后</w:t>
      </w:r>
      <w:r>
        <w:rPr>
          <w:rFonts w:hint="eastAsia" w:cs="宋体"/>
          <w:color w:val="000000" w:themeColor="text1"/>
          <w:szCs w:val="21"/>
          <w:highlight w:val="none"/>
          <w:lang w:eastAsia="zh-CN"/>
          <w14:textFill>
            <w14:solidFill>
              <w14:schemeClr w14:val="tx1"/>
            </w14:solidFill>
          </w14:textFill>
        </w:rPr>
        <w:t>，</w:t>
      </w:r>
      <w:r>
        <w:rPr>
          <w:rFonts w:hint="eastAsia" w:ascii="Times New Roman" w:hAnsi="Times New Roman" w:cs="宋体"/>
          <w:color w:val="000000" w:themeColor="text1"/>
          <w:szCs w:val="21"/>
          <w:highlight w:val="none"/>
          <w14:textFill>
            <w14:solidFill>
              <w14:schemeClr w14:val="tx1"/>
            </w14:solidFill>
          </w14:textFill>
        </w:rPr>
        <w:t>甲方</w:t>
      </w:r>
      <w:r>
        <w:rPr>
          <w:rFonts w:hint="eastAsia" w:cs="宋体"/>
          <w:color w:val="000000" w:themeColor="text1"/>
          <w:szCs w:val="21"/>
          <w:highlight w:val="none"/>
          <w:lang w:val="en-US" w:eastAsia="zh-CN"/>
          <w14:textFill>
            <w14:solidFill>
              <w14:schemeClr w14:val="tx1"/>
            </w14:solidFill>
          </w14:textFill>
        </w:rPr>
        <w:t>向乙方</w:t>
      </w:r>
      <w:r>
        <w:rPr>
          <w:rFonts w:hint="eastAsia" w:ascii="Times New Roman" w:hAnsi="Times New Roman" w:cs="宋体"/>
          <w:color w:val="000000" w:themeColor="text1"/>
          <w:szCs w:val="21"/>
          <w:highlight w:val="none"/>
          <w14:textFill>
            <w14:solidFill>
              <w14:schemeClr w14:val="tx1"/>
            </w14:solidFill>
          </w14:textFill>
        </w:rPr>
        <w:t>支付</w:t>
      </w:r>
      <w:r>
        <w:rPr>
          <w:rFonts w:hint="eastAsia" w:cs="宋体"/>
          <w:color w:val="000000" w:themeColor="text1"/>
          <w:szCs w:val="21"/>
          <w:highlight w:val="none"/>
          <w:lang w:val="en-US" w:eastAsia="zh-CN"/>
          <w14:textFill>
            <w14:solidFill>
              <w14:schemeClr w14:val="tx1"/>
            </w14:solidFill>
          </w14:textFill>
        </w:rPr>
        <w:t>首年</w:t>
      </w:r>
      <w:r>
        <w:rPr>
          <w:rFonts w:hint="eastAsia" w:ascii="Times New Roman" w:hAnsi="Times New Roman" w:cs="宋体"/>
          <w:color w:val="000000" w:themeColor="text1"/>
          <w:szCs w:val="21"/>
          <w:highlight w:val="none"/>
          <w14:textFill>
            <w14:solidFill>
              <w14:schemeClr w14:val="tx1"/>
            </w14:solidFill>
          </w14:textFill>
        </w:rPr>
        <w:t>总价款的30%，即人民币</w:t>
      </w:r>
      <w:r>
        <w:rPr>
          <w:rFonts w:hint="eastAsia" w:cs="宋体"/>
          <w:color w:val="000000" w:themeColor="text1"/>
          <w:szCs w:val="21"/>
          <w:highlight w:val="none"/>
          <w:lang w:val="en-US" w:eastAsia="zh-CN"/>
          <w14:textFill>
            <w14:solidFill>
              <w14:schemeClr w14:val="tx1"/>
            </w14:solidFill>
          </w14:textFill>
        </w:rPr>
        <w:t xml:space="preserve">   </w:t>
      </w:r>
      <w:r>
        <w:rPr>
          <w:rFonts w:hint="eastAsia" w:cs="宋体"/>
          <w:color w:val="000000" w:themeColor="text1"/>
          <w:szCs w:val="21"/>
          <w:highlight w:val="none"/>
          <w:u w:val="single"/>
          <w:lang w:val="en-US" w:eastAsia="zh-CN"/>
          <w14:textFill>
            <w14:solidFill>
              <w14:schemeClr w14:val="tx1"/>
            </w14:solidFill>
          </w14:textFill>
        </w:rPr>
        <w:t xml:space="preserve">      </w:t>
      </w:r>
      <w:r>
        <w:rPr>
          <w:rFonts w:hint="eastAsia" w:ascii="Times New Roman" w:hAnsi="Times New Roman" w:cs="宋体"/>
          <w:color w:val="000000" w:themeColor="text1"/>
          <w:szCs w:val="21"/>
          <w:highlight w:val="none"/>
          <w14:textFill>
            <w14:solidFill>
              <w14:schemeClr w14:val="tx1"/>
            </w14:solidFill>
          </w14:textFill>
        </w:rPr>
        <w:t>）</w:t>
      </w:r>
      <w:r>
        <w:rPr>
          <w:rFonts w:hint="eastAsia" w:cs="宋体"/>
          <w:color w:val="000000" w:themeColor="text1"/>
          <w:szCs w:val="21"/>
          <w:highlight w:val="none"/>
          <w:lang w:eastAsia="zh-CN"/>
          <w14:textFill>
            <w14:solidFill>
              <w14:schemeClr w14:val="tx1"/>
            </w14:solidFill>
          </w14:textFill>
        </w:rPr>
        <w:t>，</w:t>
      </w:r>
      <w:r>
        <w:rPr>
          <w:rFonts w:hint="eastAsia" w:cs="宋体"/>
          <w:color w:val="000000" w:themeColor="text1"/>
          <w:szCs w:val="21"/>
          <w:highlight w:val="none"/>
          <w:lang w:val="en-US" w:eastAsia="zh-CN"/>
          <w14:textFill>
            <w14:solidFill>
              <w14:schemeClr w14:val="tx1"/>
            </w14:solidFill>
          </w14:textFill>
        </w:rPr>
        <w:t>首年</w:t>
      </w:r>
      <w:r>
        <w:rPr>
          <w:rFonts w:hint="eastAsia" w:ascii="Times New Roman" w:hAnsi="Times New Roman" w:cs="宋体"/>
          <w:color w:val="000000" w:themeColor="text1"/>
          <w:szCs w:val="21"/>
          <w:highlight w:val="none"/>
          <w14:textFill>
            <w14:solidFill>
              <w14:schemeClr w14:val="tx1"/>
            </w14:solidFill>
          </w14:textFill>
        </w:rPr>
        <w:t>第一期项目完成，且乙方提供的服务及提交的项目成果经甲方书面确认满足本合同及附件要求后，甲方支付</w:t>
      </w:r>
      <w:r>
        <w:rPr>
          <w:rFonts w:hint="eastAsia" w:cs="宋体"/>
          <w:color w:val="000000" w:themeColor="text1"/>
          <w:szCs w:val="21"/>
          <w:highlight w:val="none"/>
          <w:lang w:val="en-US" w:eastAsia="zh-CN"/>
          <w14:textFill>
            <w14:solidFill>
              <w14:schemeClr w14:val="tx1"/>
            </w14:solidFill>
          </w14:textFill>
        </w:rPr>
        <w:t>首年</w:t>
      </w:r>
      <w:r>
        <w:rPr>
          <w:rFonts w:hint="eastAsia" w:ascii="Times New Roman" w:hAnsi="Times New Roman" w:cs="宋体"/>
          <w:color w:val="000000" w:themeColor="text1"/>
          <w:szCs w:val="21"/>
          <w:highlight w:val="none"/>
          <w14:textFill>
            <w14:solidFill>
              <w14:schemeClr w14:val="tx1"/>
            </w14:solidFill>
          </w14:textFill>
        </w:rPr>
        <w:t>合同总价款的</w:t>
      </w:r>
      <w:r>
        <w:rPr>
          <w:rFonts w:hint="eastAsia" w:cs="宋体"/>
          <w:color w:val="000000" w:themeColor="text1"/>
          <w:szCs w:val="21"/>
          <w:highlight w:val="none"/>
          <w:lang w:eastAsia="zh-CN"/>
          <w14:textFill>
            <w14:solidFill>
              <w14:schemeClr w14:val="tx1"/>
            </w14:solidFill>
          </w14:textFill>
        </w:rPr>
        <w:t>2</w:t>
      </w:r>
      <w:r>
        <w:rPr>
          <w:rFonts w:hint="eastAsia" w:cs="宋体"/>
          <w:color w:val="000000" w:themeColor="text1"/>
          <w:szCs w:val="21"/>
          <w:highlight w:val="none"/>
          <w:lang w:val="en-US" w:eastAsia="zh-CN"/>
          <w14:textFill>
            <w14:solidFill>
              <w14:schemeClr w14:val="tx1"/>
            </w14:solidFill>
          </w14:textFill>
        </w:rPr>
        <w:t>0</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s="宋体"/>
          <w:color w:val="000000" w:themeColor="text1"/>
          <w:szCs w:val="21"/>
          <w:highlight w:val="none"/>
          <w14:textFill>
            <w14:solidFill>
              <w14:schemeClr w14:val="tx1"/>
            </w14:solidFill>
          </w14:textFill>
        </w:rPr>
        <w:t>，即人民币</w:t>
      </w:r>
      <w:r>
        <w:rPr>
          <w:rFonts w:hint="eastAsia" w:cs="宋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s="宋体"/>
          <w:color w:val="000000" w:themeColor="text1"/>
          <w:szCs w:val="21"/>
          <w:highlight w:val="none"/>
          <w14:textFill>
            <w14:solidFill>
              <w14:schemeClr w14:val="tx1"/>
            </w14:solidFill>
          </w14:textFill>
        </w:rPr>
        <w:t>元（¥</w:t>
      </w:r>
      <w:r>
        <w:rPr>
          <w:rFonts w:hint="eastAsia" w:cs="宋体"/>
          <w:i w:val="0"/>
          <w:iCs w:val="0"/>
          <w:color w:val="000000" w:themeColor="text1"/>
          <w:szCs w:val="21"/>
          <w:highlight w:val="none"/>
          <w:u w:val="single"/>
          <w:lang w:val="en-US" w:eastAsia="zh-CN"/>
          <w14:textFill>
            <w14:solidFill>
              <w14:schemeClr w14:val="tx1"/>
            </w14:solidFill>
          </w14:textFill>
        </w:rPr>
        <w:t xml:space="preserve">         </w:t>
      </w:r>
      <w:r>
        <w:rPr>
          <w:rFonts w:hint="eastAsia" w:ascii="Times New Roman" w:hAnsi="Times New Roman" w:cs="宋体"/>
          <w:color w:val="000000" w:themeColor="text1"/>
          <w:szCs w:val="21"/>
          <w:highlight w:val="none"/>
          <w14:textFill>
            <w14:solidFill>
              <w14:schemeClr w14:val="tx1"/>
            </w14:solidFill>
          </w14:textFill>
        </w:rPr>
        <w:t>）。本合同约定的</w:t>
      </w:r>
      <w:r>
        <w:rPr>
          <w:rFonts w:hint="eastAsia" w:cs="宋体"/>
          <w:color w:val="000000" w:themeColor="text1"/>
          <w:szCs w:val="21"/>
          <w:highlight w:val="none"/>
          <w:lang w:val="en-US" w:eastAsia="zh-CN"/>
          <w14:textFill>
            <w14:solidFill>
              <w14:schemeClr w14:val="tx1"/>
            </w14:solidFill>
          </w14:textFill>
        </w:rPr>
        <w:t>首年</w:t>
      </w:r>
      <w:r>
        <w:rPr>
          <w:rFonts w:hint="eastAsia" w:ascii="Times New Roman" w:hAnsi="Times New Roman" w:cs="宋体"/>
          <w:color w:val="000000" w:themeColor="text1"/>
          <w:szCs w:val="21"/>
          <w:highlight w:val="none"/>
          <w14:textFill>
            <w14:solidFill>
              <w14:schemeClr w14:val="tx1"/>
            </w14:solidFill>
          </w14:textFill>
        </w:rPr>
        <w:t>第二期项目完成，且乙方提供的服务及提交的项目成果经甲方书面确认满足本合同及附件要求后，甲方支付</w:t>
      </w:r>
      <w:r>
        <w:rPr>
          <w:rFonts w:hint="eastAsia" w:cs="宋体"/>
          <w:color w:val="000000" w:themeColor="text1"/>
          <w:szCs w:val="21"/>
          <w:highlight w:val="none"/>
          <w:lang w:val="en-US" w:eastAsia="zh-CN"/>
          <w14:textFill>
            <w14:solidFill>
              <w14:schemeClr w14:val="tx1"/>
            </w14:solidFill>
          </w14:textFill>
        </w:rPr>
        <w:t>首年</w:t>
      </w:r>
      <w:r>
        <w:rPr>
          <w:rFonts w:hint="eastAsia" w:ascii="Times New Roman" w:hAnsi="Times New Roman" w:cs="宋体"/>
          <w:color w:val="000000" w:themeColor="text1"/>
          <w:szCs w:val="21"/>
          <w:highlight w:val="none"/>
          <w14:textFill>
            <w14:solidFill>
              <w14:schemeClr w14:val="tx1"/>
            </w14:solidFill>
          </w14:textFill>
        </w:rPr>
        <w:t>总价款的5</w:t>
      </w:r>
      <w:r>
        <w:rPr>
          <w:rFonts w:ascii="Times New Roman" w:hAnsi="Times New Roman"/>
          <w:color w:val="000000" w:themeColor="text1"/>
          <w:szCs w:val="21"/>
          <w:highlight w:val="none"/>
          <w14:textFill>
            <w14:solidFill>
              <w14:schemeClr w14:val="tx1"/>
            </w14:solidFill>
          </w14:textFill>
        </w:rPr>
        <w:t>0%</w:t>
      </w:r>
      <w:r>
        <w:rPr>
          <w:rFonts w:hint="eastAsia" w:ascii="Times New Roman" w:hAnsi="Times New Roman" w:cs="宋体"/>
          <w:color w:val="000000" w:themeColor="text1"/>
          <w:szCs w:val="21"/>
          <w:highlight w:val="none"/>
          <w14:textFill>
            <w14:solidFill>
              <w14:schemeClr w14:val="tx1"/>
            </w14:solidFill>
          </w14:textFill>
        </w:rPr>
        <w:t>，即人民币贰拾</w:t>
      </w:r>
      <w:r>
        <w:rPr>
          <w:rFonts w:hint="eastAsia" w:cs="宋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cs="宋体"/>
          <w:color w:val="000000" w:themeColor="text1"/>
          <w:szCs w:val="21"/>
          <w:highlight w:val="none"/>
          <w14:textFill>
            <w14:solidFill>
              <w14:schemeClr w14:val="tx1"/>
            </w14:solidFill>
          </w14:textFill>
        </w:rPr>
        <w:t>元（¥</w:t>
      </w:r>
      <w:r>
        <w:rPr>
          <w:rFonts w:hint="eastAsia"/>
          <w:color w:val="000000" w:themeColor="text1"/>
          <w:szCs w:val="21"/>
          <w:highlight w:val="none"/>
          <w:u w:val="single"/>
          <w:lang w:val="en-US" w:eastAsia="zh-CN"/>
          <w14:textFill>
            <w14:solidFill>
              <w14:schemeClr w14:val="tx1"/>
            </w14:solidFill>
          </w14:textFill>
        </w:rPr>
        <w:t xml:space="preserve">       </w:t>
      </w:r>
      <w:r>
        <w:rPr>
          <w:rFonts w:hint="eastAsia" w:ascii="Times New Roman" w:hAnsi="Times New Roman" w:cs="宋体"/>
          <w:color w:val="000000" w:themeColor="text1"/>
          <w:szCs w:val="21"/>
          <w:highlight w:val="none"/>
          <w14:textFill>
            <w14:solidFill>
              <w14:schemeClr w14:val="tx1"/>
            </w14:solidFill>
          </w14:textFill>
        </w:rPr>
        <w:t>）。</w:t>
      </w:r>
    </w:p>
    <w:p>
      <w:pPr>
        <w:widowControl w:val="0"/>
        <w:numPr>
          <w:ilvl w:val="3"/>
          <w:numId w:val="6"/>
        </w:numPr>
        <w:kinsoku/>
        <w:overflowPunct/>
        <w:topLinePunct w:val="0"/>
        <w:bidi w:val="0"/>
        <w:spacing w:line="360" w:lineRule="exact"/>
        <w:ind w:left="900"/>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第二个测评</w:t>
      </w:r>
      <w:r>
        <w:rPr>
          <w:rFonts w:hint="eastAsia"/>
          <w:color w:val="000000" w:themeColor="text1"/>
          <w:szCs w:val="21"/>
          <w:highlight w:val="none"/>
          <w14:textFill>
            <w14:solidFill>
              <w14:schemeClr w14:val="tx1"/>
            </w14:solidFill>
          </w14:textFill>
        </w:rPr>
        <w:t>年和</w:t>
      </w:r>
      <w:r>
        <w:rPr>
          <w:rFonts w:hint="eastAsia"/>
          <w:color w:val="000000" w:themeColor="text1"/>
          <w:szCs w:val="21"/>
          <w:highlight w:val="none"/>
          <w:lang w:val="en-US" w:eastAsia="zh-CN"/>
          <w14:textFill>
            <w14:solidFill>
              <w14:schemeClr w14:val="tx1"/>
            </w14:solidFill>
          </w14:textFill>
        </w:rPr>
        <w:t>第三个测评</w:t>
      </w:r>
      <w:r>
        <w:rPr>
          <w:rFonts w:hint="eastAsia"/>
          <w:color w:val="000000" w:themeColor="text1"/>
          <w:szCs w:val="21"/>
          <w:highlight w:val="none"/>
          <w14:textFill>
            <w14:solidFill>
              <w14:schemeClr w14:val="tx1"/>
            </w14:solidFill>
          </w14:textFill>
        </w:rPr>
        <w:t>年的</w:t>
      </w:r>
      <w:r>
        <w:rPr>
          <w:rFonts w:hint="eastAsia"/>
          <w:color w:val="000000" w:themeColor="text1"/>
          <w:szCs w:val="21"/>
          <w:highlight w:val="none"/>
          <w:lang w:val="en-US" w:eastAsia="zh-CN"/>
          <w14:textFill>
            <w14:solidFill>
              <w14:schemeClr w14:val="tx1"/>
            </w14:solidFill>
          </w14:textFill>
        </w:rPr>
        <w:t>款项支付：在当年的X月X日之前支付</w:t>
      </w:r>
      <w:r>
        <w:rPr>
          <w:rFonts w:hint="eastAsia"/>
          <w:color w:val="000000" w:themeColor="text1"/>
          <w:szCs w:val="21"/>
          <w:highlight w:val="none"/>
          <w14:textFill>
            <w14:solidFill>
              <w14:schemeClr w14:val="tx1"/>
            </w14:solidFill>
          </w14:textFill>
        </w:rPr>
        <w:t>总价款的30%，即人民币         ），</w:t>
      </w:r>
      <w:r>
        <w:rPr>
          <w:rFonts w:hint="eastAsia"/>
          <w:color w:val="000000" w:themeColor="text1"/>
          <w:szCs w:val="21"/>
          <w:highlight w:val="none"/>
          <w:lang w:val="en-US" w:eastAsia="zh-CN"/>
          <w14:textFill>
            <w14:solidFill>
              <w14:schemeClr w14:val="tx1"/>
            </w14:solidFill>
          </w14:textFill>
        </w:rPr>
        <w:t>当年</w:t>
      </w:r>
      <w:r>
        <w:rPr>
          <w:rFonts w:hint="eastAsia"/>
          <w:color w:val="000000" w:themeColor="text1"/>
          <w:szCs w:val="21"/>
          <w:highlight w:val="none"/>
          <w14:textFill>
            <w14:solidFill>
              <w14:schemeClr w14:val="tx1"/>
            </w14:solidFill>
          </w14:textFill>
        </w:rPr>
        <w:t>第一期项目完成，且乙方提供的服务及提交的项目成果经甲方书面确认满足本合同及附件要求后，甲方支付</w:t>
      </w:r>
      <w:r>
        <w:rPr>
          <w:rFonts w:hint="eastAsia"/>
          <w:color w:val="000000" w:themeColor="text1"/>
          <w:szCs w:val="21"/>
          <w:highlight w:val="none"/>
          <w:lang w:val="en-US" w:eastAsia="zh-CN"/>
          <w14:textFill>
            <w14:solidFill>
              <w14:schemeClr w14:val="tx1"/>
            </w14:solidFill>
          </w14:textFill>
        </w:rPr>
        <w:t>当年</w:t>
      </w:r>
      <w:r>
        <w:rPr>
          <w:rFonts w:hint="eastAsia"/>
          <w:color w:val="000000" w:themeColor="text1"/>
          <w:szCs w:val="21"/>
          <w:highlight w:val="none"/>
          <w14:textFill>
            <w14:solidFill>
              <w14:schemeClr w14:val="tx1"/>
            </w14:solidFill>
          </w14:textFill>
        </w:rPr>
        <w:t>合同总价款的20%，即人民币      元（¥         ）。本合同约定的</w:t>
      </w:r>
      <w:r>
        <w:rPr>
          <w:rFonts w:hint="eastAsia"/>
          <w:color w:val="000000" w:themeColor="text1"/>
          <w:szCs w:val="21"/>
          <w:highlight w:val="none"/>
          <w:lang w:val="en-US" w:eastAsia="zh-CN"/>
          <w14:textFill>
            <w14:solidFill>
              <w14:schemeClr w14:val="tx1"/>
            </w14:solidFill>
          </w14:textFill>
        </w:rPr>
        <w:t>当年</w:t>
      </w:r>
      <w:r>
        <w:rPr>
          <w:rFonts w:hint="eastAsia"/>
          <w:color w:val="000000" w:themeColor="text1"/>
          <w:szCs w:val="21"/>
          <w:highlight w:val="none"/>
          <w14:textFill>
            <w14:solidFill>
              <w14:schemeClr w14:val="tx1"/>
            </w14:solidFill>
          </w14:textFill>
        </w:rPr>
        <w:t>第二期项目完成，且乙方提供的服务及提交的项目成果经甲方书面确认满足本合同及附件要求后，甲方支付</w:t>
      </w:r>
      <w:r>
        <w:rPr>
          <w:rFonts w:hint="eastAsia"/>
          <w:color w:val="000000" w:themeColor="text1"/>
          <w:szCs w:val="21"/>
          <w:highlight w:val="none"/>
          <w:lang w:val="en-US" w:eastAsia="zh-CN"/>
          <w14:textFill>
            <w14:solidFill>
              <w14:schemeClr w14:val="tx1"/>
            </w14:solidFill>
          </w14:textFill>
        </w:rPr>
        <w:t>当年</w:t>
      </w:r>
      <w:r>
        <w:rPr>
          <w:rFonts w:hint="eastAsia"/>
          <w:color w:val="000000" w:themeColor="text1"/>
          <w:szCs w:val="21"/>
          <w:highlight w:val="none"/>
          <w14:textFill>
            <w14:solidFill>
              <w14:schemeClr w14:val="tx1"/>
            </w14:solidFill>
          </w14:textFill>
        </w:rPr>
        <w:t>总价款的50%，即人民币       元（¥       ）。</w:t>
      </w:r>
      <w:r>
        <w:rPr>
          <w:rFonts w:hint="eastAsia"/>
          <w:color w:val="000000" w:themeColor="text1"/>
          <w:szCs w:val="21"/>
          <w:highlight w:val="none"/>
          <w:lang w:val="en-US" w:eastAsia="zh-CN"/>
          <w14:textFill>
            <w14:solidFill>
              <w14:schemeClr w14:val="tx1"/>
            </w14:solidFill>
          </w14:textFill>
        </w:rPr>
        <w:t>第二个测评年对乙方的考核评定为优良的，则执行第三年度的合同，否则合同自然终止。第三个测评年的支付条件同上。</w:t>
      </w:r>
    </w:p>
    <w:p>
      <w:pPr>
        <w:widowControl w:val="0"/>
        <w:numPr>
          <w:ilvl w:val="3"/>
          <w:numId w:val="6"/>
        </w:numPr>
        <w:kinsoku/>
        <w:overflowPunct/>
        <w:topLinePunct w:val="0"/>
        <w:bidi w:val="0"/>
        <w:spacing w:line="360" w:lineRule="exact"/>
        <w:ind w:left="90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乙方应在每次达到支付条件后，向甲方开具等额的增值税专用发票，甲方在收到发票之日起10个工作日内向乙方支付相应费用。</w:t>
      </w:r>
      <w:r>
        <w:rPr>
          <w:rFonts w:hint="eastAsia"/>
          <w:color w:val="000000" w:themeColor="text1"/>
          <w:szCs w:val="21"/>
          <w:highlight w:val="none"/>
          <w14:textFill>
            <w14:solidFill>
              <w14:schemeClr w14:val="tx1"/>
            </w14:solidFill>
          </w14:textFill>
        </w:rPr>
        <w:t>如因乙方未能提供符合甲方要求的发票而导致付款延迟的，甲方对此不承担违约责任</w:t>
      </w:r>
      <w:r>
        <w:rPr>
          <w:rFonts w:hint="eastAsia"/>
          <w:color w:val="000000" w:themeColor="text1"/>
          <w:szCs w:val="21"/>
          <w:highlight w:val="none"/>
          <w:lang w:val="en-US" w:eastAsia="zh-CN"/>
          <w14:textFill>
            <w14:solidFill>
              <w14:schemeClr w14:val="tx1"/>
            </w14:solidFill>
          </w14:textFill>
        </w:rPr>
        <w:t>且</w:t>
      </w:r>
      <w:r>
        <w:rPr>
          <w:rFonts w:hint="eastAsia" w:ascii="Times New Roman" w:hAnsi="Times New Roman"/>
          <w:color w:val="000000" w:themeColor="text1"/>
          <w:szCs w:val="21"/>
          <w:highlight w:val="none"/>
          <w14:textFill>
            <w14:solidFill>
              <w14:schemeClr w14:val="tx1"/>
            </w14:solidFill>
          </w14:textFill>
        </w:rPr>
        <w:t>甲方有权</w:t>
      </w:r>
      <w:r>
        <w:rPr>
          <w:rFonts w:hint="eastAsia"/>
          <w:color w:val="000000" w:themeColor="text1"/>
          <w:szCs w:val="21"/>
          <w:highlight w:val="none"/>
          <w:lang w:val="en-US" w:eastAsia="zh-CN"/>
          <w14:textFill>
            <w14:solidFill>
              <w14:schemeClr w14:val="tx1"/>
            </w14:solidFill>
          </w14:textFill>
        </w:rPr>
        <w:t>延迟</w:t>
      </w:r>
      <w:r>
        <w:rPr>
          <w:rFonts w:hint="eastAsia" w:ascii="Times New Roman" w:hAnsi="Times New Roman"/>
          <w:color w:val="000000" w:themeColor="text1"/>
          <w:szCs w:val="21"/>
          <w:highlight w:val="none"/>
          <w14:textFill>
            <w14:solidFill>
              <w14:schemeClr w14:val="tx1"/>
            </w14:solidFill>
          </w14:textFill>
        </w:rPr>
        <w:t>支付。</w:t>
      </w:r>
    </w:p>
    <w:p>
      <w:pPr>
        <w:widowControl w:val="0"/>
        <w:numPr>
          <w:ilvl w:val="255"/>
          <w:numId w:val="0"/>
        </w:numPr>
        <w:kinsoku/>
        <w:overflowPunct/>
        <w:topLinePunct w:val="0"/>
        <w:bidi w:val="0"/>
        <w:spacing w:line="360" w:lineRule="exact"/>
        <w:ind w:left="9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3.</w:t>
      </w:r>
      <w:r>
        <w:rPr>
          <w:rFonts w:hint="eastAsia"/>
          <w:color w:val="000000" w:themeColor="text1"/>
          <w:szCs w:val="21"/>
          <w:highlight w:val="none"/>
          <w:lang w:val="en-US" w:eastAsia="zh-CN"/>
          <w14:textFill>
            <w14:solidFill>
              <w14:schemeClr w14:val="tx1"/>
            </w14:solidFill>
          </w14:textFill>
        </w:rPr>
        <w:t>5</w:t>
      </w:r>
      <w:r>
        <w:rPr>
          <w:rFonts w:hint="eastAsia" w:ascii="Times New Roman" w:hAnsi="Times New Roman"/>
          <w:color w:val="000000" w:themeColor="text1"/>
          <w:szCs w:val="21"/>
          <w:highlight w:val="none"/>
          <w14:textFill>
            <w14:solidFill>
              <w14:schemeClr w14:val="tx1"/>
            </w14:solidFill>
          </w14:textFill>
        </w:rPr>
        <w:t>.4   甲方开票信息为：</w:t>
      </w:r>
    </w:p>
    <w:p>
      <w:pPr>
        <w:widowControl w:val="0"/>
        <w:numPr>
          <w:ilvl w:val="255"/>
          <w:numId w:val="0"/>
        </w:numPr>
        <w:kinsoku/>
        <w:overflowPunct/>
        <w:topLinePunct w:val="0"/>
        <w:bidi w:val="0"/>
        <w:spacing w:line="360" w:lineRule="exact"/>
        <w:ind w:left="91" w:firstLine="704" w:firstLineChars="35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 xml:space="preserve">公司名称： 广东省机场管理集团有限公司 </w:t>
      </w:r>
    </w:p>
    <w:p>
      <w:pPr>
        <w:widowControl w:val="0"/>
        <w:numPr>
          <w:ilvl w:val="255"/>
          <w:numId w:val="0"/>
        </w:numPr>
        <w:kinsoku/>
        <w:overflowPunct/>
        <w:topLinePunct w:val="0"/>
        <w:bidi w:val="0"/>
        <w:spacing w:line="360" w:lineRule="exact"/>
        <w:ind w:left="91" w:firstLine="704" w:firstLineChars="35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 xml:space="preserve">纳税人识别号： 91 440 000 190 488 448J </w:t>
      </w:r>
    </w:p>
    <w:p>
      <w:pPr>
        <w:widowControl w:val="0"/>
        <w:numPr>
          <w:ilvl w:val="255"/>
          <w:numId w:val="0"/>
        </w:numPr>
        <w:kinsoku/>
        <w:overflowPunct/>
        <w:topLinePunct w:val="0"/>
        <w:bidi w:val="0"/>
        <w:spacing w:line="360" w:lineRule="exact"/>
        <w:ind w:left="91" w:firstLine="704" w:firstLineChars="35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 xml:space="preserve">开户银行： 工商银行广州市机场支行 </w:t>
      </w:r>
    </w:p>
    <w:p>
      <w:pPr>
        <w:widowControl w:val="0"/>
        <w:numPr>
          <w:ilvl w:val="255"/>
          <w:numId w:val="0"/>
        </w:numPr>
        <w:kinsoku/>
        <w:overflowPunct/>
        <w:topLinePunct w:val="0"/>
        <w:bidi w:val="0"/>
        <w:spacing w:line="360" w:lineRule="exact"/>
        <w:ind w:left="91" w:firstLine="704" w:firstLineChars="35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 xml:space="preserve">银行帐号： 360 206 520 900 039 6878 </w:t>
      </w:r>
    </w:p>
    <w:p>
      <w:pPr>
        <w:widowControl w:val="0"/>
        <w:numPr>
          <w:ilvl w:val="255"/>
          <w:numId w:val="0"/>
        </w:numPr>
        <w:kinsoku/>
        <w:overflowPunct/>
        <w:topLinePunct w:val="0"/>
        <w:bidi w:val="0"/>
        <w:spacing w:line="360" w:lineRule="exact"/>
        <w:ind w:left="91" w:firstLine="704" w:firstLineChars="35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 xml:space="preserve">公司地址： 广东省广州市白云区机场路282号 </w:t>
      </w:r>
    </w:p>
    <w:p>
      <w:pPr>
        <w:widowControl w:val="0"/>
        <w:numPr>
          <w:ilvl w:val="255"/>
          <w:numId w:val="0"/>
        </w:numPr>
        <w:kinsoku/>
        <w:overflowPunct/>
        <w:topLinePunct w:val="0"/>
        <w:bidi w:val="0"/>
        <w:spacing w:line="360" w:lineRule="exact"/>
        <w:ind w:left="91" w:firstLine="704" w:firstLineChars="350"/>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联系电话： 020-86134626</w:t>
      </w:r>
    </w:p>
    <w:p>
      <w:pPr>
        <w:widowControl w:val="0"/>
        <w:numPr>
          <w:ilvl w:val="255"/>
          <w:numId w:val="0"/>
        </w:numPr>
        <w:spacing w:line="360" w:lineRule="exact"/>
        <w:ind w:left="90"/>
        <w:rPr>
          <w:rFonts w:hint="eastAsia"/>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3.</w:t>
      </w:r>
      <w:r>
        <w:rPr>
          <w:rFonts w:hint="eastAsia"/>
          <w:color w:val="000000" w:themeColor="text1"/>
          <w:szCs w:val="21"/>
          <w:highlight w:val="none"/>
          <w:lang w:val="en-US" w:eastAsia="zh-CN"/>
          <w14:textFill>
            <w14:solidFill>
              <w14:schemeClr w14:val="tx1"/>
            </w14:solidFill>
          </w14:textFill>
        </w:rPr>
        <w:t>5</w:t>
      </w:r>
      <w:r>
        <w:rPr>
          <w:rFonts w:hint="eastAsia" w:ascii="Times New Roman" w:hAnsi="Times New Roman"/>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5</w:t>
      </w:r>
      <w:r>
        <w:rPr>
          <w:rFonts w:hint="eastAsia" w:ascii="Times New Roman" w:hAnsi="Times New Roman"/>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乙方收款帐户信息：</w:t>
      </w:r>
    </w:p>
    <w:p>
      <w:pPr>
        <w:widowControl w:val="0"/>
        <w:numPr>
          <w:ilvl w:val="255"/>
          <w:numId w:val="0"/>
        </w:numPr>
        <w:spacing w:line="360" w:lineRule="exact"/>
        <w:ind w:left="91" w:firstLine="704" w:firstLineChars="35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公司名称：    </w:t>
      </w:r>
    </w:p>
    <w:p>
      <w:pPr>
        <w:widowControl w:val="0"/>
        <w:numPr>
          <w:ilvl w:val="255"/>
          <w:numId w:val="0"/>
        </w:numPr>
        <w:spacing w:line="360" w:lineRule="exact"/>
        <w:ind w:left="91" w:firstLine="704" w:firstLineChars="35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开户银行： </w:t>
      </w:r>
    </w:p>
    <w:p>
      <w:pPr>
        <w:widowControl w:val="0"/>
        <w:numPr>
          <w:ilvl w:val="255"/>
          <w:numId w:val="0"/>
        </w:numPr>
        <w:spacing w:line="360" w:lineRule="exact"/>
        <w:ind w:left="91" w:firstLine="704" w:firstLineChars="35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银行账号： </w:t>
      </w:r>
    </w:p>
    <w:p>
      <w:pPr>
        <w:widowControl w:val="0"/>
        <w:numPr>
          <w:ilvl w:val="255"/>
          <w:numId w:val="0"/>
        </w:numPr>
        <w:spacing w:line="360" w:lineRule="exact"/>
        <w:ind w:left="0" w:firstLine="402"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上述账户为乙方指定的唯一收款账户，若上述账户信息发生变更，乙方应自变更之日起3日内书面通知甲方，否则由此造成的全部责任及损失由乙方承担，甲方不承担任何责任。</w:t>
      </w:r>
    </w:p>
    <w:p>
      <w:pPr>
        <w:widowControl w:val="0"/>
        <w:numPr>
          <w:ilvl w:val="255"/>
          <w:numId w:val="0"/>
        </w:numPr>
        <w:spacing w:line="360" w:lineRule="exact"/>
        <w:ind w:left="0" w:firstLine="402" w:firstLineChars="200"/>
        <w:rPr>
          <w:rFonts w:hint="eastAsia"/>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3.</w:t>
      </w:r>
      <w:r>
        <w:rPr>
          <w:rFonts w:hint="eastAsia"/>
          <w:color w:val="000000" w:themeColor="text1"/>
          <w:szCs w:val="21"/>
          <w:highlight w:val="none"/>
          <w:lang w:val="en-US" w:eastAsia="zh-CN"/>
          <w14:textFill>
            <w14:solidFill>
              <w14:schemeClr w14:val="tx1"/>
            </w14:solidFill>
          </w14:textFill>
        </w:rPr>
        <w:t>6</w:t>
      </w:r>
      <w:r>
        <w:rPr>
          <w:rFonts w:hint="eastAsia" w:ascii="Times New Roman" w:hAnsi="Times New Roman"/>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以下情形为免责事由：甲方受包括但不限于行政命令、审计、巡视工作或政策性资金（包括民航发展基金等各类）等影响致使支付时间变化的，甲方不承担责任。</w:t>
      </w:r>
    </w:p>
    <w:p>
      <w:pPr>
        <w:widowControl w:val="0"/>
        <w:numPr>
          <w:ilvl w:val="255"/>
          <w:numId w:val="0"/>
        </w:numPr>
        <w:spacing w:line="360" w:lineRule="exact"/>
        <w:ind w:left="0" w:firstLine="402" w:firstLineChars="200"/>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3.</w:t>
      </w:r>
      <w:r>
        <w:rPr>
          <w:rFonts w:hint="eastAsia"/>
          <w:color w:val="000000" w:themeColor="text1"/>
          <w:szCs w:val="21"/>
          <w:highlight w:val="none"/>
          <w:lang w:val="en-US" w:eastAsia="zh-CN"/>
          <w14:textFill>
            <w14:solidFill>
              <w14:schemeClr w14:val="tx1"/>
            </w14:solidFill>
          </w14:textFill>
        </w:rPr>
        <w:t>7</w:t>
      </w:r>
      <w:r>
        <w:rPr>
          <w:rFonts w:hint="eastAsia" w:ascii="Times New Roman" w:hAnsi="Times New Roman"/>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合同生效后，甲方由于自身原因要求解除本合同的，甲方应按照乙方实际已完成的工作量与乙方结算服务费。</w:t>
      </w:r>
    </w:p>
    <w:p>
      <w:pPr>
        <w:keepNext/>
        <w:keepLines/>
        <w:widowControl w:val="0"/>
        <w:kinsoku/>
        <w:overflowPunct/>
        <w:topLinePunct w:val="0"/>
        <w:bidi w:val="0"/>
        <w:spacing w:before="260" w:after="260" w:line="360" w:lineRule="exact"/>
        <w:outlineLvl w:val="2"/>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第</w:t>
      </w:r>
      <w:r>
        <w:rPr>
          <w:rFonts w:ascii="Times New Roman" w:hAnsi="Times New Roman"/>
          <w:b/>
          <w:bCs/>
          <w:color w:val="000000" w:themeColor="text1"/>
          <w:szCs w:val="21"/>
          <w:highlight w:val="none"/>
          <w14:textFill>
            <w14:solidFill>
              <w14:schemeClr w14:val="tx1"/>
            </w14:solidFill>
          </w14:textFill>
        </w:rPr>
        <w:t>4</w:t>
      </w:r>
      <w:r>
        <w:rPr>
          <w:rFonts w:hint="eastAsia" w:ascii="Times New Roman" w:hAnsi="Times New Roman" w:cs="宋体"/>
          <w:b/>
          <w:bCs/>
          <w:color w:val="000000" w:themeColor="text1"/>
          <w:szCs w:val="21"/>
          <w:highlight w:val="none"/>
          <w14:textFill>
            <w14:solidFill>
              <w14:schemeClr w14:val="tx1"/>
            </w14:solidFill>
          </w14:textFill>
        </w:rPr>
        <w:t>条</w:t>
      </w:r>
      <w:r>
        <w:rPr>
          <w:rFonts w:ascii="Times New Roman" w:hAnsi="Times New Roman"/>
          <w:b/>
          <w:bCs/>
          <w:color w:val="000000" w:themeColor="text1"/>
          <w:szCs w:val="21"/>
          <w:highlight w:val="none"/>
          <w14:textFill>
            <w14:solidFill>
              <w14:schemeClr w14:val="tx1"/>
            </w14:solidFill>
          </w14:textFill>
        </w:rPr>
        <w:t xml:space="preserve"> </w:t>
      </w:r>
      <w:r>
        <w:rPr>
          <w:rFonts w:hint="eastAsia" w:ascii="Times New Roman" w:hAnsi="Times New Roman" w:cs="宋体"/>
          <w:b/>
          <w:bCs/>
          <w:color w:val="000000" w:themeColor="text1"/>
          <w:szCs w:val="21"/>
          <w:highlight w:val="none"/>
          <w14:textFill>
            <w14:solidFill>
              <w14:schemeClr w14:val="tx1"/>
            </w14:solidFill>
          </w14:textFill>
        </w:rPr>
        <w:t>项目进度计划</w:t>
      </w:r>
    </w:p>
    <w:p>
      <w:pPr>
        <w:widowControl w:val="0"/>
        <w:numPr>
          <w:ilvl w:val="255"/>
          <w:numId w:val="0"/>
        </w:numPr>
        <w:tabs>
          <w:tab w:val="left" w:pos="851"/>
        </w:tabs>
        <w:kinsoku/>
        <w:overflowPunct/>
        <w:topLinePunct w:val="0"/>
        <w:bidi w:val="0"/>
        <w:spacing w:line="360" w:lineRule="exact"/>
        <w:ind w:firstLine="402" w:firstLineChars="20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乙方向甲方提供的成果文件及递交时间：</w:t>
      </w:r>
      <w:r>
        <w:rPr>
          <w:rFonts w:ascii="Times New Roman" w:hAnsi="Times New Roman"/>
          <w:color w:val="000000" w:themeColor="text1"/>
          <w:szCs w:val="21"/>
          <w:highlight w:val="none"/>
          <w14:textFill>
            <w14:solidFill>
              <w14:schemeClr w14:val="tx1"/>
            </w14:solidFill>
          </w14:textFill>
        </w:rPr>
        <w:t xml:space="preserve"> </w:t>
      </w:r>
    </w:p>
    <w:p>
      <w:pPr>
        <w:widowControl w:val="0"/>
        <w:numPr>
          <w:ilvl w:val="-1"/>
          <w:numId w:val="0"/>
        </w:numPr>
        <w:kinsoku/>
        <w:overflowPunct/>
        <w:topLinePunct w:val="0"/>
        <w:bidi w:val="0"/>
        <w:spacing w:line="360" w:lineRule="exact"/>
        <w:ind w:left="0" w:firstLine="402" w:firstLineChars="200"/>
        <w:rPr>
          <w:rFonts w:hint="eastAsia"/>
          <w:bCs/>
          <w:color w:val="000000" w:themeColor="text1"/>
          <w:szCs w:val="21"/>
          <w:highlight w:val="none"/>
          <w:lang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4.1  2022年</w:t>
      </w:r>
      <w:r>
        <w:rPr>
          <w:rFonts w:hint="eastAsia" w:ascii="Times New Roman" w:hAnsi="Times New Roman"/>
          <w:bCs/>
          <w:color w:val="000000" w:themeColor="text1"/>
          <w:szCs w:val="21"/>
          <w:highlight w:val="none"/>
          <w14:textFill>
            <w14:solidFill>
              <w14:schemeClr w14:val="tx1"/>
            </w14:solidFill>
          </w14:textFill>
        </w:rPr>
        <w:t>第一期项目现场调查不晚于</w:t>
      </w:r>
      <w:r>
        <w:rPr>
          <w:rFonts w:hint="eastAsia" w:ascii="Times New Roman" w:hAnsi="Times New Roman"/>
          <w:bCs/>
          <w:color w:val="000000" w:themeColor="text1"/>
          <w:szCs w:val="21"/>
          <w:highlight w:val="none"/>
          <w:lang w:val="en-US" w:eastAsia="zh-CN"/>
          <w14:textFill>
            <w14:solidFill>
              <w14:schemeClr w14:val="tx1"/>
            </w14:solidFill>
          </w14:textFill>
        </w:rPr>
        <w:t>当年的</w:t>
      </w:r>
      <w:r>
        <w:rPr>
          <w:rFonts w:hint="eastAsia"/>
          <w:bCs/>
          <w:color w:val="000000" w:themeColor="text1"/>
          <w:szCs w:val="21"/>
          <w:highlight w:val="none"/>
          <w:lang w:val="en-US" w:eastAsia="zh-CN"/>
          <w14:textFill>
            <w14:solidFill>
              <w14:schemeClr w14:val="tx1"/>
            </w14:solidFill>
          </w14:textFill>
        </w:rPr>
        <w:t>X</w:t>
      </w:r>
      <w:r>
        <w:rPr>
          <w:rFonts w:hint="eastAsia" w:ascii="Times New Roman" w:hAnsi="Times New Roman"/>
          <w:bCs/>
          <w:color w:val="000000" w:themeColor="text1"/>
          <w:szCs w:val="21"/>
          <w:highlight w:val="none"/>
          <w14:textFill>
            <w14:solidFill>
              <w14:schemeClr w14:val="tx1"/>
            </w14:solidFill>
          </w14:textFill>
        </w:rPr>
        <w:t>月</w:t>
      </w:r>
      <w:r>
        <w:rPr>
          <w:rFonts w:hint="eastAsia"/>
          <w:bCs/>
          <w:color w:val="000000" w:themeColor="text1"/>
          <w:szCs w:val="21"/>
          <w:highlight w:val="none"/>
          <w:lang w:eastAsia="zh-CN"/>
          <w14:textFill>
            <w14:solidFill>
              <w14:schemeClr w14:val="tx1"/>
            </w14:solidFill>
          </w14:textFill>
        </w:rPr>
        <w:t>X</w:t>
      </w:r>
      <w:r>
        <w:rPr>
          <w:rFonts w:hint="eastAsia" w:ascii="Times New Roman" w:hAnsi="Times New Roman"/>
          <w:bCs/>
          <w:color w:val="000000" w:themeColor="text1"/>
          <w:szCs w:val="21"/>
          <w:highlight w:val="none"/>
          <w14:textFill>
            <w14:solidFill>
              <w14:schemeClr w14:val="tx1"/>
            </w14:solidFill>
          </w14:textFill>
        </w:rPr>
        <w:t>日开始，现场调查和在线调查应于</w:t>
      </w:r>
      <w:r>
        <w:rPr>
          <w:rFonts w:hint="eastAsia"/>
          <w:bCs/>
          <w:color w:val="000000" w:themeColor="text1"/>
          <w:szCs w:val="21"/>
          <w:highlight w:val="none"/>
          <w:lang w:val="en-US" w:eastAsia="zh-CN"/>
          <w14:textFill>
            <w14:solidFill>
              <w14:schemeClr w14:val="tx1"/>
            </w14:solidFill>
          </w14:textFill>
        </w:rPr>
        <w:t>2022年X</w:t>
      </w:r>
      <w:r>
        <w:rPr>
          <w:rFonts w:hint="eastAsia" w:ascii="Times New Roman" w:hAnsi="Times New Roman"/>
          <w:bCs/>
          <w:color w:val="000000" w:themeColor="text1"/>
          <w:szCs w:val="21"/>
          <w:highlight w:val="none"/>
          <w14:textFill>
            <w14:solidFill>
              <w14:schemeClr w14:val="tx1"/>
            </w14:solidFill>
          </w14:textFill>
        </w:rPr>
        <w:t>月</w:t>
      </w:r>
      <w:r>
        <w:rPr>
          <w:rFonts w:hint="eastAsia"/>
          <w:bCs/>
          <w:color w:val="000000" w:themeColor="text1"/>
          <w:szCs w:val="21"/>
          <w:highlight w:val="none"/>
          <w:lang w:val="en-US" w:eastAsia="zh-CN"/>
          <w14:textFill>
            <w14:solidFill>
              <w14:schemeClr w14:val="tx1"/>
            </w14:solidFill>
          </w14:textFill>
        </w:rPr>
        <w:t>X</w:t>
      </w:r>
      <w:r>
        <w:rPr>
          <w:rFonts w:hint="eastAsia" w:ascii="Times New Roman" w:hAnsi="Times New Roman"/>
          <w:bCs/>
          <w:color w:val="000000" w:themeColor="text1"/>
          <w:szCs w:val="21"/>
          <w:highlight w:val="none"/>
          <w14:textFill>
            <w14:solidFill>
              <w14:schemeClr w14:val="tx1"/>
            </w14:solidFill>
          </w14:textFill>
        </w:rPr>
        <w:t>日之前完成；第二期项目现场调查工作不晚于</w:t>
      </w:r>
      <w:r>
        <w:rPr>
          <w:rFonts w:hint="eastAsia"/>
          <w:bCs/>
          <w:color w:val="000000" w:themeColor="text1"/>
          <w:szCs w:val="21"/>
          <w:highlight w:val="none"/>
          <w:lang w:val="en-US" w:eastAsia="zh-CN"/>
          <w14:textFill>
            <w14:solidFill>
              <w14:schemeClr w14:val="tx1"/>
            </w14:solidFill>
          </w14:textFill>
        </w:rPr>
        <w:t>2022年</w:t>
      </w:r>
      <w:r>
        <w:rPr>
          <w:rFonts w:ascii="Times New Roman" w:hAnsi="Times New Roman"/>
          <w:bCs/>
          <w:color w:val="000000" w:themeColor="text1"/>
          <w:szCs w:val="21"/>
          <w:highlight w:val="none"/>
          <w14:textFill>
            <w14:solidFill>
              <w14:schemeClr w14:val="tx1"/>
            </w14:solidFill>
          </w14:textFill>
        </w:rPr>
        <w:t>12</w:t>
      </w:r>
      <w:r>
        <w:rPr>
          <w:rFonts w:hint="eastAsia" w:ascii="Times New Roman" w:hAnsi="Times New Roman"/>
          <w:bCs/>
          <w:color w:val="000000" w:themeColor="text1"/>
          <w:szCs w:val="21"/>
          <w:highlight w:val="none"/>
          <w14:textFill>
            <w14:solidFill>
              <w14:schemeClr w14:val="tx1"/>
            </w14:solidFill>
          </w14:textFill>
        </w:rPr>
        <w:t>月15日开始，第二期现场调查和在线调查应于</w:t>
      </w:r>
      <w:r>
        <w:rPr>
          <w:rFonts w:hint="eastAsia"/>
          <w:bCs/>
          <w:color w:val="000000" w:themeColor="text1"/>
          <w:szCs w:val="21"/>
          <w:highlight w:val="none"/>
          <w:lang w:val="en-US" w:eastAsia="zh-CN"/>
          <w14:textFill>
            <w14:solidFill>
              <w14:schemeClr w14:val="tx1"/>
            </w14:solidFill>
          </w14:textFill>
        </w:rPr>
        <w:t>2022年</w:t>
      </w:r>
      <w:r>
        <w:rPr>
          <w:rFonts w:ascii="Times New Roman" w:hAnsi="Times New Roman"/>
          <w:bCs/>
          <w:color w:val="000000" w:themeColor="text1"/>
          <w:szCs w:val="21"/>
          <w:highlight w:val="none"/>
          <w14:textFill>
            <w14:solidFill>
              <w14:schemeClr w14:val="tx1"/>
            </w14:solidFill>
          </w14:textFill>
        </w:rPr>
        <w:t>12</w:t>
      </w:r>
      <w:r>
        <w:rPr>
          <w:rFonts w:hint="eastAsia" w:ascii="Times New Roman" w:hAnsi="Times New Roman"/>
          <w:bCs/>
          <w:color w:val="000000" w:themeColor="text1"/>
          <w:szCs w:val="21"/>
          <w:highlight w:val="none"/>
          <w14:textFill>
            <w14:solidFill>
              <w14:schemeClr w14:val="tx1"/>
            </w14:solidFill>
          </w14:textFill>
        </w:rPr>
        <w:t>月</w:t>
      </w:r>
      <w:r>
        <w:rPr>
          <w:rFonts w:ascii="Times New Roman" w:hAnsi="Times New Roman"/>
          <w:bCs/>
          <w:color w:val="000000" w:themeColor="text1"/>
          <w:szCs w:val="21"/>
          <w:highlight w:val="none"/>
          <w14:textFill>
            <w14:solidFill>
              <w14:schemeClr w14:val="tx1"/>
            </w14:solidFill>
          </w14:textFill>
        </w:rPr>
        <w:t>31</w:t>
      </w:r>
      <w:r>
        <w:rPr>
          <w:rFonts w:hint="eastAsia" w:ascii="Times New Roman" w:hAnsi="Times New Roman"/>
          <w:bCs/>
          <w:color w:val="000000" w:themeColor="text1"/>
          <w:szCs w:val="21"/>
          <w:highlight w:val="none"/>
          <w14:textFill>
            <w14:solidFill>
              <w14:schemeClr w14:val="tx1"/>
            </w14:solidFill>
          </w14:textFill>
        </w:rPr>
        <w:t>日之前完成</w:t>
      </w:r>
      <w:r>
        <w:rPr>
          <w:rFonts w:hint="eastAsia"/>
          <w:bCs/>
          <w:color w:val="000000" w:themeColor="text1"/>
          <w:szCs w:val="21"/>
          <w:highlight w:val="none"/>
          <w:lang w:eastAsia="zh-CN"/>
          <w14:textFill>
            <w14:solidFill>
              <w14:schemeClr w14:val="tx1"/>
            </w14:solidFill>
          </w14:textFill>
        </w:rPr>
        <w:t>。</w:t>
      </w:r>
    </w:p>
    <w:p>
      <w:pPr>
        <w:widowControl w:val="0"/>
        <w:numPr>
          <w:ilvl w:val="-1"/>
          <w:numId w:val="0"/>
        </w:numPr>
        <w:kinsoku/>
        <w:overflowPunct/>
        <w:topLinePunct w:val="0"/>
        <w:bidi w:val="0"/>
        <w:spacing w:line="360" w:lineRule="exact"/>
        <w:ind w:left="0" w:firstLine="402" w:firstLineChars="200"/>
        <w:rPr>
          <w:rFonts w:ascii="Times New Roman" w:hAnsi="Times New Roman"/>
          <w:bCs/>
          <w:color w:val="000000" w:themeColor="text1"/>
          <w:szCs w:val="21"/>
          <w:highlight w:val="none"/>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4.2  2023年和2024年的项目</w:t>
      </w:r>
      <w:r>
        <w:rPr>
          <w:rFonts w:hint="eastAsia" w:ascii="Times New Roman" w:hAnsi="Times New Roman"/>
          <w:bCs/>
          <w:color w:val="000000" w:themeColor="text1"/>
          <w:szCs w:val="21"/>
          <w:highlight w:val="none"/>
          <w14:textFill>
            <w14:solidFill>
              <w14:schemeClr w14:val="tx1"/>
            </w14:solidFill>
          </w14:textFill>
        </w:rPr>
        <w:t>现场调查不晚于</w:t>
      </w:r>
      <w:r>
        <w:rPr>
          <w:rFonts w:hint="eastAsia" w:ascii="Times New Roman" w:hAnsi="Times New Roman"/>
          <w:bCs/>
          <w:color w:val="000000" w:themeColor="text1"/>
          <w:szCs w:val="21"/>
          <w:highlight w:val="none"/>
          <w:lang w:val="en-US" w:eastAsia="zh-CN"/>
          <w14:textFill>
            <w14:solidFill>
              <w14:schemeClr w14:val="tx1"/>
            </w14:solidFill>
          </w14:textFill>
        </w:rPr>
        <w:t>当年的</w:t>
      </w:r>
      <w:r>
        <w:rPr>
          <w:rFonts w:hint="eastAsia"/>
          <w:bCs/>
          <w:color w:val="000000" w:themeColor="text1"/>
          <w:szCs w:val="21"/>
          <w:highlight w:val="none"/>
          <w:lang w:val="en-US" w:eastAsia="zh-CN"/>
          <w14:textFill>
            <w14:solidFill>
              <w14:schemeClr w14:val="tx1"/>
            </w14:solidFill>
          </w14:textFill>
        </w:rPr>
        <w:t>6</w:t>
      </w:r>
      <w:r>
        <w:rPr>
          <w:rFonts w:hint="eastAsia" w:ascii="Times New Roman" w:hAnsi="Times New Roman"/>
          <w:bCs/>
          <w:color w:val="000000" w:themeColor="text1"/>
          <w:szCs w:val="21"/>
          <w:highlight w:val="none"/>
          <w14:textFill>
            <w14:solidFill>
              <w14:schemeClr w14:val="tx1"/>
            </w14:solidFill>
          </w14:textFill>
        </w:rPr>
        <w:t>月</w:t>
      </w:r>
      <w:r>
        <w:rPr>
          <w:rFonts w:hint="eastAsia"/>
          <w:bCs/>
          <w:color w:val="000000" w:themeColor="text1"/>
          <w:szCs w:val="21"/>
          <w:highlight w:val="none"/>
          <w:lang w:val="en-US" w:eastAsia="zh-CN"/>
          <w14:textFill>
            <w14:solidFill>
              <w14:schemeClr w14:val="tx1"/>
            </w14:solidFill>
          </w14:textFill>
        </w:rPr>
        <w:t>15</w:t>
      </w:r>
      <w:r>
        <w:rPr>
          <w:rFonts w:hint="eastAsia" w:ascii="Times New Roman" w:hAnsi="Times New Roman"/>
          <w:bCs/>
          <w:color w:val="000000" w:themeColor="text1"/>
          <w:szCs w:val="21"/>
          <w:highlight w:val="none"/>
          <w14:textFill>
            <w14:solidFill>
              <w14:schemeClr w14:val="tx1"/>
            </w14:solidFill>
          </w14:textFill>
        </w:rPr>
        <w:t>日开始，现场调查和在线调查应于</w:t>
      </w:r>
      <w:r>
        <w:rPr>
          <w:rFonts w:hint="eastAsia" w:ascii="Times New Roman" w:hAnsi="Times New Roman"/>
          <w:bCs/>
          <w:color w:val="000000" w:themeColor="text1"/>
          <w:szCs w:val="21"/>
          <w:highlight w:val="none"/>
          <w:lang w:val="en-US" w:eastAsia="zh-CN"/>
          <w14:textFill>
            <w14:solidFill>
              <w14:schemeClr w14:val="tx1"/>
            </w14:solidFill>
          </w14:textFill>
        </w:rPr>
        <w:t>当年</w:t>
      </w:r>
      <w:r>
        <w:rPr>
          <w:rFonts w:hint="eastAsia"/>
          <w:bCs/>
          <w:color w:val="000000" w:themeColor="text1"/>
          <w:szCs w:val="21"/>
          <w:highlight w:val="none"/>
          <w:lang w:val="en-US" w:eastAsia="zh-CN"/>
          <w14:textFill>
            <w14:solidFill>
              <w14:schemeClr w14:val="tx1"/>
            </w14:solidFill>
          </w14:textFill>
        </w:rPr>
        <w:t>6</w:t>
      </w:r>
      <w:r>
        <w:rPr>
          <w:rFonts w:hint="eastAsia" w:ascii="Times New Roman" w:hAnsi="Times New Roman"/>
          <w:bCs/>
          <w:color w:val="000000" w:themeColor="text1"/>
          <w:szCs w:val="21"/>
          <w:highlight w:val="none"/>
          <w14:textFill>
            <w14:solidFill>
              <w14:schemeClr w14:val="tx1"/>
            </w14:solidFill>
          </w14:textFill>
        </w:rPr>
        <w:t>月</w:t>
      </w:r>
      <w:r>
        <w:rPr>
          <w:rFonts w:hint="eastAsia"/>
          <w:bCs/>
          <w:color w:val="000000" w:themeColor="text1"/>
          <w:szCs w:val="21"/>
          <w:highlight w:val="none"/>
          <w:lang w:val="en-US" w:eastAsia="zh-CN"/>
          <w14:textFill>
            <w14:solidFill>
              <w14:schemeClr w14:val="tx1"/>
            </w14:solidFill>
          </w14:textFill>
        </w:rPr>
        <w:t>30</w:t>
      </w:r>
      <w:r>
        <w:rPr>
          <w:rFonts w:hint="eastAsia" w:ascii="Times New Roman" w:hAnsi="Times New Roman"/>
          <w:bCs/>
          <w:color w:val="000000" w:themeColor="text1"/>
          <w:szCs w:val="21"/>
          <w:highlight w:val="none"/>
          <w14:textFill>
            <w14:solidFill>
              <w14:schemeClr w14:val="tx1"/>
            </w14:solidFill>
          </w14:textFill>
        </w:rPr>
        <w:t>日之前完成；第二期项目现场调查工作不晚于</w:t>
      </w:r>
      <w:r>
        <w:rPr>
          <w:rFonts w:hint="eastAsia"/>
          <w:bCs/>
          <w:color w:val="000000" w:themeColor="text1"/>
          <w:szCs w:val="21"/>
          <w:highlight w:val="none"/>
          <w:lang w:val="en-US" w:eastAsia="zh-CN"/>
          <w14:textFill>
            <w14:solidFill>
              <w14:schemeClr w14:val="tx1"/>
            </w14:solidFill>
          </w14:textFill>
        </w:rPr>
        <w:t>当年</w:t>
      </w:r>
      <w:r>
        <w:rPr>
          <w:rFonts w:ascii="Times New Roman" w:hAnsi="Times New Roman"/>
          <w:bCs/>
          <w:color w:val="000000" w:themeColor="text1"/>
          <w:szCs w:val="21"/>
          <w:highlight w:val="none"/>
          <w14:textFill>
            <w14:solidFill>
              <w14:schemeClr w14:val="tx1"/>
            </w14:solidFill>
          </w14:textFill>
        </w:rPr>
        <w:t>12</w:t>
      </w:r>
      <w:r>
        <w:rPr>
          <w:rFonts w:hint="eastAsia" w:ascii="Times New Roman" w:hAnsi="Times New Roman"/>
          <w:bCs/>
          <w:color w:val="000000" w:themeColor="text1"/>
          <w:szCs w:val="21"/>
          <w:highlight w:val="none"/>
          <w14:textFill>
            <w14:solidFill>
              <w14:schemeClr w14:val="tx1"/>
            </w14:solidFill>
          </w14:textFill>
        </w:rPr>
        <w:t>月15日开始，第二期现场调查和在线调查应于</w:t>
      </w:r>
      <w:r>
        <w:rPr>
          <w:rFonts w:hint="eastAsia"/>
          <w:bCs/>
          <w:color w:val="000000" w:themeColor="text1"/>
          <w:szCs w:val="21"/>
          <w:highlight w:val="none"/>
          <w:lang w:val="en-US" w:eastAsia="zh-CN"/>
          <w14:textFill>
            <w14:solidFill>
              <w14:schemeClr w14:val="tx1"/>
            </w14:solidFill>
          </w14:textFill>
        </w:rPr>
        <w:t>当年</w:t>
      </w:r>
      <w:r>
        <w:rPr>
          <w:rFonts w:ascii="Times New Roman" w:hAnsi="Times New Roman"/>
          <w:bCs/>
          <w:color w:val="000000" w:themeColor="text1"/>
          <w:szCs w:val="21"/>
          <w:highlight w:val="none"/>
          <w14:textFill>
            <w14:solidFill>
              <w14:schemeClr w14:val="tx1"/>
            </w14:solidFill>
          </w14:textFill>
        </w:rPr>
        <w:t>12</w:t>
      </w:r>
      <w:r>
        <w:rPr>
          <w:rFonts w:hint="eastAsia" w:ascii="Times New Roman" w:hAnsi="Times New Roman"/>
          <w:bCs/>
          <w:color w:val="000000" w:themeColor="text1"/>
          <w:szCs w:val="21"/>
          <w:highlight w:val="none"/>
          <w14:textFill>
            <w14:solidFill>
              <w14:schemeClr w14:val="tx1"/>
            </w14:solidFill>
          </w14:textFill>
        </w:rPr>
        <w:t>月</w:t>
      </w:r>
      <w:r>
        <w:rPr>
          <w:rFonts w:ascii="Times New Roman" w:hAnsi="Times New Roman"/>
          <w:bCs/>
          <w:color w:val="000000" w:themeColor="text1"/>
          <w:szCs w:val="21"/>
          <w:highlight w:val="none"/>
          <w14:textFill>
            <w14:solidFill>
              <w14:schemeClr w14:val="tx1"/>
            </w14:solidFill>
          </w14:textFill>
        </w:rPr>
        <w:t>31</w:t>
      </w:r>
      <w:r>
        <w:rPr>
          <w:rFonts w:hint="eastAsia" w:ascii="Times New Roman" w:hAnsi="Times New Roman"/>
          <w:bCs/>
          <w:color w:val="000000" w:themeColor="text1"/>
          <w:szCs w:val="21"/>
          <w:highlight w:val="none"/>
          <w14:textFill>
            <w14:solidFill>
              <w14:schemeClr w14:val="tx1"/>
            </w14:solidFill>
          </w14:textFill>
        </w:rPr>
        <w:t>日之前完成</w:t>
      </w:r>
      <w:r>
        <w:rPr>
          <w:rFonts w:hint="eastAsia"/>
          <w:bCs/>
          <w:color w:val="000000" w:themeColor="text1"/>
          <w:szCs w:val="21"/>
          <w:highlight w:val="none"/>
          <w:lang w:eastAsia="zh-CN"/>
          <w14:textFill>
            <w14:solidFill>
              <w14:schemeClr w14:val="tx1"/>
            </w14:solidFill>
          </w14:textFill>
        </w:rPr>
        <w:t>。</w:t>
      </w:r>
    </w:p>
    <w:p>
      <w:pPr>
        <w:widowControl w:val="0"/>
        <w:numPr>
          <w:ilvl w:val="0"/>
          <w:numId w:val="0"/>
        </w:numPr>
        <w:spacing w:line="360" w:lineRule="exact"/>
        <w:ind w:firstLine="402" w:firstLineChars="200"/>
        <w:rPr>
          <w:rFonts w:ascii="仿宋_GB2312" w:hAnsi="Times New Roman"/>
          <w:color w:val="000000" w:themeColor="text1"/>
          <w:szCs w:val="28"/>
          <w:highlight w:val="none"/>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4.3 上述项目服务具体开展时间按照甲方通知为准。</w:t>
      </w:r>
    </w:p>
    <w:p>
      <w:pPr>
        <w:widowControl w:val="0"/>
        <w:numPr>
          <w:ilvl w:val="-1"/>
          <w:numId w:val="0"/>
        </w:numPr>
        <w:kinsoku/>
        <w:overflowPunct/>
        <w:topLinePunct w:val="0"/>
        <w:bidi w:val="0"/>
        <w:spacing w:line="360" w:lineRule="exact"/>
        <w:ind w:left="0" w:firstLine="402" w:firstLineChars="200"/>
        <w:rPr>
          <w:rFonts w:ascii="Times New Roman" w:hAnsi="Times New Roman"/>
          <w:color w:val="000000" w:themeColor="text1"/>
          <w:szCs w:val="21"/>
          <w:highlight w:val="none"/>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4.4</w:t>
      </w:r>
      <w:r>
        <w:rPr>
          <w:rFonts w:hint="eastAsia" w:ascii="Times New Roman" w:hAnsi="Times New Roman" w:cs="宋体"/>
          <w:color w:val="000000" w:themeColor="text1"/>
          <w:szCs w:val="21"/>
          <w:highlight w:val="none"/>
          <w14:textFill>
            <w14:solidFill>
              <w14:schemeClr w14:val="tx1"/>
            </w14:solidFill>
          </w14:textFill>
        </w:rPr>
        <w:t>中期报告：</w:t>
      </w:r>
      <w:r>
        <w:rPr>
          <w:rFonts w:hint="eastAsia" w:cs="宋体"/>
          <w:color w:val="000000" w:themeColor="text1"/>
          <w:szCs w:val="21"/>
          <w:highlight w:val="none"/>
          <w:lang w:val="en-US" w:eastAsia="zh-CN"/>
          <w14:textFill>
            <w14:solidFill>
              <w14:schemeClr w14:val="tx1"/>
            </w14:solidFill>
          </w14:textFill>
        </w:rPr>
        <w:t>每年8</w:t>
      </w:r>
      <w:r>
        <w:rPr>
          <w:rFonts w:hint="eastAsia" w:ascii="Times New Roman" w:hAnsi="Times New Roman" w:cs="宋体"/>
          <w:color w:val="000000" w:themeColor="text1"/>
          <w:szCs w:val="21"/>
          <w:highlight w:val="none"/>
          <w14:textFill>
            <w14:solidFill>
              <w14:schemeClr w14:val="tx1"/>
            </w14:solidFill>
          </w14:textFill>
        </w:rPr>
        <w:t>月15日前提交</w:t>
      </w:r>
      <w:r>
        <w:rPr>
          <w:rFonts w:hint="eastAsia" w:cs="宋体"/>
          <w:color w:val="000000" w:themeColor="text1"/>
          <w:szCs w:val="21"/>
          <w:highlight w:val="none"/>
          <w:lang w:val="en-US" w:eastAsia="zh-CN"/>
          <w14:textFill>
            <w14:solidFill>
              <w14:schemeClr w14:val="tx1"/>
            </w14:solidFill>
          </w14:textFill>
        </w:rPr>
        <w:t>本</w:t>
      </w:r>
      <w:r>
        <w:rPr>
          <w:rFonts w:hint="eastAsia" w:ascii="Times New Roman" w:hAnsi="Times New Roman" w:cs="宋体"/>
          <w:color w:val="000000" w:themeColor="text1"/>
          <w:szCs w:val="21"/>
          <w:highlight w:val="none"/>
          <w14:textFill>
            <w14:solidFill>
              <w14:schemeClr w14:val="tx1"/>
            </w14:solidFill>
          </w14:textFill>
        </w:rPr>
        <w:t>年度中期数据分析报告</w:t>
      </w:r>
      <w:r>
        <w:rPr>
          <w:rFonts w:hint="eastAsia" w:cs="宋体"/>
          <w:color w:val="000000" w:themeColor="text1"/>
          <w:szCs w:val="21"/>
          <w:highlight w:val="none"/>
          <w:lang w:val="en-US" w:eastAsia="zh-CN"/>
          <w14:textFill>
            <w14:solidFill>
              <w14:schemeClr w14:val="tx1"/>
            </w14:solidFill>
          </w14:textFill>
        </w:rPr>
        <w:t>3</w:t>
      </w:r>
      <w:r>
        <w:rPr>
          <w:rFonts w:hint="eastAsia" w:ascii="Times New Roman" w:hAnsi="Times New Roman" w:cs="宋体"/>
          <w:color w:val="000000" w:themeColor="text1"/>
          <w:szCs w:val="21"/>
          <w:highlight w:val="none"/>
          <w14:textFill>
            <w14:solidFill>
              <w14:schemeClr w14:val="tx1"/>
            </w14:solidFill>
          </w14:textFill>
        </w:rPr>
        <w:t>0本及相关电子文件。</w:t>
      </w:r>
    </w:p>
    <w:p>
      <w:pPr>
        <w:widowControl w:val="0"/>
        <w:numPr>
          <w:ilvl w:val="-1"/>
          <w:numId w:val="0"/>
        </w:numPr>
        <w:kinsoku/>
        <w:overflowPunct/>
        <w:topLinePunct w:val="0"/>
        <w:bidi w:val="0"/>
        <w:spacing w:line="360" w:lineRule="exact"/>
        <w:ind w:left="0" w:firstLine="402" w:firstLineChars="200"/>
        <w:rPr>
          <w:rFonts w:ascii="Times New Roman" w:hAnsi="Times New Roman"/>
          <w:color w:val="000000" w:themeColor="text1"/>
          <w:szCs w:val="21"/>
          <w:highlight w:val="none"/>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4.5</w:t>
      </w:r>
      <w:r>
        <w:rPr>
          <w:rFonts w:hint="eastAsia" w:ascii="Times New Roman" w:hAnsi="Times New Roman" w:cs="宋体"/>
          <w:color w:val="000000" w:themeColor="text1"/>
          <w:szCs w:val="21"/>
          <w:highlight w:val="none"/>
          <w14:textFill>
            <w14:solidFill>
              <w14:schemeClr w14:val="tx1"/>
            </w14:solidFill>
          </w14:textFill>
        </w:rPr>
        <w:t>年度报告：</w:t>
      </w:r>
      <w:r>
        <w:rPr>
          <w:rFonts w:hint="eastAsia" w:cs="宋体"/>
          <w:color w:val="000000" w:themeColor="text1"/>
          <w:szCs w:val="21"/>
          <w:highlight w:val="none"/>
          <w:lang w:val="en-US" w:eastAsia="zh-CN"/>
          <w14:textFill>
            <w14:solidFill>
              <w14:schemeClr w14:val="tx1"/>
            </w14:solidFill>
          </w14:textFill>
        </w:rPr>
        <w:t>每年</w:t>
      </w:r>
      <w:r>
        <w:rPr>
          <w:rFonts w:hint="eastAsia" w:ascii="Times New Roman" w:hAnsi="Times New Roman" w:cs="宋体"/>
          <w:color w:val="000000" w:themeColor="text1"/>
          <w:szCs w:val="21"/>
          <w:highlight w:val="none"/>
          <w14:textFill>
            <w14:solidFill>
              <w14:schemeClr w14:val="tx1"/>
            </w14:solidFill>
          </w14:textFill>
        </w:rPr>
        <w:t>2月28日前向甲方提交</w:t>
      </w:r>
      <w:r>
        <w:rPr>
          <w:rFonts w:hint="eastAsia" w:cs="宋体"/>
          <w:color w:val="000000" w:themeColor="text1"/>
          <w:szCs w:val="21"/>
          <w:highlight w:val="none"/>
          <w:lang w:val="en-US" w:eastAsia="zh-CN"/>
          <w14:textFill>
            <w14:solidFill>
              <w14:schemeClr w14:val="tx1"/>
            </w14:solidFill>
          </w14:textFill>
        </w:rPr>
        <w:t>上一次</w:t>
      </w:r>
      <w:r>
        <w:rPr>
          <w:rFonts w:hint="eastAsia" w:ascii="Times New Roman" w:hAnsi="Times New Roman" w:cs="宋体"/>
          <w:color w:val="000000" w:themeColor="text1"/>
          <w:szCs w:val="21"/>
          <w:highlight w:val="none"/>
          <w14:textFill>
            <w14:solidFill>
              <w14:schemeClr w14:val="tx1"/>
            </w14:solidFill>
          </w14:textFill>
        </w:rPr>
        <w:t>年度报告</w:t>
      </w:r>
      <w:r>
        <w:rPr>
          <w:rFonts w:hint="eastAsia" w:cs="宋体"/>
          <w:color w:val="000000" w:themeColor="text1"/>
          <w:szCs w:val="21"/>
          <w:highlight w:val="none"/>
          <w:lang w:val="en-US" w:eastAsia="zh-CN"/>
          <w14:textFill>
            <w14:solidFill>
              <w14:schemeClr w14:val="tx1"/>
            </w14:solidFill>
          </w14:textFill>
        </w:rPr>
        <w:t>3</w:t>
      </w:r>
      <w:r>
        <w:rPr>
          <w:rFonts w:hint="eastAsia" w:ascii="Times New Roman" w:hAnsi="Times New Roman" w:cs="宋体"/>
          <w:color w:val="000000" w:themeColor="text1"/>
          <w:szCs w:val="21"/>
          <w:highlight w:val="none"/>
          <w14:textFill>
            <w14:solidFill>
              <w14:schemeClr w14:val="tx1"/>
            </w14:solidFill>
          </w14:textFill>
        </w:rPr>
        <w:t>0本及相关电子文件。</w:t>
      </w:r>
    </w:p>
    <w:p>
      <w:pPr>
        <w:widowControl w:val="0"/>
        <w:numPr>
          <w:ilvl w:val="-1"/>
          <w:numId w:val="0"/>
        </w:numPr>
        <w:tabs>
          <w:tab w:val="left" w:pos="810"/>
        </w:tabs>
        <w:kinsoku/>
        <w:overflowPunct/>
        <w:topLinePunct w:val="0"/>
        <w:bidi w:val="0"/>
        <w:spacing w:line="360" w:lineRule="exact"/>
        <w:ind w:left="0" w:firstLine="402" w:firstLineChars="200"/>
        <w:rPr>
          <w:rFonts w:ascii="Times New Roman" w:hAnsi="Times New Roman"/>
          <w:color w:val="000000" w:themeColor="text1"/>
          <w:szCs w:val="21"/>
          <w:highlight w:val="none"/>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4.6</w:t>
      </w:r>
      <w:r>
        <w:rPr>
          <w:rFonts w:hint="eastAsia" w:ascii="Times New Roman" w:hAnsi="Times New Roman" w:cs="宋体"/>
          <w:color w:val="000000" w:themeColor="text1"/>
          <w:szCs w:val="21"/>
          <w:highlight w:val="none"/>
          <w14:textFill>
            <w14:solidFill>
              <w14:schemeClr w14:val="tx1"/>
            </w14:solidFill>
          </w14:textFill>
        </w:rPr>
        <w:t>报告会：按甲方要求时间</w:t>
      </w:r>
      <w:r>
        <w:rPr>
          <w:rFonts w:hint="eastAsia" w:cs="宋体"/>
          <w:color w:val="000000" w:themeColor="text1"/>
          <w:szCs w:val="21"/>
          <w:highlight w:val="none"/>
          <w:lang w:val="en-US" w:eastAsia="zh-CN"/>
          <w14:textFill>
            <w14:solidFill>
              <w14:schemeClr w14:val="tx1"/>
            </w14:solidFill>
          </w14:textFill>
        </w:rPr>
        <w:t>至少</w:t>
      </w:r>
      <w:r>
        <w:rPr>
          <w:rFonts w:hint="eastAsia" w:ascii="Times New Roman" w:hAnsi="Times New Roman" w:cs="宋体"/>
          <w:color w:val="000000" w:themeColor="text1"/>
          <w:szCs w:val="21"/>
          <w:highlight w:val="none"/>
          <w14:textFill>
            <w14:solidFill>
              <w14:schemeClr w14:val="tx1"/>
            </w14:solidFill>
          </w14:textFill>
        </w:rPr>
        <w:t>完成</w:t>
      </w:r>
      <w:r>
        <w:rPr>
          <w:rFonts w:ascii="Times New Roman" w:hAnsi="Times New Roman"/>
          <w:color w:val="000000" w:themeColor="text1"/>
          <w:szCs w:val="21"/>
          <w:highlight w:val="none"/>
          <w14:textFill>
            <w14:solidFill>
              <w14:schemeClr w14:val="tx1"/>
            </w14:solidFill>
          </w14:textFill>
        </w:rPr>
        <w:t>1</w:t>
      </w:r>
      <w:r>
        <w:rPr>
          <w:rFonts w:hint="eastAsia" w:ascii="Times New Roman" w:hAnsi="Times New Roman" w:cs="宋体"/>
          <w:color w:val="000000" w:themeColor="text1"/>
          <w:szCs w:val="21"/>
          <w:highlight w:val="none"/>
          <w14:textFill>
            <w14:solidFill>
              <w14:schemeClr w14:val="tx1"/>
            </w14:solidFill>
          </w14:textFill>
        </w:rPr>
        <w:t>场服务讲评报告会。</w:t>
      </w:r>
    </w:p>
    <w:p>
      <w:pPr>
        <w:keepNext/>
        <w:keepLines/>
        <w:widowControl w:val="0"/>
        <w:kinsoku/>
        <w:overflowPunct/>
        <w:topLinePunct w:val="0"/>
        <w:bidi w:val="0"/>
        <w:spacing w:before="260" w:after="260" w:line="360" w:lineRule="exact"/>
        <w:outlineLvl w:val="2"/>
        <w:rPr>
          <w:rFonts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第</w:t>
      </w:r>
      <w:r>
        <w:rPr>
          <w:rFonts w:ascii="Times New Roman" w:hAnsi="Times New Roman"/>
          <w:b/>
          <w:bCs/>
          <w:color w:val="000000" w:themeColor="text1"/>
          <w:szCs w:val="21"/>
          <w:highlight w:val="none"/>
          <w14:textFill>
            <w14:solidFill>
              <w14:schemeClr w14:val="tx1"/>
            </w14:solidFill>
          </w14:textFill>
        </w:rPr>
        <w:t>5</w:t>
      </w:r>
      <w:r>
        <w:rPr>
          <w:rFonts w:hint="eastAsia" w:ascii="Times New Roman" w:hAnsi="Times New Roman" w:cs="宋体"/>
          <w:b/>
          <w:bCs/>
          <w:color w:val="000000" w:themeColor="text1"/>
          <w:szCs w:val="21"/>
          <w:highlight w:val="none"/>
          <w14:textFill>
            <w14:solidFill>
              <w14:schemeClr w14:val="tx1"/>
            </w14:solidFill>
          </w14:textFill>
        </w:rPr>
        <w:t>条</w:t>
      </w:r>
      <w:r>
        <w:rPr>
          <w:rFonts w:ascii="Times New Roman" w:hAnsi="Times New Roman"/>
          <w:b/>
          <w:bCs/>
          <w:color w:val="000000" w:themeColor="text1"/>
          <w:szCs w:val="21"/>
          <w:highlight w:val="none"/>
          <w14:textFill>
            <w14:solidFill>
              <w14:schemeClr w14:val="tx1"/>
            </w14:solidFill>
          </w14:textFill>
        </w:rPr>
        <w:t xml:space="preserve"> </w:t>
      </w:r>
      <w:r>
        <w:rPr>
          <w:rFonts w:hint="eastAsia" w:ascii="Times New Roman" w:hAnsi="Times New Roman" w:cs="宋体"/>
          <w:b/>
          <w:bCs/>
          <w:color w:val="000000" w:themeColor="text1"/>
          <w:szCs w:val="21"/>
          <w:highlight w:val="none"/>
          <w14:textFill>
            <w14:solidFill>
              <w14:schemeClr w14:val="tx1"/>
            </w14:solidFill>
          </w14:textFill>
        </w:rPr>
        <w:t>甲方的权利和义务</w:t>
      </w:r>
    </w:p>
    <w:p>
      <w:pPr>
        <w:widowControl w:val="0"/>
        <w:numPr>
          <w:ilvl w:val="1"/>
          <w:numId w:val="7"/>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甲方应向乙方具体清楚说明调研项目要求，作为乙方具体操作的依据。</w:t>
      </w:r>
    </w:p>
    <w:p>
      <w:pPr>
        <w:widowControl w:val="0"/>
        <w:numPr>
          <w:ilvl w:val="1"/>
          <w:numId w:val="7"/>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宋体"/>
          <w:color w:val="000000" w:themeColor="text1"/>
          <w:szCs w:val="21"/>
          <w:highlight w:val="none"/>
          <w14:textFill>
            <w14:solidFill>
              <w14:schemeClr w14:val="tx1"/>
            </w14:solidFill>
          </w14:textFill>
        </w:rPr>
        <w:t>甲方有权对乙方提供的报告进行分析、审核、组织相关专家评审和提出意见，乙方应按甲方的要求进行修改和完善，最终由甲方出具的书面确认视为符合合同约定的要求。</w:t>
      </w:r>
    </w:p>
    <w:p>
      <w:pPr>
        <w:widowControl w:val="0"/>
        <w:numPr>
          <w:ilvl w:val="1"/>
          <w:numId w:val="7"/>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甲方有权对乙方的工作情况进行全面监督，甲方有权随时对乙方的项目执行过程</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包括</w:t>
      </w:r>
      <w:r>
        <w:rPr>
          <w:rFonts w:hint="eastAsia" w:ascii="Times New Roman" w:hAnsi="Times New Roman"/>
          <w:color w:val="000000" w:themeColor="text1"/>
          <w:szCs w:val="21"/>
          <w:highlight w:val="none"/>
          <w14:textFill>
            <w14:solidFill>
              <w14:schemeClr w14:val="tx1"/>
            </w14:solidFill>
          </w14:textFill>
        </w:rPr>
        <w:t>文件、工作方式、工作效果</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和执行结果进行抽查和陪访，以保障项目的执行质量</w:t>
      </w:r>
      <w:r>
        <w:rPr>
          <w:rFonts w:hint="eastAsia"/>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乙方应予无条件配合。</w:t>
      </w:r>
    </w:p>
    <w:p>
      <w:pPr>
        <w:widowControl w:val="0"/>
        <w:numPr>
          <w:ilvl w:val="1"/>
          <w:numId w:val="7"/>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甲方有权对乙方及乙方的项目团队工作进行检查、监督以及考核，并根据考核结果，向乙方支付</w:t>
      </w:r>
      <w:r>
        <w:rPr>
          <w:rFonts w:hint="eastAsia"/>
          <w:color w:val="000000" w:themeColor="text1"/>
          <w:szCs w:val="21"/>
          <w:highlight w:val="none"/>
          <w:lang w:val="en-US" w:eastAsia="zh-CN"/>
          <w14:textFill>
            <w14:solidFill>
              <w14:schemeClr w14:val="tx1"/>
            </w14:solidFill>
          </w14:textFill>
        </w:rPr>
        <w:t>合同价款以及决定是否续约</w:t>
      </w:r>
      <w:r>
        <w:rPr>
          <w:rFonts w:hint="eastAsia"/>
          <w:color w:val="000000" w:themeColor="text1"/>
          <w:szCs w:val="21"/>
          <w:highlight w:val="none"/>
          <w14:textFill>
            <w14:solidFill>
              <w14:schemeClr w14:val="tx1"/>
            </w14:solidFill>
          </w14:textFill>
        </w:rPr>
        <w:t xml:space="preserve">。 </w:t>
      </w:r>
    </w:p>
    <w:p>
      <w:pPr>
        <w:widowControl w:val="0"/>
        <w:numPr>
          <w:ilvl w:val="1"/>
          <w:numId w:val="7"/>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甲方有权要求乙方及时撤换违反甲方制度或服务达不到标准的</w:t>
      </w:r>
      <w:r>
        <w:rPr>
          <w:rFonts w:hint="eastAsia"/>
          <w:color w:val="000000" w:themeColor="text1"/>
          <w:szCs w:val="21"/>
          <w:highlight w:val="none"/>
          <w:lang w:val="en-US" w:eastAsia="zh-CN"/>
          <w14:textFill>
            <w14:solidFill>
              <w14:schemeClr w14:val="tx1"/>
            </w14:solidFill>
          </w14:textFill>
        </w:rPr>
        <w:t>工作</w:t>
      </w:r>
      <w:r>
        <w:rPr>
          <w:rFonts w:hint="eastAsia"/>
          <w:color w:val="000000" w:themeColor="text1"/>
          <w:szCs w:val="21"/>
          <w:highlight w:val="none"/>
          <w14:textFill>
            <w14:solidFill>
              <w14:schemeClr w14:val="tx1"/>
            </w14:solidFill>
          </w14:textFill>
        </w:rPr>
        <w:t>人员，乙方应在在收到甲方书面通知后2个工作日内更换，直至甲方满意为止。</w:t>
      </w:r>
    </w:p>
    <w:p>
      <w:pPr>
        <w:widowControl w:val="0"/>
        <w:numPr>
          <w:ilvl w:val="1"/>
          <w:numId w:val="7"/>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甲方有权要求乙方就项目中的具体问题及时提供咨询建议</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对于口头咨询乙方应在24小时内予以答复，对于书面咨询乙方应该在2个工作日内予以书面答复。</w:t>
      </w:r>
    </w:p>
    <w:p>
      <w:pPr>
        <w:widowControl w:val="0"/>
        <w:numPr>
          <w:ilvl w:val="1"/>
          <w:numId w:val="7"/>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甲方应准备所能提供的用于本项目的数据，文件和信息；当乙方为了完成本合同的任务而需要使用这些资料信息时，甲方应予以协助。</w:t>
      </w:r>
    </w:p>
    <w:p>
      <w:pPr>
        <w:widowControl w:val="0"/>
        <w:numPr>
          <w:ilvl w:val="1"/>
          <w:numId w:val="7"/>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本项目开展前及过程中，甲方应做好必要的配合和协助工作。</w:t>
      </w:r>
    </w:p>
    <w:p>
      <w:pPr>
        <w:widowControl w:val="0"/>
        <w:numPr>
          <w:ilvl w:val="1"/>
          <w:numId w:val="7"/>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对于乙方以书面形式提交的需甲方作出答复的重要情况和事宜，甲方应</w:t>
      </w:r>
      <w:r>
        <w:rPr>
          <w:rFonts w:hint="eastAsia" w:ascii="Times New Roman" w:hAnsi="Times New Roman" w:cs="宋体"/>
          <w:color w:val="000000" w:themeColor="text1"/>
          <w:szCs w:val="21"/>
          <w:highlight w:val="none"/>
          <w14:textFill>
            <w14:solidFill>
              <w14:schemeClr w14:val="tx1"/>
            </w14:solidFill>
          </w14:textFill>
        </w:rPr>
        <w:t>在合理的时间内作出书面决定或批准。</w:t>
      </w:r>
    </w:p>
    <w:p>
      <w:pPr>
        <w:widowControl w:val="0"/>
        <w:numPr>
          <w:ilvl w:val="1"/>
          <w:numId w:val="7"/>
        </w:numPr>
        <w:kinsoku/>
        <w:overflowPunct/>
        <w:topLinePunct w:val="0"/>
        <w:bidi w:val="0"/>
        <w:spacing w:line="360" w:lineRule="exact"/>
        <w:rPr>
          <w:rFonts w:ascii="宋体"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乙方在甲方场地工作时，甲方向乙方提供必要的配合和协助。</w:t>
      </w:r>
    </w:p>
    <w:p>
      <w:pPr>
        <w:pStyle w:val="66"/>
        <w:widowControl w:val="0"/>
        <w:numPr>
          <w:ilvl w:val="1"/>
          <w:numId w:val="7"/>
        </w:numPr>
        <w:kinsoku/>
        <w:overflowPunct/>
        <w:topLinePunct w:val="0"/>
        <w:bidi w:val="0"/>
        <w:spacing w:line="360" w:lineRule="exact"/>
        <w:rPr>
          <w:rFonts w:ascii="宋体"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按合同</w:t>
      </w:r>
      <w:r>
        <w:rPr>
          <w:rFonts w:hint="eastAsia" w:cs="宋体"/>
          <w:color w:val="000000" w:themeColor="text1"/>
          <w:szCs w:val="21"/>
          <w:highlight w:val="none"/>
          <w:lang w:val="en-US" w:eastAsia="zh-CN"/>
          <w14:textFill>
            <w14:solidFill>
              <w14:schemeClr w14:val="tx1"/>
            </w14:solidFill>
          </w14:textFill>
        </w:rPr>
        <w:t>约定</w:t>
      </w:r>
      <w:r>
        <w:rPr>
          <w:rFonts w:hint="eastAsia" w:ascii="Times New Roman" w:hAnsi="Times New Roman" w:cs="宋体"/>
          <w:color w:val="000000" w:themeColor="text1"/>
          <w:szCs w:val="21"/>
          <w:highlight w:val="none"/>
          <w14:textFill>
            <w14:solidFill>
              <w14:schemeClr w14:val="tx1"/>
            </w14:solidFill>
          </w14:textFill>
        </w:rPr>
        <w:t>的要求支付费用。</w:t>
      </w:r>
    </w:p>
    <w:p>
      <w:pPr>
        <w:keepNext/>
        <w:keepLines/>
        <w:widowControl w:val="0"/>
        <w:kinsoku/>
        <w:overflowPunct/>
        <w:topLinePunct w:val="0"/>
        <w:bidi w:val="0"/>
        <w:spacing w:before="260" w:after="260" w:line="360" w:lineRule="exact"/>
        <w:outlineLvl w:val="2"/>
        <w:rPr>
          <w:rFonts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第</w:t>
      </w:r>
      <w:r>
        <w:rPr>
          <w:rFonts w:ascii="Times New Roman" w:hAnsi="Times New Roman"/>
          <w:b/>
          <w:bCs/>
          <w:color w:val="000000" w:themeColor="text1"/>
          <w:szCs w:val="21"/>
          <w:highlight w:val="none"/>
          <w14:textFill>
            <w14:solidFill>
              <w14:schemeClr w14:val="tx1"/>
            </w14:solidFill>
          </w14:textFill>
        </w:rPr>
        <w:t>6</w:t>
      </w:r>
      <w:r>
        <w:rPr>
          <w:rFonts w:hint="eastAsia" w:ascii="Times New Roman" w:hAnsi="Times New Roman" w:cs="宋体"/>
          <w:b/>
          <w:bCs/>
          <w:color w:val="000000" w:themeColor="text1"/>
          <w:szCs w:val="21"/>
          <w:highlight w:val="none"/>
          <w14:textFill>
            <w14:solidFill>
              <w14:schemeClr w14:val="tx1"/>
            </w14:solidFill>
          </w14:textFill>
        </w:rPr>
        <w:t>条</w:t>
      </w:r>
      <w:r>
        <w:rPr>
          <w:rFonts w:ascii="Times New Roman" w:hAnsi="Times New Roman"/>
          <w:b/>
          <w:bCs/>
          <w:color w:val="000000" w:themeColor="text1"/>
          <w:szCs w:val="21"/>
          <w:highlight w:val="none"/>
          <w14:textFill>
            <w14:solidFill>
              <w14:schemeClr w14:val="tx1"/>
            </w14:solidFill>
          </w14:textFill>
        </w:rPr>
        <w:t xml:space="preserve"> </w:t>
      </w:r>
      <w:r>
        <w:rPr>
          <w:rFonts w:hint="eastAsia" w:ascii="Times New Roman" w:hAnsi="Times New Roman" w:cs="宋体"/>
          <w:b/>
          <w:bCs/>
          <w:color w:val="000000" w:themeColor="text1"/>
          <w:szCs w:val="21"/>
          <w:highlight w:val="none"/>
          <w14:textFill>
            <w14:solidFill>
              <w14:schemeClr w14:val="tx1"/>
            </w14:solidFill>
          </w14:textFill>
        </w:rPr>
        <w:t>乙方的权利和义务</w:t>
      </w:r>
    </w:p>
    <w:p>
      <w:pPr>
        <w:widowControl w:val="0"/>
        <w:numPr>
          <w:ilvl w:val="1"/>
          <w:numId w:val="8"/>
        </w:numPr>
        <w:tabs>
          <w:tab w:val="left" w:pos="0"/>
        </w:tabs>
        <w:kinsoku/>
        <w:overflowPunct/>
        <w:topLinePunct w:val="0"/>
        <w:bidi w:val="0"/>
        <w:spacing w:line="360" w:lineRule="exact"/>
        <w:ind w:left="811" w:hanging="811"/>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乙方有权依照本合同的约定取得咨询服务费。</w:t>
      </w:r>
    </w:p>
    <w:p>
      <w:pPr>
        <w:widowControl w:val="0"/>
        <w:numPr>
          <w:ilvl w:val="1"/>
          <w:numId w:val="8"/>
        </w:numPr>
        <w:tabs>
          <w:tab w:val="left" w:pos="0"/>
        </w:tabs>
        <w:kinsoku/>
        <w:overflowPunct/>
        <w:topLinePunct w:val="0"/>
        <w:bidi w:val="0"/>
        <w:spacing w:line="360" w:lineRule="exact"/>
        <w:ind w:left="811" w:hanging="811"/>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乙方有权要求甲方为乙方提供必要的工作条件。</w:t>
      </w:r>
    </w:p>
    <w:p>
      <w:pPr>
        <w:widowControl w:val="0"/>
        <w:numPr>
          <w:ilvl w:val="1"/>
          <w:numId w:val="8"/>
        </w:numPr>
        <w:tabs>
          <w:tab w:val="left" w:pos="0"/>
        </w:tabs>
        <w:kinsoku/>
        <w:overflowPunct/>
        <w:topLinePunct w:val="0"/>
        <w:bidi w:val="0"/>
        <w:spacing w:line="360" w:lineRule="exact"/>
        <w:ind w:left="811" w:hanging="811"/>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乙方应按照合同及其附件的要求按计划、按时</w:t>
      </w:r>
      <w:r>
        <w:rPr>
          <w:rFonts w:hint="eastAsia" w:ascii="Times New Roman" w:hAnsi="Times New Roman" w:cs="宋体"/>
          <w:snapToGrid w:val="0"/>
          <w:color w:val="000000" w:themeColor="text1"/>
          <w:szCs w:val="21"/>
          <w:highlight w:val="none"/>
          <w14:textFill>
            <w14:solidFill>
              <w14:schemeClr w14:val="tx1"/>
            </w14:solidFill>
          </w14:textFill>
        </w:rPr>
        <w:t>、按质、按量提交项目的改进意见和完整的项目成果，以合理、谨慎、努力和有效的方式提供约定的服务。</w:t>
      </w:r>
    </w:p>
    <w:p>
      <w:pPr>
        <w:widowControl w:val="0"/>
        <w:numPr>
          <w:ilvl w:val="1"/>
          <w:numId w:val="8"/>
        </w:numPr>
        <w:tabs>
          <w:tab w:val="left" w:pos="0"/>
        </w:tabs>
        <w:kinsoku/>
        <w:overflowPunct/>
        <w:topLinePunct w:val="0"/>
        <w:bidi w:val="0"/>
        <w:spacing w:line="360" w:lineRule="exact"/>
        <w:ind w:left="811" w:hanging="811"/>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乙方应该以其一贯的水准在所有的专业知识和能力方面向甲方提供最好的服务。</w:t>
      </w:r>
    </w:p>
    <w:p>
      <w:pPr>
        <w:widowControl w:val="0"/>
        <w:numPr>
          <w:ilvl w:val="1"/>
          <w:numId w:val="8"/>
        </w:numPr>
        <w:kinsoku/>
        <w:overflowPunct/>
        <w:topLinePunct w:val="0"/>
        <w:bidi w:val="0"/>
        <w:spacing w:line="360" w:lineRule="exact"/>
        <w:rPr>
          <w:rFonts w:ascii="宋体" w:hAnsi="Times New Roman"/>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对于口头咨询乙方应在24小时内予以答复，对于书面咨询乙方应该在2个工作日内予以书面答复。</w:t>
      </w:r>
    </w:p>
    <w:p>
      <w:pPr>
        <w:widowControl w:val="0"/>
        <w:numPr>
          <w:ilvl w:val="1"/>
          <w:numId w:val="8"/>
        </w:numPr>
        <w:kinsoku/>
        <w:overflowPunct/>
        <w:topLinePunct w:val="0"/>
        <w:bidi w:val="0"/>
        <w:spacing w:line="360" w:lineRule="exact"/>
        <w:rPr>
          <w:rFonts w:ascii="宋体" w:hAnsi="Times New Roman"/>
          <w:color w:val="000000" w:themeColor="text1"/>
          <w:szCs w:val="21"/>
          <w:highlight w:val="none"/>
          <w14:textFill>
            <w14:solidFill>
              <w14:schemeClr w14:val="tx1"/>
            </w14:solidFill>
          </w14:textFill>
        </w:rPr>
      </w:pPr>
      <w:r>
        <w:rPr>
          <w:rFonts w:hint="eastAsia" w:ascii="宋体" w:hAnsi="Times New Roman"/>
          <w:color w:val="000000" w:themeColor="text1"/>
          <w:szCs w:val="21"/>
          <w:highlight w:val="none"/>
          <w14:textFill>
            <w14:solidFill>
              <w14:schemeClr w14:val="tx1"/>
            </w14:solidFill>
          </w14:textFill>
        </w:rPr>
        <w:t>乙方应按照甲方需求以在线调查和现场调查等方式完成客户满意度调查工作，其中旅客问卷调查以在线方式开展；针对除旅客外的其他航空公司、货主和货运代理、驻场单位、内部员工等有业务往来的机构和个人均以现场调查方式完成调查工作。</w:t>
      </w:r>
    </w:p>
    <w:p>
      <w:pPr>
        <w:widowControl w:val="0"/>
        <w:numPr>
          <w:ilvl w:val="1"/>
          <w:numId w:val="8"/>
        </w:numPr>
        <w:kinsoku/>
        <w:overflowPunct/>
        <w:topLinePunct w:val="0"/>
        <w:bidi w:val="0"/>
        <w:spacing w:line="360" w:lineRule="exact"/>
        <w:rPr>
          <w:rFonts w:ascii="宋体" w:hAnsi="Times New Roman"/>
          <w:color w:val="000000" w:themeColor="text1"/>
          <w:szCs w:val="21"/>
          <w:highlight w:val="none"/>
          <w14:textFill>
            <w14:solidFill>
              <w14:schemeClr w14:val="tx1"/>
            </w14:solidFill>
          </w14:textFill>
        </w:rPr>
      </w:pPr>
      <w:r>
        <w:rPr>
          <w:rFonts w:hint="eastAsia" w:ascii="宋体" w:hAnsi="Times New Roman"/>
          <w:color w:val="000000" w:themeColor="text1"/>
          <w:szCs w:val="21"/>
          <w:highlight w:val="none"/>
          <w14:textFill>
            <w14:solidFill>
              <w14:schemeClr w14:val="tx1"/>
            </w14:solidFill>
          </w14:textFill>
        </w:rPr>
        <w:t>如出现被调查单位的个别指标在线调查得到的样本量不够的情况，乙方应采取现场调查等方式，确保取得符合统计要求的样本量；为确保样本量符合统计要求，甲方应予以协助。</w:t>
      </w:r>
    </w:p>
    <w:p>
      <w:pPr>
        <w:widowControl w:val="0"/>
        <w:numPr>
          <w:ilvl w:val="1"/>
          <w:numId w:val="8"/>
        </w:numPr>
        <w:kinsoku/>
        <w:overflowPunct/>
        <w:topLinePunct w:val="0"/>
        <w:bidi w:val="0"/>
        <w:spacing w:line="360" w:lineRule="exact"/>
        <w:rPr>
          <w:rFonts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乙方提交的调研与分析项目成果文件及资料，以及提供的相应服务应符合本合同约定的质量，均应通过甲方验收。</w:t>
      </w:r>
    </w:p>
    <w:p>
      <w:pPr>
        <w:widowControl w:val="0"/>
        <w:numPr>
          <w:ilvl w:val="1"/>
          <w:numId w:val="8"/>
        </w:numPr>
        <w:tabs>
          <w:tab w:val="left" w:pos="0"/>
        </w:tabs>
        <w:kinsoku/>
        <w:overflowPunct/>
        <w:topLinePunct w:val="0"/>
        <w:bidi w:val="0"/>
        <w:spacing w:line="360" w:lineRule="exact"/>
        <w:ind w:left="811" w:hanging="811"/>
        <w:rPr>
          <w:rFonts w:ascii="Times New Roman" w:hAnsi="Times New Roman"/>
          <w:snapToGrid w:val="0"/>
          <w:color w:val="000000" w:themeColor="text1"/>
          <w:szCs w:val="21"/>
          <w:highlight w:val="none"/>
          <w14:textFill>
            <w14:solidFill>
              <w14:schemeClr w14:val="tx1"/>
            </w14:solidFill>
          </w14:textFill>
        </w:rPr>
      </w:pPr>
      <w:r>
        <w:rPr>
          <w:rFonts w:hint="eastAsia"/>
          <w:snapToGrid w:val="0"/>
          <w:color w:val="000000" w:themeColor="text1"/>
          <w:szCs w:val="21"/>
          <w:highlight w:val="none"/>
          <w14:textFill>
            <w14:solidFill>
              <w14:schemeClr w14:val="tx1"/>
            </w14:solidFill>
          </w14:textFill>
        </w:rPr>
        <w:t>乙方提交的服务成果文件自通过甲方组织的专家评审会之日起</w:t>
      </w:r>
      <w:r>
        <w:rPr>
          <w:rFonts w:hint="eastAsia"/>
          <w:snapToGrid w:val="0"/>
          <w:color w:val="000000" w:themeColor="text1"/>
          <w:szCs w:val="21"/>
          <w:highlight w:val="none"/>
          <w:lang w:eastAsia="zh-CN"/>
          <w14:textFill>
            <w14:solidFill>
              <w14:schemeClr w14:val="tx1"/>
            </w14:solidFill>
          </w14:textFill>
        </w:rPr>
        <w:t>2</w:t>
      </w:r>
      <w:r>
        <w:rPr>
          <w:rFonts w:hint="eastAsia"/>
          <w:snapToGrid w:val="0"/>
          <w:color w:val="000000" w:themeColor="text1"/>
          <w:szCs w:val="21"/>
          <w:highlight w:val="none"/>
          <w14:textFill>
            <w14:solidFill>
              <w14:schemeClr w14:val="tx1"/>
            </w14:solidFill>
          </w14:textFill>
        </w:rPr>
        <w:t>年内，如甲方要求对服务成果文件进行修改补充，乙方需按照要求对服务成果文件进行无偿修改和补充，所发生的有关费用由乙方承担。</w:t>
      </w:r>
    </w:p>
    <w:p>
      <w:pPr>
        <w:widowControl w:val="0"/>
        <w:numPr>
          <w:ilvl w:val="1"/>
          <w:numId w:val="8"/>
        </w:numPr>
        <w:tabs>
          <w:tab w:val="left" w:pos="0"/>
        </w:tabs>
        <w:kinsoku/>
        <w:overflowPunct/>
        <w:topLinePunct w:val="0"/>
        <w:bidi w:val="0"/>
        <w:spacing w:line="360" w:lineRule="exact"/>
        <w:ind w:left="811" w:hanging="811"/>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乙方保证并承诺已经委任且将在本合同履行过程中运用称职的、合格的、并且具有为同类规模、范围及复杂程度项目提供相同服务经验的项目团队，制定详细的服务工作执行计划，报经甲方同意后实施。</w:t>
      </w:r>
    </w:p>
    <w:p>
      <w:pPr>
        <w:widowControl w:val="0"/>
        <w:numPr>
          <w:ilvl w:val="1"/>
          <w:numId w:val="8"/>
        </w:numPr>
        <w:tabs>
          <w:tab w:val="left" w:pos="0"/>
        </w:tabs>
        <w:kinsoku/>
        <w:overflowPunct/>
        <w:topLinePunct w:val="0"/>
        <w:bidi w:val="0"/>
        <w:spacing w:line="360" w:lineRule="exact"/>
        <w:ind w:left="811" w:hanging="811"/>
        <w:rPr>
          <w:rFonts w:ascii="Times New Roman" w:hAnsi="Times New Roman"/>
          <w:snapToGrid w:val="0"/>
          <w:color w:val="000000" w:themeColor="text1"/>
          <w:szCs w:val="21"/>
          <w:highlight w:val="none"/>
          <w14:textFill>
            <w14:solidFill>
              <w14:schemeClr w14:val="tx1"/>
            </w14:solidFill>
          </w14:textFill>
        </w:rPr>
      </w:pPr>
      <w:r>
        <w:rPr>
          <w:rFonts w:hint="eastAsia"/>
          <w:snapToGrid w:val="0"/>
          <w:color w:val="000000" w:themeColor="text1"/>
          <w:szCs w:val="21"/>
          <w:highlight w:val="none"/>
          <w14:textFill>
            <w14:solidFill>
              <w14:schemeClr w14:val="tx1"/>
            </w14:solidFill>
          </w14:textFill>
        </w:rPr>
        <w:t>乙方需按</w:t>
      </w:r>
      <w:r>
        <w:rPr>
          <w:rFonts w:hint="eastAsia"/>
          <w:snapToGrid w:val="0"/>
          <w:color w:val="000000" w:themeColor="text1"/>
          <w:szCs w:val="21"/>
          <w:highlight w:val="none"/>
          <w:lang w:eastAsia="zh-CN"/>
          <w14:textFill>
            <w14:solidFill>
              <w14:schemeClr w14:val="tx1"/>
            </w14:solidFill>
          </w14:textFill>
        </w:rPr>
        <w:t>报名文件</w:t>
      </w:r>
      <w:r>
        <w:rPr>
          <w:rFonts w:hint="eastAsia"/>
          <w:snapToGrid w:val="0"/>
          <w:color w:val="000000" w:themeColor="text1"/>
          <w:szCs w:val="21"/>
          <w:highlight w:val="none"/>
          <w14:textFill>
            <w14:solidFill>
              <w14:schemeClr w14:val="tx1"/>
            </w14:solidFill>
          </w14:textFill>
        </w:rPr>
        <w:t>向甲方提供项目团队成员名单，并承诺该等人员具有为同类规模、范围及复杂程度的项目服务经验，并保证团队成员的稳定，不得擅自变更团队成员或变更团队成员的工作职责。如果因为特别原因，须更换成员时，须获得甲方的书面许可。乙方应确定本项目的项目经理/联络人，负责与甲方就服务工作事宜进行沟通、联系与开展工作。</w:t>
      </w:r>
    </w:p>
    <w:p>
      <w:pPr>
        <w:widowControl w:val="0"/>
        <w:numPr>
          <w:ilvl w:val="1"/>
          <w:numId w:val="8"/>
        </w:numPr>
        <w:tabs>
          <w:tab w:val="left" w:pos="0"/>
        </w:tabs>
        <w:kinsoku/>
        <w:overflowPunct/>
        <w:topLinePunct w:val="0"/>
        <w:bidi w:val="0"/>
        <w:spacing w:line="360" w:lineRule="exact"/>
        <w:ind w:left="811" w:hanging="811"/>
        <w:rPr>
          <w:rFonts w:ascii="Times New Roman" w:hAnsi="Times New Roman"/>
          <w:snapToGrid w:val="0"/>
          <w:color w:val="000000" w:themeColor="text1"/>
          <w:szCs w:val="21"/>
          <w:highlight w:val="none"/>
          <w14:textFill>
            <w14:solidFill>
              <w14:schemeClr w14:val="tx1"/>
            </w14:solidFill>
          </w14:textFill>
        </w:rPr>
      </w:pPr>
      <w:r>
        <w:rPr>
          <w:rFonts w:hint="eastAsia"/>
          <w:snapToGrid w:val="0"/>
          <w:color w:val="000000" w:themeColor="text1"/>
          <w:szCs w:val="21"/>
          <w:highlight w:val="none"/>
          <w14:textFill>
            <w14:solidFill>
              <w14:schemeClr w14:val="tx1"/>
            </w14:solidFill>
          </w14:textFill>
        </w:rPr>
        <w:t>乙方为完成服务事项而从甲方获取重要证件、文件、资料时，应向甲方开具规范的收件清单，并妥善保管甲方移交的相关证件、文件、资料；完成服务事项后，应及时将上述证件、文件、资料退还甲方，否则给甲方造成损失的，应承担赔偿责任。</w:t>
      </w:r>
    </w:p>
    <w:p>
      <w:pPr>
        <w:widowControl w:val="0"/>
        <w:numPr>
          <w:ilvl w:val="1"/>
          <w:numId w:val="8"/>
        </w:numPr>
        <w:tabs>
          <w:tab w:val="left" w:pos="0"/>
        </w:tabs>
        <w:kinsoku/>
        <w:overflowPunct/>
        <w:topLinePunct w:val="0"/>
        <w:bidi w:val="0"/>
        <w:spacing w:line="360" w:lineRule="exact"/>
        <w:ind w:left="811" w:hanging="811"/>
        <w:rPr>
          <w:rFonts w:hint="eastAsia"/>
          <w:snapToGrid w:val="0"/>
          <w:color w:val="000000" w:themeColor="text1"/>
          <w:szCs w:val="21"/>
          <w:highlight w:val="none"/>
          <w14:textFill>
            <w14:solidFill>
              <w14:schemeClr w14:val="tx1"/>
            </w14:solidFill>
          </w14:textFill>
        </w:rPr>
      </w:pPr>
      <w:r>
        <w:rPr>
          <w:rFonts w:hint="eastAsia"/>
          <w:snapToGrid w:val="0"/>
          <w:color w:val="000000" w:themeColor="text1"/>
          <w:szCs w:val="21"/>
          <w:highlight w:val="none"/>
          <w14:textFill>
            <w14:solidFill>
              <w14:schemeClr w14:val="tx1"/>
            </w14:solidFill>
          </w14:textFill>
        </w:rPr>
        <w:t>乙方不得将本合同中</w:t>
      </w:r>
      <w:r>
        <w:rPr>
          <w:rFonts w:hint="eastAsia"/>
          <w:snapToGrid w:val="0"/>
          <w:color w:val="000000" w:themeColor="text1"/>
          <w:szCs w:val="21"/>
          <w:highlight w:val="none"/>
          <w:lang w:val="en-US" w:eastAsia="zh-CN"/>
          <w14:textFill>
            <w14:solidFill>
              <w14:schemeClr w14:val="tx1"/>
            </w14:solidFill>
          </w14:textFill>
        </w:rPr>
        <w:t>项下权利义务部分或全部交由第三方履行</w:t>
      </w:r>
      <w:r>
        <w:rPr>
          <w:rFonts w:hint="eastAsia"/>
          <w:snapToGrid w:val="0"/>
          <w:color w:val="000000" w:themeColor="text1"/>
          <w:szCs w:val="21"/>
          <w:highlight w:val="none"/>
          <w14:textFill>
            <w14:solidFill>
              <w14:schemeClr w14:val="tx1"/>
            </w14:solidFill>
          </w14:textFill>
        </w:rPr>
        <w:t>。</w:t>
      </w:r>
    </w:p>
    <w:p>
      <w:pPr>
        <w:widowControl w:val="0"/>
        <w:numPr>
          <w:ilvl w:val="1"/>
          <w:numId w:val="8"/>
        </w:numPr>
        <w:tabs>
          <w:tab w:val="left" w:pos="0"/>
        </w:tabs>
        <w:kinsoku/>
        <w:overflowPunct/>
        <w:topLinePunct w:val="0"/>
        <w:bidi w:val="0"/>
        <w:spacing w:line="360" w:lineRule="exact"/>
        <w:ind w:left="811" w:hanging="811"/>
        <w:rPr>
          <w:rFonts w:ascii="Times New Roman" w:hAnsi="Times New Roman"/>
          <w:snapToGrid w:val="0"/>
          <w:color w:val="000000" w:themeColor="text1"/>
          <w:szCs w:val="21"/>
          <w:highlight w:val="none"/>
          <w14:textFill>
            <w14:solidFill>
              <w14:schemeClr w14:val="tx1"/>
            </w14:solidFill>
          </w14:textFill>
        </w:rPr>
      </w:pPr>
      <w:r>
        <w:rPr>
          <w:rFonts w:hint="eastAsia"/>
          <w:snapToGrid w:val="0"/>
          <w:color w:val="000000" w:themeColor="text1"/>
          <w:szCs w:val="21"/>
          <w:highlight w:val="none"/>
          <w14:textFill>
            <w14:solidFill>
              <w14:schemeClr w14:val="tx1"/>
            </w14:solidFill>
          </w14:textFill>
        </w:rPr>
        <w:t>乙方在咨询服务过程中应当遵循客观、真实的原则，不得有虚构、捏造、篡改研究数据、研究资料及硏究成果等行为，不得隐瞒或者提供虛假信息。</w:t>
      </w:r>
    </w:p>
    <w:p>
      <w:pPr>
        <w:widowControl w:val="0"/>
        <w:numPr>
          <w:ilvl w:val="1"/>
          <w:numId w:val="8"/>
        </w:numPr>
        <w:tabs>
          <w:tab w:val="left" w:pos="0"/>
        </w:tabs>
        <w:kinsoku/>
        <w:overflowPunct/>
        <w:topLinePunct w:val="0"/>
        <w:bidi w:val="0"/>
        <w:spacing w:line="360" w:lineRule="exact"/>
        <w:ind w:left="811" w:hanging="811"/>
        <w:rPr>
          <w:rFonts w:ascii="Times New Roman" w:hAnsi="Times New Roman"/>
          <w:snapToGrid w:val="0"/>
          <w:color w:val="000000" w:themeColor="text1"/>
          <w:szCs w:val="21"/>
          <w:highlight w:val="none"/>
          <w14:textFill>
            <w14:solidFill>
              <w14:schemeClr w14:val="tx1"/>
            </w14:solidFill>
          </w14:textFill>
        </w:rPr>
      </w:pPr>
      <w:r>
        <w:rPr>
          <w:rFonts w:hint="eastAsia"/>
          <w:snapToGrid w:val="0"/>
          <w:color w:val="000000" w:themeColor="text1"/>
          <w:szCs w:val="21"/>
          <w:highlight w:val="none"/>
          <w14:textFill>
            <w14:solidFill>
              <w14:schemeClr w14:val="tx1"/>
            </w14:solidFill>
          </w14:textFill>
        </w:rPr>
        <w:t>乙方应及时做好</w:t>
      </w:r>
      <w:r>
        <w:rPr>
          <w:rFonts w:hint="eastAsia"/>
          <w:snapToGrid w:val="0"/>
          <w:color w:val="000000" w:themeColor="text1"/>
          <w:szCs w:val="21"/>
          <w:highlight w:val="none"/>
          <w:lang w:val="en-US" w:eastAsia="zh-CN"/>
          <w14:textFill>
            <w14:solidFill>
              <w14:schemeClr w14:val="tx1"/>
            </w14:solidFill>
          </w14:textFill>
        </w:rPr>
        <w:t>己方工作</w:t>
      </w:r>
      <w:r>
        <w:rPr>
          <w:rFonts w:hint="eastAsia"/>
          <w:snapToGrid w:val="0"/>
          <w:color w:val="000000" w:themeColor="text1"/>
          <w:szCs w:val="21"/>
          <w:highlight w:val="none"/>
          <w14:textFill>
            <w14:solidFill>
              <w14:schemeClr w14:val="tx1"/>
            </w14:solidFill>
          </w14:textFill>
        </w:rPr>
        <w:t>人员的专业培训，培训内容包括但不限于：甲方服务标准及管理规定、相关场所情况、相关设施设备的正确使用方法，确保派驻服务人员能够提供符合甲方要求和合同约定的服务。</w:t>
      </w:r>
    </w:p>
    <w:p>
      <w:pPr>
        <w:keepNext/>
        <w:keepLines/>
        <w:widowControl w:val="0"/>
        <w:kinsoku/>
        <w:overflowPunct/>
        <w:topLinePunct w:val="0"/>
        <w:bidi w:val="0"/>
        <w:spacing w:before="260" w:after="260" w:line="440" w:lineRule="exact"/>
        <w:outlineLvl w:val="2"/>
        <w:rPr>
          <w:rFonts w:hint="default"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第</w:t>
      </w:r>
      <w:r>
        <w:rPr>
          <w:rFonts w:ascii="Times New Roman" w:hAnsi="Times New Roman"/>
          <w:b/>
          <w:bCs/>
          <w:color w:val="000000" w:themeColor="text1"/>
          <w:szCs w:val="21"/>
          <w:highlight w:val="none"/>
          <w14:textFill>
            <w14:solidFill>
              <w14:schemeClr w14:val="tx1"/>
            </w14:solidFill>
          </w14:textFill>
        </w:rPr>
        <w:t>7</w:t>
      </w:r>
      <w:r>
        <w:rPr>
          <w:rFonts w:hint="eastAsia" w:ascii="Times New Roman" w:hAnsi="Times New Roman" w:cs="宋体"/>
          <w:b/>
          <w:bCs/>
          <w:color w:val="000000" w:themeColor="text1"/>
          <w:szCs w:val="21"/>
          <w:highlight w:val="none"/>
          <w14:textFill>
            <w14:solidFill>
              <w14:schemeClr w14:val="tx1"/>
            </w14:solidFill>
          </w14:textFill>
        </w:rPr>
        <w:t>条</w:t>
      </w:r>
      <w:r>
        <w:rPr>
          <w:rFonts w:ascii="Times New Roman" w:hAnsi="Times New Roman"/>
          <w:b/>
          <w:bCs/>
          <w:color w:val="000000" w:themeColor="text1"/>
          <w:szCs w:val="21"/>
          <w:highlight w:val="none"/>
          <w14:textFill>
            <w14:solidFill>
              <w14:schemeClr w14:val="tx1"/>
            </w14:solidFill>
          </w14:textFill>
        </w:rPr>
        <w:t xml:space="preserve"> </w:t>
      </w:r>
      <w:r>
        <w:rPr>
          <w:rFonts w:hint="eastAsia" w:cs="宋体"/>
          <w:b/>
          <w:bCs/>
          <w:color w:val="000000" w:themeColor="text1"/>
          <w:szCs w:val="21"/>
          <w:highlight w:val="none"/>
          <w:lang w:val="en-US" w:eastAsia="zh-CN"/>
          <w14:textFill>
            <w14:solidFill>
              <w14:schemeClr w14:val="tx1"/>
            </w14:solidFill>
          </w14:textFill>
        </w:rPr>
        <w:t>验收和考核</w:t>
      </w:r>
    </w:p>
    <w:p>
      <w:pPr>
        <w:widowControl w:val="0"/>
        <w:numPr>
          <w:ilvl w:val="1"/>
          <w:numId w:val="9"/>
        </w:numPr>
        <w:kinsoku/>
        <w:overflowPunct/>
        <w:topLinePunct w:val="0"/>
        <w:bidi w:val="0"/>
        <w:spacing w:before="240" w:after="0" w:line="360" w:lineRule="exact"/>
        <w:ind w:left="839" w:hanging="839"/>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合同项下的服务工作及服务工作所产生的服务成果，均须经甲方验收并确认合格后，方视为乙方已完成该项服务工作。验收应当按照合同双方在本合同及附件中关于验收标准及验收时间的约定进行。乙方应当在验收前做好验收的必要准备并向甲方发出可以进行验收的通知。若提交验收的为有形方式展现的文档、程序等服务成果的，乙方应当在提交该验收书面通知同时提交该服务成果的有形介质。依本合同及双方约定对该服务成果的展现方式有具体要求的，该服务成果应符合该要求。乙方提交验收书面通知及拟验收的服务成果不符合前述规定的，视为乙方未提交验收。</w:t>
      </w:r>
    </w:p>
    <w:p>
      <w:pPr>
        <w:widowControl w:val="0"/>
        <w:numPr>
          <w:ilvl w:val="1"/>
          <w:numId w:val="9"/>
        </w:numPr>
        <w:kinsoku/>
        <w:overflowPunct/>
        <w:topLinePunct w:val="0"/>
        <w:bidi w:val="0"/>
        <w:spacing w:before="0" w:after="120" w:line="360" w:lineRule="exact"/>
        <w:ind w:left="839" w:hanging="839"/>
        <w:rPr>
          <w:rFonts w:hint="eastAsia" w:ascii="宋体" w:hAnsi="宋体" w:eastAsia="Times New Roman"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甲方</w:t>
      </w:r>
      <w:r>
        <w:rPr>
          <w:rFonts w:hint="eastAsia" w:ascii="宋体" w:hAnsi="宋体" w:cs="宋体"/>
          <w:color w:val="000000" w:themeColor="text1"/>
          <w:kern w:val="0"/>
          <w:szCs w:val="21"/>
          <w:highlight w:val="none"/>
          <w:lang w:val="en-US" w:eastAsia="zh-CN"/>
          <w14:textFill>
            <w14:solidFill>
              <w14:schemeClr w14:val="tx1"/>
            </w14:solidFill>
          </w14:textFill>
        </w:rPr>
        <w:t>每年</w:t>
      </w:r>
      <w:r>
        <w:rPr>
          <w:rFonts w:hint="eastAsia" w:ascii="宋体" w:hAnsi="宋体" w:cs="宋体"/>
          <w:color w:val="000000" w:themeColor="text1"/>
          <w:kern w:val="0"/>
          <w:szCs w:val="21"/>
          <w:highlight w:val="none"/>
          <w14:textFill>
            <w14:solidFill>
              <w14:schemeClr w14:val="tx1"/>
            </w14:solidFill>
          </w14:textFill>
        </w:rPr>
        <w:t>根据服务内容的完成情况和服务质量对乙方进行考核</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年度</w:t>
      </w:r>
      <w:r>
        <w:rPr>
          <w:rFonts w:hint="eastAsia" w:ascii="宋体" w:hAnsi="宋体" w:cs="宋体"/>
          <w:color w:val="000000" w:themeColor="text1"/>
          <w:kern w:val="0"/>
          <w:szCs w:val="21"/>
          <w:highlight w:val="none"/>
          <w14:textFill>
            <w14:solidFill>
              <w14:schemeClr w14:val="tx1"/>
            </w14:solidFill>
          </w14:textFill>
        </w:rPr>
        <w:t>考核得分大于等于</w:t>
      </w:r>
      <w:r>
        <w:rPr>
          <w:rFonts w:hint="eastAsia" w:ascii="宋体" w:hAnsi="宋体" w:cs="宋体"/>
          <w:color w:val="000000" w:themeColor="text1"/>
          <w:kern w:val="0"/>
          <w:szCs w:val="21"/>
          <w:highlight w:val="none"/>
          <w:lang w:val="en-US" w:eastAsia="zh-CN"/>
          <w14:textFill>
            <w14:solidFill>
              <w14:schemeClr w14:val="tx1"/>
            </w14:solidFill>
          </w14:textFill>
        </w:rPr>
        <w:t>80</w:t>
      </w:r>
      <w:r>
        <w:rPr>
          <w:rFonts w:hint="eastAsia" w:ascii="宋体" w:hAnsi="宋体" w:cs="宋体"/>
          <w:color w:val="000000" w:themeColor="text1"/>
          <w:kern w:val="0"/>
          <w:szCs w:val="21"/>
          <w:highlight w:val="none"/>
          <w14:textFill>
            <w14:solidFill>
              <w14:schemeClr w14:val="tx1"/>
            </w14:solidFill>
          </w14:textFill>
        </w:rPr>
        <w:t>分</w:t>
      </w:r>
      <w:r>
        <w:rPr>
          <w:rFonts w:hint="eastAsia" w:ascii="宋体" w:hAnsi="宋体" w:cs="宋体"/>
          <w:color w:val="000000" w:themeColor="text1"/>
          <w:kern w:val="0"/>
          <w:szCs w:val="21"/>
          <w:highlight w:val="none"/>
          <w:lang w:val="en-US" w:eastAsia="zh-CN"/>
          <w14:textFill>
            <w14:solidFill>
              <w14:schemeClr w14:val="tx1"/>
            </w14:solidFill>
          </w14:textFill>
        </w:rPr>
        <w:t>为优良</w:t>
      </w:r>
      <w:r>
        <w:rPr>
          <w:rFonts w:hint="eastAsia" w:ascii="宋体" w:hAnsi="宋体" w:cs="宋体"/>
          <w:color w:val="000000" w:themeColor="text1"/>
          <w:kern w:val="0"/>
          <w:szCs w:val="21"/>
          <w:highlight w:val="none"/>
          <w14:textFill>
            <w14:solidFill>
              <w14:schemeClr w14:val="tx1"/>
            </w14:solidFill>
          </w14:textFill>
        </w:rPr>
        <w:t>，</w:t>
      </w:r>
      <w:r>
        <w:rPr>
          <w:rFonts w:hint="eastAsia"/>
          <w:bCs/>
          <w:color w:val="000000" w:themeColor="text1"/>
          <w:sz w:val="21"/>
          <w:szCs w:val="21"/>
          <w:highlight w:val="none"/>
          <w:lang w:val="en-US" w:eastAsia="zh-CN"/>
          <w14:textFill>
            <w14:solidFill>
              <w14:schemeClr w14:val="tx1"/>
            </w14:solidFill>
          </w14:textFill>
        </w:rPr>
        <w:t>首年</w:t>
      </w:r>
      <w: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t>服务期满后，</w:t>
      </w:r>
      <w:r>
        <w:rPr>
          <w:rFonts w:hint="eastAsia"/>
          <w:bCs/>
          <w:color w:val="000000" w:themeColor="text1"/>
          <w:sz w:val="21"/>
          <w:szCs w:val="21"/>
          <w:highlight w:val="none"/>
          <w:lang w:val="en-US" w:eastAsia="zh-CN"/>
          <w14:textFill>
            <w14:solidFill>
              <w14:schemeClr w14:val="tx1"/>
            </w14:solidFill>
          </w14:textFill>
        </w:rPr>
        <w:t>考核</w:t>
      </w:r>
      <w:r>
        <w:rPr>
          <w:rFonts w:hint="eastAsia" w:ascii="Times New Roman" w:hAnsi="Times New Roman" w:eastAsia="宋体"/>
          <w:bCs/>
          <w:color w:val="000000" w:themeColor="text1"/>
          <w:sz w:val="21"/>
          <w:szCs w:val="21"/>
          <w:highlight w:val="none"/>
          <w14:textFill>
            <w14:solidFill>
              <w14:schemeClr w14:val="tx1"/>
            </w14:solidFill>
          </w14:textFill>
        </w:rPr>
        <w:t>评定为优良的，双方经协商一致，服务期限</w:t>
      </w:r>
      <w: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t>自动</w:t>
      </w:r>
      <w:r>
        <w:rPr>
          <w:rFonts w:hint="eastAsia"/>
          <w:bCs/>
          <w:color w:val="000000" w:themeColor="text1"/>
          <w:sz w:val="21"/>
          <w:szCs w:val="21"/>
          <w:highlight w:val="none"/>
          <w:lang w:val="en-US" w:eastAsia="zh-CN"/>
          <w14:textFill>
            <w14:solidFill>
              <w14:schemeClr w14:val="tx1"/>
            </w14:solidFill>
          </w14:textFill>
        </w:rPr>
        <w:t>延续至第２年；前两年服务期满考核评定均为优良的，</w:t>
      </w:r>
      <w:r>
        <w:rPr>
          <w:rFonts w:hint="eastAsia" w:ascii="Times New Roman" w:hAnsi="Times New Roman" w:eastAsia="宋体"/>
          <w:bCs/>
          <w:color w:val="000000" w:themeColor="text1"/>
          <w:sz w:val="21"/>
          <w:szCs w:val="21"/>
          <w:highlight w:val="none"/>
          <w14:textFill>
            <w14:solidFill>
              <w14:schemeClr w14:val="tx1"/>
            </w14:solidFill>
          </w14:textFill>
        </w:rPr>
        <w:t>双方经协商一致，服务期限</w:t>
      </w:r>
      <w:r>
        <w:rPr>
          <w:rFonts w:hint="eastAsia" w:ascii="Times New Roman" w:hAnsi="Times New Roman" w:eastAsia="宋体"/>
          <w:bCs/>
          <w:color w:val="000000" w:themeColor="text1"/>
          <w:sz w:val="21"/>
          <w:szCs w:val="21"/>
          <w:highlight w:val="none"/>
          <w:lang w:val="en-US" w:eastAsia="zh-CN"/>
          <w14:textFill>
            <w14:solidFill>
              <w14:schemeClr w14:val="tx1"/>
            </w14:solidFill>
          </w14:textFill>
        </w:rPr>
        <w:t>自动</w:t>
      </w:r>
      <w:r>
        <w:rPr>
          <w:rFonts w:hint="eastAsia"/>
          <w:bCs/>
          <w:color w:val="000000" w:themeColor="text1"/>
          <w:sz w:val="21"/>
          <w:szCs w:val="21"/>
          <w:highlight w:val="none"/>
          <w:lang w:val="en-US" w:eastAsia="zh-CN"/>
          <w14:textFill>
            <w14:solidFill>
              <w14:schemeClr w14:val="tx1"/>
            </w14:solidFill>
          </w14:textFill>
        </w:rPr>
        <w:t>延续至第３年；</w:t>
      </w:r>
      <w:r>
        <w:rPr>
          <w:rFonts w:hint="eastAsia" w:ascii="宋体" w:hAnsi="宋体" w:cs="宋体"/>
          <w:color w:val="000000" w:themeColor="text1"/>
          <w:kern w:val="0"/>
          <w:szCs w:val="21"/>
          <w:highlight w:val="none"/>
          <w14:textFill>
            <w14:solidFill>
              <w14:schemeClr w14:val="tx1"/>
            </w14:solidFill>
          </w14:textFill>
        </w:rPr>
        <w:t>若考核得分为90（含本数）-100（含本数）分，付款金额=协议金额*100%；考核得分低于90分（不含本数），付款金额=协议金额*（考核得分/100）</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若</w:t>
      </w:r>
      <w:r>
        <w:rPr>
          <w:rFonts w:hint="eastAsia" w:ascii="宋体" w:hAnsi="宋体" w:cs="宋体"/>
          <w:color w:val="000000" w:themeColor="text1"/>
          <w:kern w:val="0"/>
          <w:szCs w:val="21"/>
          <w:highlight w:val="none"/>
          <w:lang w:val="en-US" w:eastAsia="zh-CN"/>
          <w14:textFill>
            <w14:solidFill>
              <w14:schemeClr w14:val="tx1"/>
            </w14:solidFill>
          </w14:textFill>
        </w:rPr>
        <w:t>服务期中任意一年</w:t>
      </w:r>
      <w:r>
        <w:rPr>
          <w:rFonts w:hint="eastAsia" w:ascii="宋体" w:hAnsi="宋体" w:cs="宋体"/>
          <w:color w:val="000000" w:themeColor="text1"/>
          <w:kern w:val="0"/>
          <w:szCs w:val="21"/>
          <w:highlight w:val="none"/>
          <w14:textFill>
            <w14:solidFill>
              <w14:schemeClr w14:val="tx1"/>
            </w14:solidFill>
          </w14:textFill>
        </w:rPr>
        <w:t>考核得分小于</w:t>
      </w:r>
      <w:r>
        <w:rPr>
          <w:rFonts w:hint="eastAsia" w:ascii="宋体" w:hAnsi="宋体" w:cs="宋体"/>
          <w:color w:val="000000" w:themeColor="text1"/>
          <w:kern w:val="0"/>
          <w:szCs w:val="21"/>
          <w:highlight w:val="none"/>
          <w:lang w:val="en-US" w:eastAsia="zh-CN"/>
          <w14:textFill>
            <w14:solidFill>
              <w14:schemeClr w14:val="tx1"/>
            </w14:solidFill>
          </w14:textFill>
        </w:rPr>
        <w:t>60</w:t>
      </w:r>
      <w:r>
        <w:rPr>
          <w:rFonts w:hint="eastAsia" w:ascii="宋体" w:hAnsi="宋体" w:cs="宋体"/>
          <w:color w:val="000000" w:themeColor="text1"/>
          <w:kern w:val="0"/>
          <w:szCs w:val="21"/>
          <w:highlight w:val="none"/>
          <w14:textFill>
            <w14:solidFill>
              <w14:schemeClr w14:val="tx1"/>
            </w14:solidFill>
          </w14:textFill>
        </w:rPr>
        <w:t>分甲方有权将乙方列入拒绝合作名单，限制乙方参与甲方后续相关采购项目。具体</w:t>
      </w:r>
      <w:r>
        <w:rPr>
          <w:rFonts w:hint="eastAsia" w:ascii="宋体" w:hAnsi="宋体" w:cs="宋体"/>
          <w:color w:val="000000" w:themeColor="text1"/>
          <w:kern w:val="0"/>
          <w:szCs w:val="21"/>
          <w:highlight w:val="none"/>
          <w:lang w:val="en-US" w:eastAsia="zh-CN"/>
          <w14:textFill>
            <w14:solidFill>
              <w14:schemeClr w14:val="tx1"/>
            </w14:solidFill>
          </w14:textFill>
        </w:rPr>
        <w:t>考核标准</w:t>
      </w:r>
      <w:r>
        <w:rPr>
          <w:rFonts w:hint="eastAsia" w:ascii="宋体" w:hAnsi="宋体" w:cs="宋体"/>
          <w:color w:val="000000" w:themeColor="text1"/>
          <w:kern w:val="0"/>
          <w:szCs w:val="21"/>
          <w:highlight w:val="none"/>
          <w14:textFill>
            <w14:solidFill>
              <w14:schemeClr w14:val="tx1"/>
            </w14:solidFill>
          </w14:textFill>
        </w:rPr>
        <w:t>见附件《</w:t>
      </w:r>
      <w:r>
        <w:rPr>
          <w:rFonts w:hint="eastAsia" w:ascii="宋体" w:hAnsi="宋体" w:cs="宋体"/>
          <w:color w:val="000000" w:themeColor="text1"/>
          <w:kern w:val="0"/>
          <w:szCs w:val="21"/>
          <w:highlight w:val="none"/>
          <w:lang w:val="en-US" w:eastAsia="zh-CN"/>
          <w14:textFill>
            <w14:solidFill>
              <w14:schemeClr w14:val="tx1"/>
            </w14:solidFill>
          </w14:textFill>
        </w:rPr>
        <w:t>广东机场集团服务质量测评</w:t>
      </w:r>
      <w:r>
        <w:rPr>
          <w:rFonts w:hint="eastAsia" w:ascii="宋体" w:hAnsi="宋体" w:cs="宋体"/>
          <w:color w:val="000000" w:themeColor="text1"/>
          <w:kern w:val="0"/>
          <w:szCs w:val="21"/>
          <w:highlight w:val="none"/>
          <w14:textFill>
            <w14:solidFill>
              <w14:schemeClr w14:val="tx1"/>
            </w14:solidFill>
          </w14:textFill>
        </w:rPr>
        <w:t>项目服务考核评分表》。</w:t>
      </w:r>
    </w:p>
    <w:p>
      <w:pPr>
        <w:keepNext/>
        <w:keepLines/>
        <w:widowControl w:val="0"/>
        <w:kinsoku/>
        <w:overflowPunct/>
        <w:topLinePunct w:val="0"/>
        <w:bidi w:val="0"/>
        <w:spacing w:before="260" w:after="260" w:line="440" w:lineRule="exact"/>
        <w:outlineLvl w:val="2"/>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第</w:t>
      </w:r>
      <w:r>
        <w:rPr>
          <w:rFonts w:ascii="Times New Roman" w:hAnsi="Times New Roman"/>
          <w:b/>
          <w:bCs/>
          <w:color w:val="000000" w:themeColor="text1"/>
          <w:szCs w:val="21"/>
          <w:highlight w:val="none"/>
          <w14:textFill>
            <w14:solidFill>
              <w14:schemeClr w14:val="tx1"/>
            </w14:solidFill>
          </w14:textFill>
        </w:rPr>
        <w:t>8</w:t>
      </w:r>
      <w:r>
        <w:rPr>
          <w:rFonts w:hint="eastAsia" w:ascii="Times New Roman" w:hAnsi="Times New Roman" w:cs="宋体"/>
          <w:b/>
          <w:bCs/>
          <w:color w:val="000000" w:themeColor="text1"/>
          <w:szCs w:val="21"/>
          <w:highlight w:val="none"/>
          <w14:textFill>
            <w14:solidFill>
              <w14:schemeClr w14:val="tx1"/>
            </w14:solidFill>
          </w14:textFill>
        </w:rPr>
        <w:t>条</w:t>
      </w:r>
      <w:r>
        <w:rPr>
          <w:rFonts w:ascii="Times New Roman" w:hAnsi="Times New Roman"/>
          <w:b/>
          <w:bCs/>
          <w:color w:val="000000" w:themeColor="text1"/>
          <w:szCs w:val="21"/>
          <w:highlight w:val="none"/>
          <w14:textFill>
            <w14:solidFill>
              <w14:schemeClr w14:val="tx1"/>
            </w14:solidFill>
          </w14:textFill>
        </w:rPr>
        <w:t xml:space="preserve"> </w:t>
      </w:r>
      <w:r>
        <w:rPr>
          <w:rFonts w:hint="eastAsia" w:ascii="Times New Roman" w:hAnsi="Times New Roman"/>
          <w:b/>
          <w:bCs/>
          <w:color w:val="000000" w:themeColor="text1"/>
          <w:szCs w:val="21"/>
          <w:highlight w:val="none"/>
          <w14:textFill>
            <w14:solidFill>
              <w14:schemeClr w14:val="tx1"/>
            </w14:solidFill>
          </w14:textFill>
        </w:rPr>
        <w:t>工作成果、知识产权</w:t>
      </w:r>
      <w:r>
        <w:rPr>
          <w:rFonts w:hint="eastAsia" w:ascii="Times New Roman" w:hAnsi="Times New Roman" w:cs="宋体"/>
          <w:b/>
          <w:bCs/>
          <w:color w:val="000000" w:themeColor="text1"/>
          <w:szCs w:val="21"/>
          <w:highlight w:val="none"/>
          <w14:textFill>
            <w14:solidFill>
              <w14:schemeClr w14:val="tx1"/>
            </w14:solidFill>
          </w14:textFill>
        </w:rPr>
        <w:t>和保密</w:t>
      </w:r>
    </w:p>
    <w:p>
      <w:pPr>
        <w:widowControl w:val="0"/>
        <w:numPr>
          <w:ilvl w:val="1"/>
          <w:numId w:val="10"/>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乙方应准确系统地建立项目和服务过程中的文档和记录，其形式和详细程度应符合其专业水平，并允许甲方在项目执行过程中进行检查和复印。</w:t>
      </w:r>
    </w:p>
    <w:p>
      <w:pPr>
        <w:widowControl w:val="0"/>
        <w:numPr>
          <w:ilvl w:val="1"/>
          <w:numId w:val="10"/>
        </w:numPr>
        <w:kinsoku/>
        <w:overflowPunct/>
        <w:topLinePunct w:val="0"/>
        <w:bidi w:val="0"/>
        <w:spacing w:line="360" w:lineRule="exact"/>
        <w:rPr>
          <w:rFonts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乙方对从甲方处获取的有价值的、形式各样的、专有的和机密的信息或商业秘密负有保密义务。此等信息或商业秘密包括但不限于下述：有关甲方或为甲方所掌握的甲方或第三方的过去、现在或将来的开发或投资计划、经营计划、财务信息，甲方以及项目所涉第三方的经营活动或制度等有关的信息(包括但不限于以有形或无形形式表现的研究或报告、备忘录、蓝图、设计、数据及其它信息)。乙方应对上述信息或商业秘密保密并采取所有合理的预防措施来防止未经甲方授权向第三方披露，且不得将上述信息或商业秘密用于本合同之外的其他用途。该保密义务不因本合同的终止而终止。</w:t>
      </w:r>
    </w:p>
    <w:p>
      <w:pPr>
        <w:widowControl w:val="0"/>
        <w:numPr>
          <w:ilvl w:val="1"/>
          <w:numId w:val="10"/>
        </w:numPr>
        <w:kinsoku/>
        <w:overflowPunct/>
        <w:topLinePunct w:val="0"/>
        <w:bidi w:val="0"/>
        <w:spacing w:line="360" w:lineRule="exact"/>
        <w:rPr>
          <w:rFonts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甲方向乙方提供的图纸、资料、档案均属于甲方的财产，当项目完成或终止后，应甲方要求乙方须归还这些图纸、资料和档案（包括拷贝）。</w:t>
      </w:r>
    </w:p>
    <w:p>
      <w:pPr>
        <w:widowControl w:val="0"/>
        <w:kinsoku/>
        <w:overflowPunct/>
        <w:topLinePunct w:val="0"/>
        <w:bidi w:val="0"/>
        <w:spacing w:line="360" w:lineRule="exact"/>
        <w:ind w:left="945" w:hanging="905" w:hangingChars="45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8.4      乙方因完成本合同约定的服务内容形成的所有报告结论、数据、过程性资料、顾问建议等工作成果归甲方所有，甲方对前述工作成果享有所有权利，包括但不限于知识产权。乙方对于该工作成果不享有再次使用或开发的权利。未经甲方许可，乙方不得将上述报告、结论、数据、过程性资料、顾问建议等有关资料与内容向第三方提供以及用于本次顾问项目外的其它用途。</w:t>
      </w:r>
    </w:p>
    <w:p>
      <w:pPr>
        <w:widowControl w:val="0"/>
        <w:kinsoku/>
        <w:overflowPunct/>
        <w:topLinePunct w:val="0"/>
        <w:bidi w:val="0"/>
        <w:spacing w:line="360" w:lineRule="exact"/>
        <w:ind w:left="850" w:hanging="814" w:hangingChars="405"/>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8.5</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 xml:space="preserve"> 乙方保证向甲方提交的所有工作成果以及在履行本合同过程中所使用的资料、数据、文件等均未侵犯任何第三方的权利（包括但不限于著作权、商标权、专利权、名称权或其他知识产权）或专有技术或商业秘密。当发生第三人主张权利时，乙方应负责解决，造成甲方损失的，乙方应向甲方赔偿，赔偿的范围包括但不限于赔偿金、和解金、行政罚金、律师费、诉讼费以及处理该争议产生的差旅费等。</w:t>
      </w:r>
    </w:p>
    <w:p>
      <w:pPr>
        <w:widowControl w:val="0"/>
        <w:kinsoku/>
        <w:overflowPunct/>
        <w:topLinePunct w:val="0"/>
        <w:bidi w:val="0"/>
        <w:spacing w:line="360" w:lineRule="exact"/>
        <w:ind w:left="850" w:hanging="814" w:hangingChars="405"/>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8.6      此保密义务在本合同解除或终止后仍然有效，直至本合同所涉及的保密信息被公开。</w:t>
      </w:r>
    </w:p>
    <w:p>
      <w:pPr>
        <w:keepNext/>
        <w:keepLines/>
        <w:widowControl w:val="0"/>
        <w:kinsoku/>
        <w:overflowPunct/>
        <w:topLinePunct w:val="0"/>
        <w:bidi w:val="0"/>
        <w:spacing w:before="260" w:after="260" w:line="440" w:lineRule="exact"/>
        <w:outlineLvl w:val="2"/>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第</w:t>
      </w:r>
      <w:r>
        <w:rPr>
          <w:rFonts w:ascii="Times New Roman" w:hAnsi="Times New Roman"/>
          <w:b/>
          <w:bCs/>
          <w:color w:val="000000" w:themeColor="text1"/>
          <w:szCs w:val="21"/>
          <w:highlight w:val="none"/>
          <w14:textFill>
            <w14:solidFill>
              <w14:schemeClr w14:val="tx1"/>
            </w14:solidFill>
          </w14:textFill>
        </w:rPr>
        <w:t>9</w:t>
      </w:r>
      <w:r>
        <w:rPr>
          <w:rFonts w:hint="eastAsia" w:ascii="Times New Roman" w:hAnsi="Times New Roman" w:cs="宋体"/>
          <w:b/>
          <w:bCs/>
          <w:color w:val="000000" w:themeColor="text1"/>
          <w:szCs w:val="21"/>
          <w:highlight w:val="none"/>
          <w14:textFill>
            <w14:solidFill>
              <w14:schemeClr w14:val="tx1"/>
            </w14:solidFill>
          </w14:textFill>
        </w:rPr>
        <w:t>条</w:t>
      </w:r>
      <w:r>
        <w:rPr>
          <w:rFonts w:ascii="Times New Roman" w:hAnsi="Times New Roman"/>
          <w:b/>
          <w:bCs/>
          <w:color w:val="000000" w:themeColor="text1"/>
          <w:szCs w:val="21"/>
          <w:highlight w:val="none"/>
          <w14:textFill>
            <w14:solidFill>
              <w14:schemeClr w14:val="tx1"/>
            </w14:solidFill>
          </w14:textFill>
        </w:rPr>
        <w:t xml:space="preserve"> </w:t>
      </w:r>
      <w:r>
        <w:rPr>
          <w:rFonts w:hint="eastAsia" w:ascii="Times New Roman" w:hAnsi="Times New Roman" w:cs="宋体"/>
          <w:b/>
          <w:bCs/>
          <w:color w:val="000000" w:themeColor="text1"/>
          <w:szCs w:val="21"/>
          <w:highlight w:val="none"/>
          <w14:textFill>
            <w14:solidFill>
              <w14:schemeClr w14:val="tx1"/>
            </w14:solidFill>
          </w14:textFill>
        </w:rPr>
        <w:t>项目调整</w:t>
      </w:r>
    </w:p>
    <w:p>
      <w:pPr>
        <w:widowControl w:val="0"/>
        <w:numPr>
          <w:ilvl w:val="1"/>
          <w:numId w:val="11"/>
        </w:numPr>
        <w:tabs>
          <w:tab w:val="left" w:pos="0"/>
        </w:tabs>
        <w:kinsoku/>
        <w:overflowPunct/>
        <w:topLinePunct w:val="0"/>
        <w:bidi w:val="0"/>
        <w:spacing w:line="360" w:lineRule="exact"/>
        <w:ind w:left="811" w:hanging="811"/>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在项目执行期间，甲方有权对项目作部分修改、删除、增加或其他调整。这些调整须通过书面形式通知乙方。如有异议，乙方须在收到该通知后</w:t>
      </w:r>
      <w:r>
        <w:rPr>
          <w:rFonts w:hint="eastAsia" w:ascii="Times New Roman" w:hAnsi="Times New Roman"/>
          <w:color w:val="000000" w:themeColor="text1"/>
          <w:szCs w:val="21"/>
          <w:highlight w:val="none"/>
          <w14:textFill>
            <w14:solidFill>
              <w14:schemeClr w14:val="tx1"/>
            </w14:solidFill>
          </w14:textFill>
        </w:rPr>
        <w:t>3-5个工作日</w:t>
      </w:r>
      <w:r>
        <w:rPr>
          <w:rFonts w:hint="eastAsia" w:ascii="Times New Roman" w:hAnsi="Times New Roman" w:cs="宋体"/>
          <w:color w:val="000000" w:themeColor="text1"/>
          <w:szCs w:val="21"/>
          <w:highlight w:val="none"/>
          <w14:textFill>
            <w14:solidFill>
              <w14:schemeClr w14:val="tx1"/>
            </w14:solidFill>
          </w14:textFill>
        </w:rPr>
        <w:t>内提出；否则视为乙方已接受这些调整，并以此为合同的组成部分继续履行合同义务。重大调整涉及的费用增减由双方协商</w:t>
      </w:r>
      <w:r>
        <w:rPr>
          <w:rFonts w:hint="eastAsia" w:cs="宋体"/>
          <w:color w:val="000000" w:themeColor="text1"/>
          <w:szCs w:val="21"/>
          <w:highlight w:val="none"/>
          <w:lang w:val="en-US" w:eastAsia="zh-CN"/>
          <w14:textFill>
            <w14:solidFill>
              <w14:schemeClr w14:val="tx1"/>
            </w14:solidFill>
          </w14:textFill>
        </w:rPr>
        <w:t>后，另行签署补充协议约定</w:t>
      </w:r>
      <w:r>
        <w:rPr>
          <w:rFonts w:hint="eastAsia" w:ascii="Times New Roman" w:hAnsi="Times New Roman" w:cs="宋体"/>
          <w:color w:val="000000" w:themeColor="text1"/>
          <w:szCs w:val="21"/>
          <w:highlight w:val="none"/>
          <w14:textFill>
            <w14:solidFill>
              <w14:schemeClr w14:val="tx1"/>
            </w14:solidFill>
          </w14:textFill>
        </w:rPr>
        <w:t>。</w:t>
      </w:r>
    </w:p>
    <w:p>
      <w:pPr>
        <w:keepNext/>
        <w:keepLines/>
        <w:widowControl w:val="0"/>
        <w:kinsoku/>
        <w:overflowPunct/>
        <w:topLinePunct w:val="0"/>
        <w:bidi w:val="0"/>
        <w:spacing w:before="260" w:after="260" w:line="440" w:lineRule="exact"/>
        <w:outlineLvl w:val="2"/>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第</w:t>
      </w:r>
      <w:r>
        <w:rPr>
          <w:rFonts w:ascii="Times New Roman" w:hAnsi="Times New Roman"/>
          <w:b/>
          <w:bCs/>
          <w:color w:val="000000" w:themeColor="text1"/>
          <w:szCs w:val="21"/>
          <w:highlight w:val="none"/>
          <w14:textFill>
            <w14:solidFill>
              <w14:schemeClr w14:val="tx1"/>
            </w14:solidFill>
          </w14:textFill>
        </w:rPr>
        <w:t>10</w:t>
      </w:r>
      <w:r>
        <w:rPr>
          <w:rFonts w:hint="eastAsia" w:ascii="Times New Roman" w:hAnsi="Times New Roman" w:cs="宋体"/>
          <w:b/>
          <w:bCs/>
          <w:color w:val="000000" w:themeColor="text1"/>
          <w:szCs w:val="21"/>
          <w:highlight w:val="none"/>
          <w14:textFill>
            <w14:solidFill>
              <w14:schemeClr w14:val="tx1"/>
            </w14:solidFill>
          </w14:textFill>
        </w:rPr>
        <w:t>条</w:t>
      </w:r>
      <w:r>
        <w:rPr>
          <w:rFonts w:ascii="Times New Roman" w:hAnsi="Times New Roman"/>
          <w:b/>
          <w:bCs/>
          <w:color w:val="000000" w:themeColor="text1"/>
          <w:szCs w:val="21"/>
          <w:highlight w:val="none"/>
          <w14:textFill>
            <w14:solidFill>
              <w14:schemeClr w14:val="tx1"/>
            </w14:solidFill>
          </w14:textFill>
        </w:rPr>
        <w:t xml:space="preserve"> </w:t>
      </w:r>
      <w:r>
        <w:rPr>
          <w:rFonts w:hint="eastAsia" w:ascii="Times New Roman" w:hAnsi="Times New Roman" w:cs="宋体"/>
          <w:b/>
          <w:bCs/>
          <w:color w:val="000000" w:themeColor="text1"/>
          <w:szCs w:val="21"/>
          <w:highlight w:val="none"/>
          <w14:textFill>
            <w14:solidFill>
              <w14:schemeClr w14:val="tx1"/>
            </w14:solidFill>
          </w14:textFill>
        </w:rPr>
        <w:t>违约责任</w:t>
      </w:r>
    </w:p>
    <w:p>
      <w:pPr>
        <w:widowControl w:val="0"/>
        <w:numPr>
          <w:ilvl w:val="1"/>
          <w:numId w:val="12"/>
        </w:numPr>
        <w:kinsoku/>
        <w:overflowPunct/>
        <w:topLinePunct w:val="0"/>
        <w:bidi w:val="0"/>
        <w:spacing w:line="360" w:lineRule="exact"/>
        <w:ind w:left="811" w:hanging="811"/>
        <w:rPr>
          <w:rFonts w:ascii="宋体"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任何一方违反了履约规定，守约方提出索赔，则违约方应对由于其违约引起的或与之有关的事宜负责，并向履约方赔偿。</w:t>
      </w:r>
    </w:p>
    <w:p>
      <w:pPr>
        <w:widowControl w:val="0"/>
        <w:numPr>
          <w:ilvl w:val="1"/>
          <w:numId w:val="12"/>
        </w:numPr>
        <w:kinsoku/>
        <w:overflowPunct/>
        <w:topLinePunct w:val="0"/>
        <w:bidi w:val="0"/>
        <w:spacing w:line="360" w:lineRule="exact"/>
        <w:ind w:left="811" w:hanging="811"/>
        <w:rPr>
          <w:rFonts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甲方如违反本合同第3条约定未按时支付合同费用的，从逾期之日起，甲方须向乙方支付逾期款项总额每日0.2‰的违约金。</w:t>
      </w:r>
    </w:p>
    <w:p>
      <w:pPr>
        <w:widowControl w:val="0"/>
        <w:numPr>
          <w:ilvl w:val="1"/>
          <w:numId w:val="12"/>
        </w:numPr>
        <w:kinsoku/>
        <w:overflowPunct/>
        <w:topLinePunct w:val="0"/>
        <w:bidi w:val="0"/>
        <w:spacing w:line="360" w:lineRule="exact"/>
        <w:ind w:left="811" w:hanging="811"/>
        <w:rPr>
          <w:rFonts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乙方如未能在本合同第4条约定的时间内完成该项目，每逾期一天，按照本合同总金额的5‰向甲方支付违约金。逾期30天以上（含）的，甲方有权单方解除本合同，乙方除应退还甲方已支付的款项和支付上述逾期违约金外，还应按本合同总金额的10%向甲方支付违约金。违约金不足弥补甲方损失的，乙方还应承担赔偿责任。</w:t>
      </w:r>
    </w:p>
    <w:p>
      <w:pPr>
        <w:widowControl w:val="0"/>
        <w:numPr>
          <w:ilvl w:val="1"/>
          <w:numId w:val="12"/>
        </w:numPr>
        <w:kinsoku/>
        <w:overflowPunct/>
        <w:topLinePunct w:val="0"/>
        <w:bidi w:val="0"/>
        <w:spacing w:line="360" w:lineRule="exact"/>
        <w:ind w:left="811" w:hanging="811"/>
        <w:rPr>
          <w:rFonts w:ascii="Times New Roman" w:hAnsi="Times New Roman"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乙方应确保交付的服务成果应通过甲方组织的验收（若根据项目的质量和深度要求，甲方认为需要组织专家评审的，则验收结论应以专家评审结果为准），否则甲方有权拒收，乙方应在甲方限定时间内予以返工并重新交付服务成果。乙方拒绝返工或重新交付的服务成果质量仍然达不到甲方要求的，甲方有权单方解除本合同，乙方应退还甲方已支付的费用和支付合同总金额的</w:t>
      </w:r>
      <w:r>
        <w:rPr>
          <w:rFonts w:hint="eastAsia" w:cs="宋体"/>
          <w:color w:val="000000" w:themeColor="text1"/>
          <w:szCs w:val="21"/>
          <w:highlight w:val="none"/>
          <w:lang w:eastAsia="zh-CN"/>
          <w14:textFill>
            <w14:solidFill>
              <w14:schemeClr w14:val="tx1"/>
            </w14:solidFill>
          </w14:textFill>
        </w:rPr>
        <w:t>1</w:t>
      </w:r>
      <w:r>
        <w:rPr>
          <w:rFonts w:hint="eastAsia" w:cs="宋体"/>
          <w:color w:val="000000" w:themeColor="text1"/>
          <w:szCs w:val="21"/>
          <w:highlight w:val="none"/>
          <w:lang w:val="en-US" w:eastAsia="zh-CN"/>
          <w14:textFill>
            <w14:solidFill>
              <w14:schemeClr w14:val="tx1"/>
            </w14:solidFill>
          </w14:textFill>
        </w:rPr>
        <w:t>0</w:t>
      </w:r>
      <w:r>
        <w:rPr>
          <w:rFonts w:hint="eastAsia" w:cs="宋体"/>
          <w:color w:val="000000" w:themeColor="text1"/>
          <w:szCs w:val="21"/>
          <w:highlight w:val="none"/>
          <w14:textFill>
            <w14:solidFill>
              <w14:schemeClr w14:val="tx1"/>
            </w14:solidFill>
          </w14:textFill>
        </w:rPr>
        <w:t>%违约金。违约金不足弥补损失的，乙方还应承担赔偿责任。</w:t>
      </w:r>
    </w:p>
    <w:p>
      <w:pPr>
        <w:widowControl w:val="0"/>
        <w:numPr>
          <w:ilvl w:val="1"/>
          <w:numId w:val="12"/>
        </w:numPr>
        <w:kinsoku/>
        <w:overflowPunct/>
        <w:topLinePunct w:val="0"/>
        <w:bidi w:val="0"/>
        <w:spacing w:line="360" w:lineRule="exact"/>
        <w:ind w:left="811" w:hanging="811"/>
        <w:rPr>
          <w:rFonts w:ascii="Times New Roman" w:hAnsi="Times New Roman"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本合同履行期限内，如乙方发生本合同第</w:t>
      </w:r>
      <w:r>
        <w:rPr>
          <w:rFonts w:hint="eastAsia" w:cs="宋体"/>
          <w:color w:val="000000" w:themeColor="text1"/>
          <w:szCs w:val="21"/>
          <w:highlight w:val="none"/>
          <w:lang w:eastAsia="zh-CN"/>
          <w14:textFill>
            <w14:solidFill>
              <w14:schemeClr w14:val="tx1"/>
            </w14:solidFill>
          </w14:textFill>
        </w:rPr>
        <w:t>6</w:t>
      </w:r>
      <w:r>
        <w:rPr>
          <w:rFonts w:hint="eastAsia" w:cs="宋体"/>
          <w:color w:val="000000" w:themeColor="text1"/>
          <w:szCs w:val="21"/>
          <w:highlight w:val="none"/>
          <w14:textFill>
            <w14:solidFill>
              <w14:schemeClr w14:val="tx1"/>
            </w14:solidFill>
          </w14:textFill>
        </w:rPr>
        <w:t>条第</w:t>
      </w:r>
      <w:r>
        <w:rPr>
          <w:rFonts w:hint="eastAsia" w:cs="宋体"/>
          <w:color w:val="000000" w:themeColor="text1"/>
          <w:szCs w:val="21"/>
          <w:highlight w:val="none"/>
          <w:lang w:eastAsia="zh-CN"/>
          <w14:textFill>
            <w14:solidFill>
              <w14:schemeClr w14:val="tx1"/>
            </w14:solidFill>
          </w14:textFill>
        </w:rPr>
        <w:t>1</w:t>
      </w:r>
      <w:r>
        <w:rPr>
          <w:rFonts w:hint="eastAsia" w:cs="宋体"/>
          <w:color w:val="000000" w:themeColor="text1"/>
          <w:szCs w:val="21"/>
          <w:highlight w:val="none"/>
          <w:lang w:val="en-US" w:eastAsia="zh-CN"/>
          <w14:textFill>
            <w14:solidFill>
              <w14:schemeClr w14:val="tx1"/>
            </w14:solidFill>
          </w14:textFill>
        </w:rPr>
        <w:t>3款</w:t>
      </w:r>
      <w:r>
        <w:rPr>
          <w:rFonts w:hint="eastAsia" w:cs="宋体"/>
          <w:color w:val="000000" w:themeColor="text1"/>
          <w:szCs w:val="21"/>
          <w:highlight w:val="none"/>
          <w14:textFill>
            <w14:solidFill>
              <w14:schemeClr w14:val="tx1"/>
            </w14:solidFill>
          </w14:textFill>
        </w:rPr>
        <w:t>约定情形，则视为乙方根本违约，甲方有权单方解除本合同，乙方除应退还甲方已支付的费用外，还应向甲方支付本合同总金额的</w:t>
      </w:r>
      <w:r>
        <w:rPr>
          <w:rFonts w:hint="eastAsia" w:cs="宋体"/>
          <w:color w:val="000000" w:themeColor="text1"/>
          <w:szCs w:val="21"/>
          <w:highlight w:val="none"/>
          <w:lang w:eastAsia="zh-CN"/>
          <w14:textFill>
            <w14:solidFill>
              <w14:schemeClr w14:val="tx1"/>
            </w14:solidFill>
          </w14:textFill>
        </w:rPr>
        <w:t>2</w:t>
      </w:r>
      <w:r>
        <w:rPr>
          <w:rFonts w:hint="eastAsia" w:cs="宋体"/>
          <w:color w:val="000000" w:themeColor="text1"/>
          <w:szCs w:val="21"/>
          <w:highlight w:val="none"/>
          <w:lang w:val="en-US" w:eastAsia="zh-CN"/>
          <w14:textFill>
            <w14:solidFill>
              <w14:schemeClr w14:val="tx1"/>
            </w14:solidFill>
          </w14:textFill>
        </w:rPr>
        <w:t>0</w:t>
      </w:r>
      <w:r>
        <w:rPr>
          <w:rFonts w:hint="eastAsia" w:cs="宋体"/>
          <w:color w:val="000000" w:themeColor="text1"/>
          <w:szCs w:val="21"/>
          <w:highlight w:val="none"/>
          <w14:textFill>
            <w14:solidFill>
              <w14:schemeClr w14:val="tx1"/>
            </w14:solidFill>
          </w14:textFill>
        </w:rPr>
        <w:t>%作为违约金。违约金不足以弥补甲方损失的，乙方还应承担赔偿责任。</w:t>
      </w:r>
    </w:p>
    <w:p>
      <w:pPr>
        <w:widowControl w:val="0"/>
        <w:numPr>
          <w:ilvl w:val="1"/>
          <w:numId w:val="12"/>
        </w:numPr>
        <w:kinsoku/>
        <w:overflowPunct/>
        <w:topLinePunct w:val="0"/>
        <w:bidi w:val="0"/>
        <w:spacing w:line="360" w:lineRule="exact"/>
        <w:ind w:left="811" w:hanging="811"/>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乙方未经甲方同意</w:t>
      </w:r>
      <w:r>
        <w:rPr>
          <w:rFonts w:hint="eastAsia" w:cs="宋体"/>
          <w:color w:val="000000" w:themeColor="text1"/>
          <w:szCs w:val="21"/>
          <w:highlight w:val="none"/>
          <w:lang w:val="en-US" w:eastAsia="zh-CN"/>
          <w14:textFill>
            <w14:solidFill>
              <w14:schemeClr w14:val="tx1"/>
            </w14:solidFill>
          </w14:textFill>
        </w:rPr>
        <w:t>更换</w:t>
      </w:r>
      <w:r>
        <w:rPr>
          <w:rFonts w:hint="eastAsia" w:cs="宋体"/>
          <w:color w:val="000000" w:themeColor="text1"/>
          <w:szCs w:val="21"/>
          <w:highlight w:val="none"/>
          <w:lang w:eastAsia="zh-CN"/>
          <w14:textFill>
            <w14:solidFill>
              <w14:schemeClr w14:val="tx1"/>
            </w14:solidFill>
          </w14:textFill>
        </w:rPr>
        <w:t>报名文件</w:t>
      </w:r>
      <w:r>
        <w:rPr>
          <w:rFonts w:hint="eastAsia" w:cs="宋体"/>
          <w:color w:val="000000" w:themeColor="text1"/>
          <w:szCs w:val="21"/>
          <w:highlight w:val="none"/>
          <w:lang w:val="en-US" w:eastAsia="zh-CN"/>
          <w14:textFill>
            <w14:solidFill>
              <w14:schemeClr w14:val="tx1"/>
            </w14:solidFill>
          </w14:textFill>
        </w:rPr>
        <w:t>承诺</w:t>
      </w:r>
      <w:r>
        <w:rPr>
          <w:rFonts w:hint="eastAsia" w:cs="宋体"/>
          <w:color w:val="000000" w:themeColor="text1"/>
          <w:szCs w:val="21"/>
          <w:highlight w:val="none"/>
          <w14:textFill>
            <w14:solidFill>
              <w14:schemeClr w14:val="tx1"/>
            </w14:solidFill>
          </w14:textFill>
        </w:rPr>
        <w:t>的团队成员</w:t>
      </w:r>
      <w:r>
        <w:rPr>
          <w:rFonts w:hint="eastAsia" w:cs="宋体"/>
          <w:color w:val="000000" w:themeColor="text1"/>
          <w:szCs w:val="21"/>
          <w:highlight w:val="none"/>
          <w:lang w:val="en-US" w:eastAsia="zh-CN"/>
          <w14:textFill>
            <w14:solidFill>
              <w14:schemeClr w14:val="tx1"/>
            </w14:solidFill>
          </w14:textFill>
        </w:rPr>
        <w:t>时</w:t>
      </w:r>
      <w:r>
        <w:rPr>
          <w:rFonts w:hint="eastAsia" w:cs="宋体"/>
          <w:color w:val="000000" w:themeColor="text1"/>
          <w:szCs w:val="21"/>
          <w:highlight w:val="none"/>
          <w14:textFill>
            <w14:solidFill>
              <w14:schemeClr w14:val="tx1"/>
            </w14:solidFill>
          </w14:textFill>
        </w:rPr>
        <w:t>，甲方有权解除合同，乙方除应退还甲方已支付的费用外，还应向甲方支付违约金</w:t>
      </w:r>
      <w:r>
        <w:rPr>
          <w:rFonts w:hint="eastAsia" w:cs="宋体"/>
          <w:color w:val="000000" w:themeColor="text1"/>
          <w:szCs w:val="21"/>
          <w:highlight w:val="none"/>
          <w:lang w:eastAsia="zh-CN"/>
          <w14:textFill>
            <w14:solidFill>
              <w14:schemeClr w14:val="tx1"/>
            </w14:solidFill>
          </w14:textFill>
        </w:rPr>
        <w:t>。</w:t>
      </w:r>
      <w:r>
        <w:rPr>
          <w:rFonts w:hint="eastAsia" w:cs="宋体"/>
          <w:color w:val="000000" w:themeColor="text1"/>
          <w:szCs w:val="21"/>
          <w:highlight w:val="none"/>
          <w14:textFill>
            <w14:solidFill>
              <w14:schemeClr w14:val="tx1"/>
            </w14:solidFill>
          </w14:textFill>
        </w:rPr>
        <w:t>更换项目</w:t>
      </w:r>
      <w:r>
        <w:rPr>
          <w:rFonts w:hint="eastAsia" w:cs="宋体"/>
          <w:color w:val="000000" w:themeColor="text1"/>
          <w:szCs w:val="21"/>
          <w:highlight w:val="none"/>
          <w:lang w:val="en-US" w:eastAsia="zh-CN"/>
          <w14:textFill>
            <w14:solidFill>
              <w14:schemeClr w14:val="tx1"/>
            </w14:solidFill>
          </w14:textFill>
        </w:rPr>
        <w:t>负责人</w:t>
      </w:r>
      <w:r>
        <w:rPr>
          <w:rFonts w:hint="eastAsia" w:cs="宋体"/>
          <w:color w:val="000000" w:themeColor="text1"/>
          <w:szCs w:val="21"/>
          <w:highlight w:val="none"/>
          <w14:textFill>
            <w14:solidFill>
              <w14:schemeClr w14:val="tx1"/>
            </w14:solidFill>
          </w14:textFill>
        </w:rPr>
        <w:t>的，甲方有权要求乙方支付本合同总金额的</w:t>
      </w:r>
      <w:r>
        <w:rPr>
          <w:rFonts w:hint="eastAsia" w:cs="宋体"/>
          <w:color w:val="000000" w:themeColor="text1"/>
          <w:szCs w:val="21"/>
          <w:highlight w:val="none"/>
          <w:lang w:val="en-US" w:eastAsia="zh-CN"/>
          <w14:textFill>
            <w14:solidFill>
              <w14:schemeClr w14:val="tx1"/>
            </w14:solidFill>
          </w14:textFill>
        </w:rPr>
        <w:t>10</w:t>
      </w:r>
      <w:r>
        <w:rPr>
          <w:rFonts w:hint="eastAsia" w:cs="宋体"/>
          <w:color w:val="000000" w:themeColor="text1"/>
          <w:szCs w:val="21"/>
          <w:highlight w:val="none"/>
          <w14:textFill>
            <w14:solidFill>
              <w14:schemeClr w14:val="tx1"/>
            </w14:solidFill>
          </w14:textFill>
        </w:rPr>
        <w:t>%作为违约金；更换项目</w:t>
      </w:r>
      <w:r>
        <w:rPr>
          <w:rFonts w:hint="eastAsia" w:cs="宋体"/>
          <w:color w:val="000000" w:themeColor="text1"/>
          <w:szCs w:val="21"/>
          <w:highlight w:val="none"/>
          <w:lang w:val="en-US" w:eastAsia="zh-CN"/>
          <w14:textFill>
            <w14:solidFill>
              <w14:schemeClr w14:val="tx1"/>
            </w14:solidFill>
          </w14:textFill>
        </w:rPr>
        <w:t>团队</w:t>
      </w:r>
      <w:r>
        <w:rPr>
          <w:rFonts w:hint="eastAsia" w:cs="宋体"/>
          <w:color w:val="000000" w:themeColor="text1"/>
          <w:szCs w:val="21"/>
          <w:highlight w:val="none"/>
          <w14:textFill>
            <w14:solidFill>
              <w14:schemeClr w14:val="tx1"/>
            </w14:solidFill>
          </w14:textFill>
        </w:rPr>
        <w:t>工作人员的，每更换1名，甲方有权要求乙方支付本合同总金额的</w:t>
      </w:r>
      <w:r>
        <w:rPr>
          <w:rFonts w:hint="eastAsia" w:cs="宋体"/>
          <w:color w:val="000000" w:themeColor="text1"/>
          <w:szCs w:val="21"/>
          <w:highlight w:val="none"/>
          <w:lang w:val="en-US" w:eastAsia="zh-CN"/>
          <w14:textFill>
            <w14:solidFill>
              <w14:schemeClr w14:val="tx1"/>
            </w14:solidFill>
          </w14:textFill>
        </w:rPr>
        <w:t>5</w:t>
      </w:r>
      <w:r>
        <w:rPr>
          <w:rFonts w:hint="eastAsia" w:cs="宋体"/>
          <w:color w:val="000000" w:themeColor="text1"/>
          <w:szCs w:val="21"/>
          <w:highlight w:val="none"/>
          <w14:textFill>
            <w14:solidFill>
              <w14:schemeClr w14:val="tx1"/>
            </w14:solidFill>
          </w14:textFill>
        </w:rPr>
        <w:t>%作为违约金。如违约金不足以弥补甲方损失的，乙方还应承担赔偿责任。</w:t>
      </w:r>
    </w:p>
    <w:p>
      <w:pPr>
        <w:widowControl w:val="0"/>
        <w:numPr>
          <w:ilvl w:val="1"/>
          <w:numId w:val="12"/>
        </w:numPr>
        <w:kinsoku/>
        <w:overflowPunct/>
        <w:topLinePunct w:val="0"/>
        <w:bidi w:val="0"/>
        <w:spacing w:line="360" w:lineRule="exact"/>
        <w:ind w:left="811" w:hanging="811"/>
        <w:rPr>
          <w:rFonts w:ascii="Times New Roman" w:hAnsi="Times New Roman"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乙方派驻的团队成员在甲方场地内出现工伤或因咨询人员不熟悉场地情况或不正确使用相关设施设备造成的损害（包括人身损害、财产损害、舆论形象损害等等）均应由乙方履行用人单位责任自行负责处理，如果造成甲方或第三方的上述损害，应由乙方承担相应赔偿责任。</w:t>
      </w:r>
    </w:p>
    <w:p>
      <w:pPr>
        <w:widowControl w:val="0"/>
        <w:numPr>
          <w:ilvl w:val="1"/>
          <w:numId w:val="12"/>
        </w:numPr>
        <w:kinsoku/>
        <w:overflowPunct/>
        <w:topLinePunct w:val="0"/>
        <w:bidi w:val="0"/>
        <w:spacing w:line="360" w:lineRule="exact"/>
        <w:ind w:left="811" w:hanging="811"/>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在合同履行期间，如合同解除或终止且乙方未开始工作的，则应全额退还甲方已付的所有款项。</w:t>
      </w:r>
    </w:p>
    <w:p>
      <w:pPr>
        <w:widowControl w:val="0"/>
        <w:numPr>
          <w:ilvl w:val="1"/>
          <w:numId w:val="12"/>
        </w:numPr>
        <w:kinsoku/>
        <w:overflowPunct/>
        <w:topLinePunct w:val="0"/>
        <w:bidi w:val="0"/>
        <w:spacing w:line="360" w:lineRule="exact"/>
        <w:ind w:left="811" w:hanging="811"/>
        <w:rPr>
          <w:rFonts w:ascii="Times New Roman" w:hAnsi="Times New Roman"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合同生效后，乙方无合理理由要求解除合同的，乙方应退还全部已支付的费用，并按本合同总金额的</w:t>
      </w:r>
      <w:r>
        <w:rPr>
          <w:rFonts w:hint="eastAsia" w:cs="宋体"/>
          <w:color w:val="000000" w:themeColor="text1"/>
          <w:szCs w:val="21"/>
          <w:highlight w:val="none"/>
          <w:lang w:eastAsia="zh-CN"/>
          <w14:textFill>
            <w14:solidFill>
              <w14:schemeClr w14:val="tx1"/>
            </w14:solidFill>
          </w14:textFill>
        </w:rPr>
        <w:t>2</w:t>
      </w:r>
      <w:r>
        <w:rPr>
          <w:rFonts w:hint="eastAsia" w:cs="宋体"/>
          <w:color w:val="000000" w:themeColor="text1"/>
          <w:szCs w:val="21"/>
          <w:highlight w:val="none"/>
          <w:lang w:val="en-US" w:eastAsia="zh-CN"/>
          <w14:textFill>
            <w14:solidFill>
              <w14:schemeClr w14:val="tx1"/>
            </w14:solidFill>
          </w14:textFill>
        </w:rPr>
        <w:t>0</w:t>
      </w:r>
      <w:r>
        <w:rPr>
          <w:rFonts w:hint="eastAsia" w:cs="宋体"/>
          <w:color w:val="000000" w:themeColor="text1"/>
          <w:szCs w:val="21"/>
          <w:highlight w:val="none"/>
          <w14:textFill>
            <w14:solidFill>
              <w14:schemeClr w14:val="tx1"/>
            </w14:solidFill>
          </w14:textFill>
        </w:rPr>
        <w:t>%向甲方支付违约金，违约金不足以弥补甲方损失的，乙方还应承担赔偿责任。在此情况下，乙方已完成的服务成果的知识产权和使用权归甲方所有。</w:t>
      </w:r>
    </w:p>
    <w:p>
      <w:pPr>
        <w:widowControl w:val="0"/>
        <w:numPr>
          <w:ilvl w:val="1"/>
          <w:numId w:val="12"/>
        </w:numPr>
        <w:kinsoku/>
        <w:overflowPunct/>
        <w:topLinePunct w:val="0"/>
        <w:bidi w:val="0"/>
        <w:spacing w:line="360" w:lineRule="exact"/>
        <w:ind w:left="811" w:hanging="811"/>
        <w:rPr>
          <w:rFonts w:ascii="Times New Roman" w:hAnsi="Times New Roman"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双方均承诺，免除因新冠肺炎疫情影响造成的项目报批延迟及财务支付延期的违约责任。</w:t>
      </w:r>
    </w:p>
    <w:p>
      <w:pPr>
        <w:widowControl w:val="0"/>
        <w:numPr>
          <w:ilvl w:val="1"/>
          <w:numId w:val="12"/>
        </w:numPr>
        <w:kinsoku/>
        <w:overflowPunct/>
        <w:topLinePunct w:val="0"/>
        <w:bidi w:val="0"/>
        <w:spacing w:line="360" w:lineRule="exact"/>
        <w:ind w:left="811" w:hanging="811"/>
        <w:rPr>
          <w:rFonts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如果一方违反本合同有关保密的规定而另一方造成损失的，应按本合同总金额的10%向另一方支付违约金，违约金不足弥补损失的，还应承担赔偿责任。</w:t>
      </w:r>
    </w:p>
    <w:p>
      <w:pPr>
        <w:pStyle w:val="26"/>
        <w:rPr>
          <w:rFonts w:ascii="仿宋_GB2312" w:hAnsi="Times New Roman" w:cs="Times New Roman"/>
          <w:color w:val="000000" w:themeColor="text1"/>
          <w:szCs w:val="28"/>
          <w:highlight w:val="none"/>
          <w14:textFill>
            <w14:solidFill>
              <w14:schemeClr w14:val="tx1"/>
            </w14:solidFill>
          </w14:textFill>
        </w:rPr>
      </w:pPr>
    </w:p>
    <w:p>
      <w:pPr>
        <w:keepNext/>
        <w:keepLines/>
        <w:widowControl w:val="0"/>
        <w:kinsoku/>
        <w:overflowPunct/>
        <w:topLinePunct w:val="0"/>
        <w:bidi w:val="0"/>
        <w:spacing w:before="260" w:after="260" w:line="440" w:lineRule="exact"/>
        <w:outlineLvl w:val="2"/>
        <w:rPr>
          <w:rFonts w:ascii="Times New Roman" w:hAnsi="Times New Roman" w:cs="宋体"/>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第</w:t>
      </w:r>
      <w:r>
        <w:rPr>
          <w:rFonts w:ascii="Times New Roman" w:hAnsi="Times New Roman" w:cs="宋体"/>
          <w:b/>
          <w:bCs/>
          <w:color w:val="000000" w:themeColor="text1"/>
          <w:szCs w:val="21"/>
          <w:highlight w:val="none"/>
          <w14:textFill>
            <w14:solidFill>
              <w14:schemeClr w14:val="tx1"/>
            </w14:solidFill>
          </w14:textFill>
        </w:rPr>
        <w:t>11</w:t>
      </w:r>
      <w:r>
        <w:rPr>
          <w:rFonts w:hint="eastAsia" w:ascii="Times New Roman" w:hAnsi="Times New Roman" w:cs="宋体"/>
          <w:b/>
          <w:bCs/>
          <w:color w:val="000000" w:themeColor="text1"/>
          <w:szCs w:val="21"/>
          <w:highlight w:val="none"/>
          <w14:textFill>
            <w14:solidFill>
              <w14:schemeClr w14:val="tx1"/>
            </w14:solidFill>
          </w14:textFill>
        </w:rPr>
        <w:t>条</w:t>
      </w:r>
      <w:r>
        <w:rPr>
          <w:rFonts w:ascii="Times New Roman" w:hAnsi="Times New Roman" w:cs="宋体"/>
          <w:b/>
          <w:bCs/>
          <w:color w:val="000000" w:themeColor="text1"/>
          <w:szCs w:val="21"/>
          <w:highlight w:val="none"/>
          <w14:textFill>
            <w14:solidFill>
              <w14:schemeClr w14:val="tx1"/>
            </w14:solidFill>
          </w14:textFill>
        </w:rPr>
        <w:t xml:space="preserve">  </w:t>
      </w:r>
      <w:r>
        <w:rPr>
          <w:rFonts w:hint="eastAsia" w:ascii="Times New Roman" w:hAnsi="Times New Roman" w:cs="宋体"/>
          <w:b/>
          <w:bCs/>
          <w:color w:val="000000" w:themeColor="text1"/>
          <w:szCs w:val="21"/>
          <w:highlight w:val="none"/>
          <w14:textFill>
            <w14:solidFill>
              <w14:schemeClr w14:val="tx1"/>
            </w14:solidFill>
          </w14:textFill>
        </w:rPr>
        <w:t>不可抗力条款</w:t>
      </w:r>
    </w:p>
    <w:p>
      <w:pPr>
        <w:widowControl w:val="0"/>
        <w:kinsoku/>
        <w:overflowPunct/>
        <w:topLinePunct w:val="0"/>
        <w:bidi w:val="0"/>
        <w:spacing w:after="120" w:line="360" w:lineRule="exact"/>
        <w:ind w:left="840" w:hanging="804" w:hangingChars="400"/>
        <w:rPr>
          <w:rFonts w:ascii="Times New Roman" w:hAnsi="Times New Roman" w:eastAsia="Times New Roman"/>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11.1    不可抗力指签署本合同时不能预见、不能避免、不能克服的，且导致本合同全部或者部分不能履行或者不能按</w:t>
      </w:r>
      <w:r>
        <w:rPr>
          <w:rFonts w:hint="eastAsia" w:ascii="Times New Roman" w:hAnsi="宋体" w:cs="宋体"/>
          <w:color w:val="000000" w:themeColor="text1"/>
          <w:kern w:val="0"/>
          <w:szCs w:val="21"/>
          <w:highlight w:val="none"/>
          <w14:textFill>
            <w14:solidFill>
              <w14:schemeClr w14:val="tx1"/>
            </w14:solidFill>
          </w14:textFill>
        </w:rPr>
        <w:t>时履行的客观情况，包括但不限于，政府行为、自然灾害、火灾、爆炸、台风、洪水、地震、海啸、雷电或战争。该事件妨碍、影响或延误任何一方根据本合同履行其全部或部分义务。任何信用</w:t>
      </w:r>
      <w:r>
        <w:rPr>
          <w:rFonts w:hint="eastAsia" w:ascii="Times New Roman" w:hAnsi="Times New Roman" w:cs="宋体"/>
          <w:color w:val="000000" w:themeColor="text1"/>
          <w:kern w:val="0"/>
          <w:szCs w:val="21"/>
          <w:highlight w:val="none"/>
          <w14:textFill>
            <w14:solidFill>
              <w14:schemeClr w14:val="tx1"/>
            </w14:solidFill>
          </w14:textFill>
        </w:rPr>
        <w:t>、资本或资金短缺不应视为超出当事人合理控制的范围。</w:t>
      </w:r>
    </w:p>
    <w:p>
      <w:pPr>
        <w:widowControl w:val="0"/>
        <w:kinsoku/>
        <w:overflowPunct/>
        <w:topLinePunct w:val="0"/>
        <w:bidi w:val="0"/>
        <w:spacing w:after="120" w:line="360" w:lineRule="exact"/>
        <w:ind w:left="840" w:hanging="804" w:hangingChars="400"/>
        <w:rPr>
          <w:rFonts w:ascii="Times New Roman" w:hAnsi="宋体" w:cs="宋体"/>
          <w:color w:val="000000" w:themeColor="text1"/>
          <w:kern w:val="0"/>
          <w:szCs w:val="21"/>
          <w:highlight w:val="none"/>
          <w14:textFill>
            <w14:solidFill>
              <w14:schemeClr w14:val="tx1"/>
            </w14:solidFill>
          </w14:textFill>
        </w:rPr>
      </w:pPr>
      <w:r>
        <w:rPr>
          <w:rFonts w:hint="eastAsia" w:ascii="Times New Roman" w:hAnsi="Times New Roman" w:cs="宋体"/>
          <w:color w:val="000000" w:themeColor="text1"/>
          <w:kern w:val="0"/>
          <w:szCs w:val="21"/>
          <w:highlight w:val="none"/>
          <w14:textFill>
            <w14:solidFill>
              <w14:schemeClr w14:val="tx1"/>
            </w14:solidFill>
          </w14:textFill>
        </w:rPr>
        <w:t xml:space="preserve">11.2    </w:t>
      </w:r>
      <w:r>
        <w:rPr>
          <w:rFonts w:hint="eastAsia" w:ascii="Times New Roman" w:hAnsi="宋体" w:cs="宋体"/>
          <w:color w:val="000000" w:themeColor="text1"/>
          <w:kern w:val="0"/>
          <w:szCs w:val="21"/>
          <w:highlight w:val="none"/>
          <w14:textFill>
            <w14:solidFill>
              <w14:schemeClr w14:val="tx1"/>
            </w14:solidFill>
          </w14:textFill>
        </w:rPr>
        <w:t>因遭受不可抗力事件导致不能履行或不能完全履行合同的一方应立即用最可能的最快捷的方式通知另一方该事件的性质、发生日期、预计持续时间等有关的细节，以及该事件阻碍通知方履行其于本合同项下义务的程度。若遭受不可抗力事件的一方怠于履行通知义务的，由此而导致的损失由该方承担。</w:t>
      </w:r>
    </w:p>
    <w:p>
      <w:pPr>
        <w:widowControl w:val="0"/>
        <w:kinsoku/>
        <w:overflowPunct/>
        <w:topLinePunct w:val="0"/>
        <w:bidi w:val="0"/>
        <w:spacing w:after="120" w:line="360" w:lineRule="exact"/>
        <w:ind w:left="840" w:hanging="804" w:hangingChars="400"/>
        <w:rPr>
          <w:rFonts w:ascii="Times New Roman" w:hAnsi="Times New Roman" w:eastAsia="Times New Roman"/>
          <w:color w:val="000000" w:themeColor="text1"/>
          <w:kern w:val="0"/>
          <w:szCs w:val="21"/>
          <w:highlight w:val="none"/>
          <w14:textFill>
            <w14:solidFill>
              <w14:schemeClr w14:val="tx1"/>
            </w14:solidFill>
          </w14:textFill>
        </w:rPr>
      </w:pPr>
      <w:r>
        <w:rPr>
          <w:rFonts w:hint="eastAsia" w:ascii="Times New Roman" w:hAnsi="宋体" w:cs="宋体"/>
          <w:color w:val="000000" w:themeColor="text1"/>
          <w:kern w:val="0"/>
          <w:szCs w:val="21"/>
          <w:highlight w:val="none"/>
          <w14:textFill>
            <w14:solidFill>
              <w14:schemeClr w14:val="tx1"/>
            </w14:solidFill>
          </w14:textFill>
        </w:rPr>
        <w:t xml:space="preserve">11.3    </w:t>
      </w:r>
      <w:r>
        <w:rPr>
          <w:rFonts w:hint="eastAsia" w:ascii="Times New Roman" w:hAnsi="宋体" w:eastAsia="Times New Roman" w:cs="宋体"/>
          <w:color w:val="000000" w:themeColor="text1"/>
          <w:kern w:val="0"/>
          <w:szCs w:val="21"/>
          <w:highlight w:val="none"/>
          <w14:textFill>
            <w14:solidFill>
              <w14:schemeClr w14:val="tx1"/>
            </w14:solidFill>
          </w14:textFill>
        </w:rPr>
        <w:t>遭受不可抗力事件的一方应当在自不可抗力事件发生之日起</w:t>
      </w:r>
      <w:r>
        <w:rPr>
          <w:rFonts w:hint="eastAsia" w:ascii="Times New Roman" w:hAnsi="宋体" w:cs="宋体"/>
          <w:color w:val="000000" w:themeColor="text1"/>
          <w:kern w:val="0"/>
          <w:szCs w:val="21"/>
          <w:highlight w:val="none"/>
          <w14:textFill>
            <w14:solidFill>
              <w14:schemeClr w14:val="tx1"/>
            </w14:solidFill>
          </w14:textFill>
        </w:rPr>
        <w:t>3</w:t>
      </w:r>
      <w:r>
        <w:rPr>
          <w:rFonts w:hint="eastAsia" w:ascii="Times New Roman" w:hAnsi="宋体" w:eastAsia="Times New Roman" w:cs="宋体"/>
          <w:color w:val="000000" w:themeColor="text1"/>
          <w:kern w:val="0"/>
          <w:szCs w:val="21"/>
          <w:highlight w:val="none"/>
          <w14:textFill>
            <w14:solidFill>
              <w14:schemeClr w14:val="tx1"/>
            </w14:solidFill>
          </w14:textFill>
        </w:rPr>
        <w:t>天内向另一方提供由不可抗力发生地市级以上有关行政管理部门出具的证实不可抗力事件发生的证明，如其不能提供该等证明，另一方可根据本合同的规定要求其承担违约责任。</w:t>
      </w:r>
    </w:p>
    <w:p>
      <w:pPr>
        <w:widowControl w:val="0"/>
        <w:kinsoku/>
        <w:overflowPunct/>
        <w:topLinePunct w:val="0"/>
        <w:bidi w:val="0"/>
        <w:spacing w:after="120" w:line="360" w:lineRule="exact"/>
        <w:ind w:left="840" w:hanging="804" w:hangingChars="400"/>
        <w:rPr>
          <w:rFonts w:ascii="Times New Roman" w:hAnsi="Times New Roman" w:eastAsia="Times New Roman"/>
          <w:color w:val="000000" w:themeColor="text1"/>
          <w:kern w:val="0"/>
          <w:szCs w:val="21"/>
          <w:highlight w:val="none"/>
          <w14:textFill>
            <w14:solidFill>
              <w14:schemeClr w14:val="tx1"/>
            </w14:solidFill>
          </w14:textFill>
        </w:rPr>
      </w:pPr>
      <w:r>
        <w:rPr>
          <w:rFonts w:hint="eastAsia" w:ascii="Times New Roman" w:hAnsi="宋体" w:cs="宋体"/>
          <w:color w:val="000000" w:themeColor="text1"/>
          <w:kern w:val="0"/>
          <w:szCs w:val="21"/>
          <w:highlight w:val="none"/>
          <w14:textFill>
            <w14:solidFill>
              <w14:schemeClr w14:val="tx1"/>
            </w14:solidFill>
          </w14:textFill>
        </w:rPr>
        <w:t xml:space="preserve">11.4    </w:t>
      </w:r>
      <w:r>
        <w:rPr>
          <w:rFonts w:hint="eastAsia" w:ascii="Times New Roman" w:hAnsi="宋体" w:eastAsia="Times New Roman" w:cs="宋体"/>
          <w:color w:val="000000" w:themeColor="text1"/>
          <w:kern w:val="0"/>
          <w:szCs w:val="21"/>
          <w:highlight w:val="none"/>
          <w14:textFill>
            <w14:solidFill>
              <w14:schemeClr w14:val="tx1"/>
            </w14:solidFill>
          </w14:textFill>
        </w:rPr>
        <w:t>由于不可抗力的原因导致不能履行或不能完全履行合同的，经双方协商，允许延期履行、部分履行或者不履行合同，并根据情况可部分或全部免予承担违约责任。如不可抗力事件延续到</w:t>
      </w:r>
      <w:r>
        <w:rPr>
          <w:rFonts w:hint="eastAsia" w:ascii="Times New Roman" w:hAnsi="宋体" w:cs="宋体"/>
          <w:color w:val="000000" w:themeColor="text1"/>
          <w:kern w:val="0"/>
          <w:szCs w:val="21"/>
          <w:highlight w:val="none"/>
          <w14:textFill>
            <w14:solidFill>
              <w14:schemeClr w14:val="tx1"/>
            </w14:solidFill>
          </w14:textFill>
        </w:rPr>
        <w:t>120</w:t>
      </w:r>
      <w:r>
        <w:rPr>
          <w:rFonts w:hint="eastAsia" w:ascii="Times New Roman" w:hAnsi="宋体" w:eastAsia="Times New Roman" w:cs="宋体"/>
          <w:color w:val="000000" w:themeColor="text1"/>
          <w:kern w:val="0"/>
          <w:szCs w:val="21"/>
          <w:highlight w:val="none"/>
          <w14:textFill>
            <w14:solidFill>
              <w14:schemeClr w14:val="tx1"/>
            </w14:solidFill>
          </w14:textFill>
        </w:rPr>
        <w:t>天以上时，双方应通过友好协商解决是否继续履行合同的问题。</w:t>
      </w:r>
    </w:p>
    <w:p>
      <w:pPr>
        <w:keepNext/>
        <w:keepLines/>
        <w:widowControl w:val="0"/>
        <w:kinsoku/>
        <w:overflowPunct/>
        <w:topLinePunct w:val="0"/>
        <w:bidi w:val="0"/>
        <w:spacing w:before="260" w:after="260"/>
        <w:outlineLvl w:val="2"/>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第</w:t>
      </w:r>
      <w:r>
        <w:rPr>
          <w:rFonts w:ascii="Times New Roman" w:hAnsi="Times New Roman"/>
          <w:b/>
          <w:bCs/>
          <w:color w:val="000000" w:themeColor="text1"/>
          <w:szCs w:val="21"/>
          <w:highlight w:val="none"/>
          <w14:textFill>
            <w14:solidFill>
              <w14:schemeClr w14:val="tx1"/>
            </w14:solidFill>
          </w14:textFill>
        </w:rPr>
        <w:t>12</w:t>
      </w:r>
      <w:r>
        <w:rPr>
          <w:rFonts w:hint="eastAsia" w:ascii="Times New Roman" w:hAnsi="Times New Roman" w:cs="宋体"/>
          <w:b/>
          <w:bCs/>
          <w:color w:val="000000" w:themeColor="text1"/>
          <w:szCs w:val="21"/>
          <w:highlight w:val="none"/>
          <w14:textFill>
            <w14:solidFill>
              <w14:schemeClr w14:val="tx1"/>
            </w14:solidFill>
          </w14:textFill>
        </w:rPr>
        <w:t>条</w:t>
      </w:r>
      <w:r>
        <w:rPr>
          <w:rFonts w:ascii="Times New Roman" w:hAnsi="Times New Roman"/>
          <w:b/>
          <w:bCs/>
          <w:color w:val="000000" w:themeColor="text1"/>
          <w:szCs w:val="21"/>
          <w:highlight w:val="none"/>
          <w14:textFill>
            <w14:solidFill>
              <w14:schemeClr w14:val="tx1"/>
            </w14:solidFill>
          </w14:textFill>
        </w:rPr>
        <w:t xml:space="preserve"> </w:t>
      </w:r>
      <w:r>
        <w:rPr>
          <w:rFonts w:hint="eastAsia" w:ascii="Times New Roman" w:hAnsi="Times New Roman" w:cs="宋体"/>
          <w:b/>
          <w:bCs/>
          <w:color w:val="000000" w:themeColor="text1"/>
          <w:szCs w:val="21"/>
          <w:highlight w:val="none"/>
          <w14:textFill>
            <w14:solidFill>
              <w14:schemeClr w14:val="tx1"/>
            </w14:solidFill>
          </w14:textFill>
        </w:rPr>
        <w:t>合同的终止</w:t>
      </w:r>
    </w:p>
    <w:p>
      <w:pPr>
        <w:widowControl w:val="0"/>
        <w:kinsoku/>
        <w:overflowPunct/>
        <w:topLinePunct w:val="0"/>
        <w:bidi w:val="0"/>
        <w:spacing w:after="120" w:line="360" w:lineRule="exact"/>
        <w:ind w:left="840" w:hanging="804" w:hangingChars="400"/>
        <w:rPr>
          <w:rFonts w:hint="eastAsia" w:ascii="Times New Roman" w:hAnsi="宋体" w:eastAsia="宋体" w:cs="宋体"/>
          <w:color w:val="000000" w:themeColor="text1"/>
          <w:kern w:val="0"/>
          <w:szCs w:val="21"/>
          <w:highlight w:val="none"/>
          <w14:textFill>
            <w14:solidFill>
              <w14:schemeClr w14:val="tx1"/>
            </w14:solidFill>
          </w14:textFill>
        </w:rPr>
      </w:pPr>
      <w:r>
        <w:rPr>
          <w:rFonts w:ascii="Times New Roman" w:hAnsi="宋体" w:cs="宋体"/>
          <w:color w:val="000000" w:themeColor="text1"/>
          <w:kern w:val="0"/>
          <w:szCs w:val="21"/>
          <w:highlight w:val="none"/>
          <w14:textFill>
            <w14:solidFill>
              <w14:schemeClr w14:val="tx1"/>
            </w14:solidFill>
          </w14:textFill>
        </w:rPr>
        <w:t xml:space="preserve"> </w:t>
      </w:r>
      <w:r>
        <w:rPr>
          <w:rFonts w:hint="eastAsia" w:ascii="Times New Roman" w:hAnsi="宋体" w:cs="宋体"/>
          <w:color w:val="000000" w:themeColor="text1"/>
          <w:kern w:val="0"/>
          <w:szCs w:val="21"/>
          <w:highlight w:val="none"/>
          <w14:textFill>
            <w14:solidFill>
              <w14:schemeClr w14:val="tx1"/>
            </w14:solidFill>
          </w14:textFill>
        </w:rPr>
        <w:t xml:space="preserve">12.1   </w:t>
      </w:r>
      <w:r>
        <w:rPr>
          <w:rFonts w:hint="eastAsia" w:ascii="Times New Roman" w:hAnsi="宋体" w:eastAsia="宋体" w:cs="宋体"/>
          <w:color w:val="000000" w:themeColor="text1"/>
          <w:kern w:val="0"/>
          <w:szCs w:val="21"/>
          <w:highlight w:val="none"/>
          <w14:textFill>
            <w14:solidFill>
              <w14:schemeClr w14:val="tx1"/>
            </w14:solidFill>
          </w14:textFill>
        </w:rPr>
        <w:t>合同双方完全履行各自合同义务后，合同终止。</w:t>
      </w:r>
    </w:p>
    <w:p>
      <w:pPr>
        <w:widowControl w:val="0"/>
        <w:kinsoku/>
        <w:overflowPunct/>
        <w:topLinePunct w:val="0"/>
        <w:bidi w:val="0"/>
        <w:spacing w:after="120" w:line="360" w:lineRule="exact"/>
        <w:ind w:left="840" w:hanging="804" w:hangingChars="400"/>
        <w:rPr>
          <w:rFonts w:hint="eastAsia" w:ascii="Times New Roman" w:hAnsi="宋体" w:eastAsia="宋体" w:cs="宋体"/>
          <w:color w:val="000000" w:themeColor="text1"/>
          <w:kern w:val="0"/>
          <w:szCs w:val="21"/>
          <w:highlight w:val="none"/>
          <w14:textFill>
            <w14:solidFill>
              <w14:schemeClr w14:val="tx1"/>
            </w14:solidFill>
          </w14:textFill>
        </w:rPr>
      </w:pPr>
      <w:r>
        <w:rPr>
          <w:rFonts w:hint="eastAsia" w:ascii="Times New Roman" w:hAnsi="宋体" w:eastAsia="宋体" w:cs="宋体"/>
          <w:color w:val="000000" w:themeColor="text1"/>
          <w:kern w:val="0"/>
          <w:szCs w:val="21"/>
          <w:highlight w:val="none"/>
          <w14:textFill>
            <w14:solidFill>
              <w14:schemeClr w14:val="tx1"/>
            </w14:solidFill>
          </w14:textFill>
        </w:rPr>
        <w:t xml:space="preserve"> 12.2    如一方认为另一方无正当理由而未正确或未完全履行其义务时，可向对方发出书面违约通知并说明该通知的原委。若发出通知的一方在10天内没有收到对方实质性改进意见和实施措施，则可发出进一步的通知</w:t>
      </w:r>
      <w:r>
        <w:rPr>
          <w:rFonts w:hint="eastAsia" w:ascii="Times New Roman" w:hAnsi="宋体" w:cs="宋体"/>
          <w:color w:val="000000" w:themeColor="text1"/>
          <w:kern w:val="0"/>
          <w:szCs w:val="21"/>
          <w:highlight w:val="none"/>
          <w14:textFill>
            <w14:solidFill>
              <w14:schemeClr w14:val="tx1"/>
            </w14:solidFill>
          </w14:textFill>
        </w:rPr>
        <w:t>解除</w:t>
      </w:r>
      <w:r>
        <w:rPr>
          <w:rFonts w:hint="eastAsia" w:ascii="Times New Roman" w:hAnsi="宋体" w:eastAsia="宋体" w:cs="宋体"/>
          <w:color w:val="000000" w:themeColor="text1"/>
          <w:kern w:val="0"/>
          <w:szCs w:val="21"/>
          <w:highlight w:val="none"/>
          <w14:textFill>
            <w14:solidFill>
              <w14:schemeClr w14:val="tx1"/>
            </w14:solidFill>
          </w14:textFill>
        </w:rPr>
        <w:t>合同，此通知日期则为合同终止日期，对合同双方发生效力。</w:t>
      </w:r>
    </w:p>
    <w:p>
      <w:pPr>
        <w:widowControl w:val="0"/>
        <w:kinsoku/>
        <w:overflowPunct/>
        <w:topLinePunct w:val="0"/>
        <w:bidi w:val="0"/>
        <w:spacing w:after="120" w:line="360" w:lineRule="exact"/>
        <w:ind w:left="840" w:hanging="804" w:hangingChars="400"/>
        <w:rPr>
          <w:rFonts w:hint="default" w:ascii="Times New Roman" w:hAnsi="宋体" w:eastAsia="宋体" w:cs="宋体"/>
          <w:color w:val="000000" w:themeColor="text1"/>
          <w:kern w:val="0"/>
          <w:szCs w:val="21"/>
          <w:highlight w:val="none"/>
          <w14:textFill>
            <w14:solidFill>
              <w14:schemeClr w14:val="tx1"/>
            </w14:solidFill>
          </w14:textFill>
        </w:rPr>
      </w:pPr>
      <w:r>
        <w:rPr>
          <w:rFonts w:hint="default" w:ascii="Times New Roman" w:hAnsi="宋体" w:eastAsia="宋体" w:cs="宋体"/>
          <w:color w:val="000000" w:themeColor="text1"/>
          <w:kern w:val="0"/>
          <w:szCs w:val="21"/>
          <w:highlight w:val="none"/>
          <w14:textFill>
            <w14:solidFill>
              <w14:schemeClr w14:val="tx1"/>
            </w14:solidFill>
          </w14:textFill>
        </w:rPr>
        <w:t>12</w:t>
      </w:r>
      <w:r>
        <w:rPr>
          <w:rFonts w:hint="eastAsia" w:ascii="Times New Roman" w:hAnsi="宋体" w:cs="宋体"/>
          <w:color w:val="000000" w:themeColor="text1"/>
          <w:kern w:val="0"/>
          <w:szCs w:val="21"/>
          <w:highlight w:val="none"/>
          <w14:textFill>
            <w14:solidFill>
              <w14:schemeClr w14:val="tx1"/>
            </w14:solidFill>
          </w14:textFill>
        </w:rPr>
        <w:t>.</w:t>
      </w:r>
      <w:r>
        <w:rPr>
          <w:rFonts w:hint="default" w:ascii="Times New Roman" w:hAnsi="宋体" w:eastAsia="宋体" w:cs="宋体"/>
          <w:color w:val="000000" w:themeColor="text1"/>
          <w:kern w:val="0"/>
          <w:szCs w:val="21"/>
          <w:highlight w:val="none"/>
          <w14:textFill>
            <w14:solidFill>
              <w14:schemeClr w14:val="tx1"/>
            </w14:solidFill>
          </w14:textFill>
        </w:rPr>
        <w:t xml:space="preserve">3   </w:t>
      </w:r>
      <w:r>
        <w:rPr>
          <w:rFonts w:hint="eastAsia" w:ascii="Times New Roman" w:hAnsi="宋体" w:cs="宋体"/>
          <w:color w:val="000000" w:themeColor="text1"/>
          <w:kern w:val="0"/>
          <w:szCs w:val="21"/>
          <w:highlight w:val="none"/>
          <w14:textFill>
            <w14:solidFill>
              <w14:schemeClr w14:val="tx1"/>
            </w14:solidFill>
          </w14:textFill>
        </w:rPr>
        <w:t xml:space="preserve">  </w:t>
      </w:r>
      <w:r>
        <w:rPr>
          <w:rFonts w:hint="default" w:ascii="Times New Roman" w:hAnsi="宋体" w:eastAsia="宋体" w:cs="宋体"/>
          <w:color w:val="000000" w:themeColor="text1"/>
          <w:kern w:val="0"/>
          <w:szCs w:val="21"/>
          <w:highlight w:val="none"/>
          <w14:textFill>
            <w14:solidFill>
              <w14:schemeClr w14:val="tx1"/>
            </w14:solidFill>
          </w14:textFill>
        </w:rPr>
        <w:t>合同的终止并不损害或影响任何一方的索赔权利。</w:t>
      </w:r>
    </w:p>
    <w:p>
      <w:pPr>
        <w:widowControl w:val="0"/>
        <w:spacing w:after="120" w:line="360" w:lineRule="exact"/>
        <w:ind w:left="840" w:hanging="804" w:hangingChars="400"/>
        <w:rPr>
          <w:rFonts w:hint="default"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lang w:val="en-US" w:eastAsia="zh-CN"/>
          <w14:textFill>
            <w14:solidFill>
              <w14:schemeClr w14:val="tx1"/>
            </w14:solidFill>
          </w14:textFill>
        </w:rPr>
        <w:t xml:space="preserve">12.4     </w:t>
      </w:r>
      <w:r>
        <w:rPr>
          <w:rFonts w:hint="default" w:hAnsi="宋体" w:cs="宋体"/>
          <w:color w:val="000000" w:themeColor="text1"/>
          <w:kern w:val="0"/>
          <w:szCs w:val="21"/>
          <w:highlight w:val="none"/>
          <w14:textFill>
            <w14:solidFill>
              <w14:schemeClr w14:val="tx1"/>
            </w14:solidFill>
          </w14:textFill>
        </w:rPr>
        <w:t>合同生效后，因不可抗力或其他非双方责任原因导致本合同目的无法实现，双方协商一致后可解除本合同而无需承担违约责任。</w:t>
      </w:r>
    </w:p>
    <w:p>
      <w:pPr>
        <w:widowControl w:val="0"/>
        <w:spacing w:after="120" w:line="360" w:lineRule="exact"/>
        <w:ind w:left="840" w:hanging="804" w:hangingChars="400"/>
        <w:rPr>
          <w:rFonts w:hint="default" w:ascii="Times New Roman" w:hAnsi="宋体" w:eastAsia="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lang w:val="en-US" w:eastAsia="zh-CN"/>
          <w14:textFill>
            <w14:solidFill>
              <w14:schemeClr w14:val="tx1"/>
            </w14:solidFill>
          </w14:textFill>
        </w:rPr>
        <w:t xml:space="preserve">12.5     </w:t>
      </w:r>
      <w:r>
        <w:rPr>
          <w:rFonts w:hint="default" w:ascii="Times New Roman" w:hAnsi="宋体" w:eastAsia="宋体" w:cs="宋体"/>
          <w:color w:val="000000" w:themeColor="text1"/>
          <w:kern w:val="0"/>
          <w:szCs w:val="21"/>
          <w:highlight w:val="none"/>
          <w14:textFill>
            <w14:solidFill>
              <w14:schemeClr w14:val="tx1"/>
            </w14:solidFill>
          </w14:textFill>
        </w:rPr>
        <w:t>乙方充分理解并知晓：合同履行任何阶段，若甲方有合理理由认为乙方不具备完成本项目咨询服务的能力，甲方有权随时提前终止本合同，并根据乙方实际完成的工作量与乙方结算服务费（或：如乙方该种情形影响合同目的实现，如甲方按工作量支付乙方服务费对甲方不公的，则甲方不予支付任何费用，已支付的费用乙方应予退还），乙方承诺对此不提出任何异议。</w:t>
      </w:r>
    </w:p>
    <w:p>
      <w:pPr>
        <w:widowControl w:val="0"/>
        <w:spacing w:after="120" w:line="360" w:lineRule="exact"/>
        <w:ind w:left="840" w:hanging="804" w:hangingChars="400"/>
        <w:rPr>
          <w:rFonts w:hint="eastAsia" w:ascii="Times New Roman" w:hAnsi="宋体" w:eastAsia="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lang w:val="en-US" w:eastAsia="zh-CN"/>
          <w14:textFill>
            <w14:solidFill>
              <w14:schemeClr w14:val="tx1"/>
            </w14:solidFill>
          </w14:textFill>
        </w:rPr>
        <w:t xml:space="preserve">12.6    </w:t>
      </w:r>
      <w:r>
        <w:rPr>
          <w:rFonts w:hint="default" w:ascii="Times New Roman" w:hAnsi="宋体" w:eastAsia="宋体" w:cs="宋体"/>
          <w:color w:val="000000" w:themeColor="text1"/>
          <w:kern w:val="0"/>
          <w:szCs w:val="21"/>
          <w:highlight w:val="none"/>
          <w14:textFill>
            <w14:solidFill>
              <w14:schemeClr w14:val="tx1"/>
            </w14:solidFill>
          </w14:textFill>
        </w:rPr>
        <w:t>本条所指合理理由为：乙方在服务过程中，不能及时、正确解答甲方的咨询，所提意见建议与国家和省市有关政策明显相背；乙方被发现存在采购文件中规定的拒绝报价/报价无效/被列入不予合作名单等等情形。</w:t>
      </w:r>
    </w:p>
    <w:p>
      <w:pPr>
        <w:keepNext/>
        <w:keepLines/>
        <w:widowControl w:val="0"/>
        <w:kinsoku/>
        <w:overflowPunct/>
        <w:topLinePunct w:val="0"/>
        <w:bidi w:val="0"/>
        <w:spacing w:before="260" w:after="260"/>
        <w:outlineLvl w:val="2"/>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第</w:t>
      </w:r>
      <w:r>
        <w:rPr>
          <w:rFonts w:ascii="Times New Roman" w:hAnsi="Times New Roman"/>
          <w:b/>
          <w:bCs/>
          <w:color w:val="000000" w:themeColor="text1"/>
          <w:szCs w:val="21"/>
          <w:highlight w:val="none"/>
          <w14:textFill>
            <w14:solidFill>
              <w14:schemeClr w14:val="tx1"/>
            </w14:solidFill>
          </w14:textFill>
        </w:rPr>
        <w:t>13</w:t>
      </w:r>
      <w:r>
        <w:rPr>
          <w:rFonts w:hint="eastAsia" w:ascii="Times New Roman" w:hAnsi="Times New Roman" w:cs="宋体"/>
          <w:b/>
          <w:bCs/>
          <w:color w:val="000000" w:themeColor="text1"/>
          <w:szCs w:val="21"/>
          <w:highlight w:val="none"/>
          <w14:textFill>
            <w14:solidFill>
              <w14:schemeClr w14:val="tx1"/>
            </w14:solidFill>
          </w14:textFill>
        </w:rPr>
        <w:t>条</w:t>
      </w:r>
      <w:r>
        <w:rPr>
          <w:rFonts w:ascii="Times New Roman" w:hAnsi="Times New Roman"/>
          <w:b/>
          <w:bCs/>
          <w:color w:val="000000" w:themeColor="text1"/>
          <w:szCs w:val="21"/>
          <w:highlight w:val="none"/>
          <w14:textFill>
            <w14:solidFill>
              <w14:schemeClr w14:val="tx1"/>
            </w14:solidFill>
          </w14:textFill>
        </w:rPr>
        <w:t xml:space="preserve"> </w:t>
      </w:r>
      <w:r>
        <w:rPr>
          <w:rFonts w:hint="eastAsia" w:ascii="Times New Roman" w:hAnsi="Times New Roman" w:cs="宋体"/>
          <w:b/>
          <w:bCs/>
          <w:color w:val="000000" w:themeColor="text1"/>
          <w:szCs w:val="21"/>
          <w:highlight w:val="none"/>
          <w14:textFill>
            <w14:solidFill>
              <w14:schemeClr w14:val="tx1"/>
            </w14:solidFill>
          </w14:textFill>
        </w:rPr>
        <w:t>争议的解决</w:t>
      </w:r>
    </w:p>
    <w:p>
      <w:pPr>
        <w:widowControl w:val="0"/>
        <w:numPr>
          <w:ilvl w:val="1"/>
          <w:numId w:val="13"/>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在履行合同义务时出现任何争议，双方应协商解决。</w:t>
      </w:r>
    </w:p>
    <w:p>
      <w:pPr>
        <w:widowControl w:val="0"/>
        <w:numPr>
          <w:ilvl w:val="1"/>
          <w:numId w:val="13"/>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双方协商不能达到一致时，双方均可向甲方住所地有管辖权的人民法院提起诉讼。</w:t>
      </w:r>
    </w:p>
    <w:p>
      <w:pPr>
        <w:widowControl w:val="0"/>
        <w:numPr>
          <w:ilvl w:val="1"/>
          <w:numId w:val="13"/>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除提交诉讼的部分外，双方应继续履行合同规定的其他义务。</w:t>
      </w:r>
    </w:p>
    <w:p>
      <w:pPr>
        <w:keepNext/>
        <w:keepLines/>
        <w:widowControl w:val="0"/>
        <w:kinsoku/>
        <w:overflowPunct/>
        <w:topLinePunct w:val="0"/>
        <w:bidi w:val="0"/>
        <w:spacing w:before="260" w:after="260"/>
        <w:outlineLvl w:val="2"/>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第</w:t>
      </w:r>
      <w:r>
        <w:rPr>
          <w:rFonts w:ascii="Times New Roman" w:hAnsi="Times New Roman"/>
          <w:b/>
          <w:bCs/>
          <w:color w:val="000000" w:themeColor="text1"/>
          <w:szCs w:val="21"/>
          <w:highlight w:val="none"/>
          <w14:textFill>
            <w14:solidFill>
              <w14:schemeClr w14:val="tx1"/>
            </w14:solidFill>
          </w14:textFill>
        </w:rPr>
        <w:t>14</w:t>
      </w:r>
      <w:r>
        <w:rPr>
          <w:rFonts w:hint="eastAsia" w:ascii="Times New Roman" w:hAnsi="Times New Roman" w:cs="宋体"/>
          <w:b/>
          <w:bCs/>
          <w:color w:val="000000" w:themeColor="text1"/>
          <w:szCs w:val="21"/>
          <w:highlight w:val="none"/>
          <w14:textFill>
            <w14:solidFill>
              <w14:schemeClr w14:val="tx1"/>
            </w14:solidFill>
          </w14:textFill>
        </w:rPr>
        <w:t>条</w:t>
      </w:r>
      <w:r>
        <w:rPr>
          <w:rFonts w:ascii="Times New Roman" w:hAnsi="Times New Roman"/>
          <w:b/>
          <w:bCs/>
          <w:color w:val="000000" w:themeColor="text1"/>
          <w:szCs w:val="21"/>
          <w:highlight w:val="none"/>
          <w14:textFill>
            <w14:solidFill>
              <w14:schemeClr w14:val="tx1"/>
            </w14:solidFill>
          </w14:textFill>
        </w:rPr>
        <w:t xml:space="preserve">  </w:t>
      </w:r>
      <w:r>
        <w:rPr>
          <w:rFonts w:hint="eastAsia" w:ascii="Times New Roman" w:hAnsi="Times New Roman" w:cs="宋体"/>
          <w:b/>
          <w:bCs/>
          <w:color w:val="000000" w:themeColor="text1"/>
          <w:szCs w:val="21"/>
          <w:highlight w:val="none"/>
          <w14:textFill>
            <w14:solidFill>
              <w14:schemeClr w14:val="tx1"/>
            </w14:solidFill>
          </w14:textFill>
        </w:rPr>
        <w:t>适用法律：</w:t>
      </w:r>
      <w:r>
        <w:rPr>
          <w:rFonts w:ascii="Times New Roman" w:hAnsi="Times New Roman"/>
          <w:b/>
          <w:bCs/>
          <w:color w:val="000000" w:themeColor="text1"/>
          <w:sz w:val="32"/>
          <w:szCs w:val="32"/>
          <w:highlight w:val="none"/>
          <w14:textFill>
            <w14:solidFill>
              <w14:schemeClr w14:val="tx1"/>
            </w14:solidFill>
          </w14:textFill>
        </w:rPr>
        <w:t xml:space="preserve"> </w:t>
      </w:r>
      <w:r>
        <w:rPr>
          <w:rFonts w:hint="eastAsia" w:ascii="Times New Roman" w:hAnsi="Times New Roman" w:cs="宋体"/>
          <w:color w:val="000000" w:themeColor="text1"/>
          <w:szCs w:val="21"/>
          <w:highlight w:val="none"/>
          <w14:textFill>
            <w14:solidFill>
              <w14:schemeClr w14:val="tx1"/>
            </w14:solidFill>
          </w14:textFill>
        </w:rPr>
        <w:t>本合同适用法律为中华人民共和国现行法律。</w:t>
      </w:r>
    </w:p>
    <w:p>
      <w:pPr>
        <w:keepNext/>
        <w:keepLines/>
        <w:widowControl w:val="0"/>
        <w:kinsoku/>
        <w:overflowPunct/>
        <w:topLinePunct w:val="0"/>
        <w:bidi w:val="0"/>
        <w:spacing w:before="260" w:after="260"/>
        <w:outlineLvl w:val="2"/>
        <w:rPr>
          <w:rFonts w:ascii="Times New Roman" w:hAnsi="Times New Roman"/>
          <w:b/>
          <w:bCs/>
          <w:color w:val="000000" w:themeColor="text1"/>
          <w:szCs w:val="21"/>
          <w:highlight w:val="none"/>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第</w:t>
      </w:r>
      <w:r>
        <w:rPr>
          <w:rFonts w:ascii="Times New Roman" w:hAnsi="Times New Roman"/>
          <w:b/>
          <w:bCs/>
          <w:color w:val="000000" w:themeColor="text1"/>
          <w:szCs w:val="21"/>
          <w:highlight w:val="none"/>
          <w14:textFill>
            <w14:solidFill>
              <w14:schemeClr w14:val="tx1"/>
            </w14:solidFill>
          </w14:textFill>
        </w:rPr>
        <w:t>15</w:t>
      </w:r>
      <w:r>
        <w:rPr>
          <w:rFonts w:hint="eastAsia" w:ascii="Times New Roman" w:hAnsi="Times New Roman" w:cs="宋体"/>
          <w:b/>
          <w:bCs/>
          <w:color w:val="000000" w:themeColor="text1"/>
          <w:szCs w:val="21"/>
          <w:highlight w:val="none"/>
          <w14:textFill>
            <w14:solidFill>
              <w14:schemeClr w14:val="tx1"/>
            </w14:solidFill>
          </w14:textFill>
        </w:rPr>
        <w:t>条</w:t>
      </w:r>
      <w:r>
        <w:rPr>
          <w:rFonts w:ascii="Times New Roman" w:hAnsi="Times New Roman"/>
          <w:b/>
          <w:bCs/>
          <w:color w:val="000000" w:themeColor="text1"/>
          <w:szCs w:val="21"/>
          <w:highlight w:val="none"/>
          <w14:textFill>
            <w14:solidFill>
              <w14:schemeClr w14:val="tx1"/>
            </w14:solidFill>
          </w14:textFill>
        </w:rPr>
        <w:t xml:space="preserve">  </w:t>
      </w:r>
      <w:r>
        <w:rPr>
          <w:rFonts w:hint="eastAsia" w:ascii="Times New Roman" w:hAnsi="Times New Roman" w:cs="宋体"/>
          <w:b/>
          <w:bCs/>
          <w:color w:val="000000" w:themeColor="text1"/>
          <w:szCs w:val="21"/>
          <w:highlight w:val="none"/>
          <w14:textFill>
            <w14:solidFill>
              <w14:schemeClr w14:val="tx1"/>
            </w14:solidFill>
          </w14:textFill>
        </w:rPr>
        <w:t>合同生效</w:t>
      </w:r>
    </w:p>
    <w:p>
      <w:pPr>
        <w:widowControl w:val="0"/>
        <w:numPr>
          <w:ilvl w:val="1"/>
          <w:numId w:val="14"/>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s="宋体"/>
          <w:color w:val="000000" w:themeColor="text1"/>
          <w:szCs w:val="21"/>
          <w:highlight w:val="none"/>
          <w14:textFill>
            <w14:solidFill>
              <w14:schemeClr w14:val="tx1"/>
            </w14:solidFill>
          </w14:textFill>
        </w:rPr>
        <w:t>本合同在双方授权代表签字盖公章后生效。</w:t>
      </w:r>
    </w:p>
    <w:p>
      <w:pPr>
        <w:widowControl w:val="0"/>
        <w:numPr>
          <w:ilvl w:val="1"/>
          <w:numId w:val="14"/>
        </w:numPr>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s="宋体"/>
          <w:color w:val="000000" w:themeColor="text1"/>
          <w:szCs w:val="21"/>
          <w:highlight w:val="none"/>
          <w14:textFill>
            <w14:solidFill>
              <w14:schemeClr w14:val="tx1"/>
            </w14:solidFill>
          </w14:textFill>
        </w:rPr>
        <w:t>本合同生效日期以较晚签字一方的签字日期为准。</w:t>
      </w:r>
    </w:p>
    <w:p>
      <w:pPr>
        <w:keepNext/>
        <w:keepLines/>
        <w:spacing w:before="260" w:after="260" w:line="240" w:lineRule="auto"/>
        <w:ind w:firstLine="0" w:firstLineChars="0"/>
        <w:outlineLvl w:val="2"/>
        <w:rPr>
          <w:rFonts w:hint="eastAsia" w:cs="宋体"/>
          <w:b/>
          <w:bCs/>
          <w:color w:val="000000" w:themeColor="text1"/>
          <w:szCs w:val="21"/>
          <w:highlight w:val="none"/>
          <w:lang w:val="en-US" w:eastAsia="zh-CN"/>
          <w14:textFill>
            <w14:solidFill>
              <w14:schemeClr w14:val="tx1"/>
            </w14:solidFill>
          </w14:textFill>
        </w:rPr>
      </w:pPr>
      <w:r>
        <w:rPr>
          <w:rFonts w:hint="eastAsia" w:ascii="Times New Roman" w:hAnsi="Times New Roman" w:cs="宋体"/>
          <w:b/>
          <w:bCs/>
          <w:color w:val="000000" w:themeColor="text1"/>
          <w:szCs w:val="21"/>
          <w:highlight w:val="none"/>
          <w14:textFill>
            <w14:solidFill>
              <w14:schemeClr w14:val="tx1"/>
            </w14:solidFill>
          </w14:textFill>
        </w:rPr>
        <w:t xml:space="preserve">第16 条 </w:t>
      </w:r>
      <w:r>
        <w:rPr>
          <w:rFonts w:hint="eastAsia" w:cs="宋体"/>
          <w:b/>
          <w:bCs/>
          <w:color w:val="000000" w:themeColor="text1"/>
          <w:szCs w:val="21"/>
          <w:highlight w:val="none"/>
          <w:lang w:val="en-US" w:eastAsia="zh-CN"/>
          <w14:textFill>
            <w14:solidFill>
              <w14:schemeClr w14:val="tx1"/>
            </w14:solidFill>
          </w14:textFill>
        </w:rPr>
        <w:t>通知与送达</w:t>
      </w:r>
    </w:p>
    <w:p>
      <w:pPr>
        <w:spacing w:line="360" w:lineRule="auto"/>
        <w:ind w:firstLine="402" w:firstLineChars="200"/>
        <w:rPr>
          <w:rFonts w:ascii="宋体" w:hAnsi="宋体"/>
          <w:color w:val="000000" w:themeColor="text1"/>
          <w:szCs w:val="21"/>
          <w:highlight w:val="none"/>
          <w14:textFill>
            <w14:solidFill>
              <w14:schemeClr w14:val="tx1"/>
            </w14:solidFill>
          </w14:textFill>
        </w:rPr>
      </w:pPr>
      <w:r>
        <w:rPr>
          <w:rFonts w:hint="eastAsia"/>
          <w:b/>
          <w:bCs/>
          <w:color w:val="000000" w:themeColor="text1"/>
          <w:szCs w:val="21"/>
          <w:highlight w:val="none"/>
          <w:lang w:val="en-US" w:eastAsia="zh-CN"/>
          <w14:textFill>
            <w14:solidFill>
              <w14:schemeClr w14:val="tx1"/>
            </w14:solidFill>
          </w14:textFill>
        </w:rPr>
        <w:t>16.1</w:t>
      </w:r>
      <w:r>
        <w:rPr>
          <w:rFonts w:hint="eastAsia" w:ascii="宋体" w:hAnsi="宋体"/>
          <w:color w:val="000000" w:themeColor="text1"/>
          <w:szCs w:val="21"/>
          <w:highlight w:val="none"/>
          <w14:textFill>
            <w14:solidFill>
              <w14:schemeClr w14:val="tx1"/>
            </w14:solidFill>
          </w14:textFill>
        </w:rPr>
        <w:t>在执行本合同的过程中，所有经双方签署确认的文件（包括会议纪要、补充协议、往来信函）即成为本合同的有效组成部分。</w:t>
      </w:r>
    </w:p>
    <w:p>
      <w:pPr>
        <w:spacing w:line="360" w:lineRule="auto"/>
        <w:ind w:firstLine="406" w:firstLine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16.2</w:t>
      </w:r>
      <w:r>
        <w:rPr>
          <w:rFonts w:hint="eastAsia" w:ascii="宋体" w:hAnsi="宋体"/>
          <w:color w:val="000000" w:themeColor="text1"/>
          <w:szCs w:val="21"/>
          <w:highlight w:val="none"/>
          <w14:textFill>
            <w14:solidFill>
              <w14:schemeClr w14:val="tx1"/>
            </w14:solidFill>
          </w14:textFill>
        </w:rPr>
        <w:t>双方履行本合同过程中所有的文件往来，均按以下地址和联系人送达</w:t>
      </w:r>
    </w:p>
    <w:p>
      <w:pPr>
        <w:spacing w:line="360" w:lineRule="auto"/>
        <w:ind w:firstLine="406" w:firstLine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甲方联系人：</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联系电话： </w:t>
      </w:r>
    </w:p>
    <w:p>
      <w:pPr>
        <w:spacing w:line="360" w:lineRule="auto"/>
        <w:ind w:firstLine="406" w:firstLineChars="202"/>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送达地址：</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 xml:space="preserve">              邮箱地址：</w:t>
      </w:r>
    </w:p>
    <w:p>
      <w:pPr>
        <w:spacing w:line="360" w:lineRule="auto"/>
        <w:ind w:firstLine="406" w:firstLine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乙方联系人：               联系电话：</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 xml:space="preserve"> </w:t>
      </w:r>
    </w:p>
    <w:p>
      <w:pPr>
        <w:spacing w:line="360" w:lineRule="auto"/>
        <w:ind w:firstLine="406" w:firstLineChars="202"/>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送达地址：</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 xml:space="preserve">              邮箱地址：</w:t>
      </w:r>
    </w:p>
    <w:p>
      <w:pPr>
        <w:spacing w:line="360" w:lineRule="auto"/>
        <w:ind w:firstLine="406" w:firstLineChars="20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文件当面送达的，以签收日为送达日；文件通过邮政快递送达的，以快递被签收日为送达日</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通过邮箱发送的，到达对方邮箱之日为送达日</w:t>
      </w:r>
      <w:r>
        <w:rPr>
          <w:rFonts w:hint="eastAsia" w:ascii="宋体" w:hAnsi="宋体"/>
          <w:color w:val="000000" w:themeColor="text1"/>
          <w:szCs w:val="21"/>
          <w:highlight w:val="none"/>
          <w14:textFill>
            <w14:solidFill>
              <w14:schemeClr w14:val="tx1"/>
            </w14:solidFill>
          </w14:textFill>
        </w:rPr>
        <w:t>。任何一方变更联系人或送达地址的，应于变更之日起三日内书面通知对方。否则，应承担无法被通知的一切责任。如一方按上述地址送达的邮政快递被退回的，视为已送达，以邮政快递被退回之日为送达日。</w:t>
      </w:r>
    </w:p>
    <w:p>
      <w:pPr>
        <w:keepNext w:val="0"/>
        <w:keepLines w:val="0"/>
        <w:widowControl/>
        <w:kinsoku/>
        <w:overflowPunct/>
        <w:topLinePunct w:val="0"/>
        <w:bidi w:val="0"/>
        <w:spacing w:before="0" w:after="0" w:line="360" w:lineRule="auto"/>
        <w:ind w:firstLine="402" w:firstLineChars="200"/>
        <w:outlineLvl w:val="9"/>
        <w:rPr>
          <w:rFonts w:ascii="Times New Roman" w:hAnsi="Times New Roman"/>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16.3</w:t>
      </w:r>
      <w:r>
        <w:rPr>
          <w:rFonts w:hint="eastAsia" w:ascii="宋体" w:hAnsi="宋体"/>
          <w:color w:val="000000" w:themeColor="text1"/>
          <w:szCs w:val="21"/>
          <w:highlight w:val="none"/>
          <w14:textFill>
            <w14:solidFill>
              <w14:schemeClr w14:val="tx1"/>
            </w14:solidFill>
          </w14:textFill>
        </w:rPr>
        <w:t>除甲方事先书面同意外，乙方不得全部或部分转让其在本合同项下应履行的义务。</w:t>
      </w:r>
    </w:p>
    <w:p>
      <w:pPr>
        <w:keepNext/>
        <w:keepLines/>
        <w:widowControl w:val="0"/>
        <w:kinsoku/>
        <w:overflowPunct/>
        <w:topLinePunct w:val="0"/>
        <w:bidi w:val="0"/>
        <w:spacing w:before="260" w:after="260"/>
        <w:outlineLvl w:val="2"/>
        <w:rPr>
          <w:rFonts w:ascii="Times New Roman" w:hAnsi="Times New Roman"/>
          <w:b/>
          <w:bCs/>
          <w:color w:val="000000" w:themeColor="text1"/>
          <w:sz w:val="32"/>
          <w:szCs w:val="32"/>
          <w:highlight w:val="none"/>
          <w14:textFill>
            <w14:solidFill>
              <w14:schemeClr w14:val="tx1"/>
            </w14:solidFill>
          </w14:textFill>
        </w:rPr>
      </w:pPr>
      <w:r>
        <w:rPr>
          <w:rFonts w:hint="eastAsia" w:cs="宋体"/>
          <w:b/>
          <w:bCs/>
          <w:color w:val="000000" w:themeColor="text1"/>
          <w:szCs w:val="21"/>
          <w:highlight w:val="none"/>
          <w:lang w:val="en-US" w:eastAsia="zh-CN"/>
          <w14:textFill>
            <w14:solidFill>
              <w14:schemeClr w14:val="tx1"/>
            </w14:solidFill>
          </w14:textFill>
        </w:rPr>
        <w:t xml:space="preserve">第十七条  </w:t>
      </w:r>
      <w:r>
        <w:rPr>
          <w:rFonts w:hint="eastAsia" w:ascii="Times New Roman" w:hAnsi="Times New Roman" w:cs="宋体"/>
          <w:b/>
          <w:bCs/>
          <w:color w:val="000000" w:themeColor="text1"/>
          <w:szCs w:val="21"/>
          <w:highlight w:val="none"/>
          <w14:textFill>
            <w14:solidFill>
              <w14:schemeClr w14:val="tx1"/>
            </w14:solidFill>
          </w14:textFill>
        </w:rPr>
        <w:t>其他</w:t>
      </w:r>
    </w:p>
    <w:p>
      <w:pPr>
        <w:widowControl w:val="0"/>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s="宋体"/>
          <w:color w:val="000000" w:themeColor="text1"/>
          <w:szCs w:val="21"/>
          <w:highlight w:val="none"/>
          <w14:textFill>
            <w14:solidFill>
              <w14:schemeClr w14:val="tx1"/>
            </w14:solidFill>
          </w14:textFill>
        </w:rPr>
        <w:t>1</w:t>
      </w:r>
      <w:r>
        <w:rPr>
          <w:rFonts w:hint="eastAsia" w:cs="宋体"/>
          <w:color w:val="000000" w:themeColor="text1"/>
          <w:szCs w:val="21"/>
          <w:highlight w:val="none"/>
          <w:lang w:eastAsia="zh-CN"/>
          <w14:textFill>
            <w14:solidFill>
              <w14:schemeClr w14:val="tx1"/>
            </w14:solidFill>
          </w14:textFill>
        </w:rPr>
        <w:t>7</w:t>
      </w:r>
      <w:r>
        <w:rPr>
          <w:rFonts w:hint="eastAsia" w:ascii="Times New Roman" w:hAnsi="Times New Roman" w:cs="宋体"/>
          <w:color w:val="000000" w:themeColor="text1"/>
          <w:szCs w:val="21"/>
          <w:highlight w:val="none"/>
          <w14:textFill>
            <w14:solidFill>
              <w14:schemeClr w14:val="tx1"/>
            </w14:solidFill>
          </w14:textFill>
        </w:rPr>
        <w:t>.1    本合同一式六份，双方各执三份。</w:t>
      </w:r>
    </w:p>
    <w:p>
      <w:pPr>
        <w:widowControl w:val="0"/>
        <w:kinsoku/>
        <w:overflowPunct/>
        <w:topLinePunct w:val="0"/>
        <w:bidi w:val="0"/>
        <w:spacing w:line="360" w:lineRule="exact"/>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1</w:t>
      </w:r>
      <w:r>
        <w:rPr>
          <w:rFonts w:hint="eastAsia" w:cs="宋体"/>
          <w:color w:val="000000" w:themeColor="text1"/>
          <w:szCs w:val="21"/>
          <w:highlight w:val="none"/>
          <w:lang w:eastAsia="zh-CN"/>
          <w14:textFill>
            <w14:solidFill>
              <w14:schemeClr w14:val="tx1"/>
            </w14:solidFill>
          </w14:textFill>
        </w:rPr>
        <w:t>7</w:t>
      </w:r>
      <w:r>
        <w:rPr>
          <w:rFonts w:hint="eastAsia" w:ascii="Times New Roman" w:hAnsi="Times New Roman" w:cs="宋体"/>
          <w:color w:val="000000" w:themeColor="text1"/>
          <w:szCs w:val="21"/>
          <w:highlight w:val="none"/>
          <w14:textFill>
            <w14:solidFill>
              <w14:schemeClr w14:val="tx1"/>
            </w14:solidFill>
          </w14:textFill>
        </w:rPr>
        <w:t xml:space="preserve">.2    </w:t>
      </w:r>
      <w:r>
        <w:rPr>
          <w:rFonts w:hint="eastAsia" w:cs="宋体"/>
          <w:color w:val="000000" w:themeColor="text1"/>
          <w:szCs w:val="21"/>
          <w:highlight w:val="none"/>
          <w:lang w:val="en-US" w:eastAsia="zh-CN"/>
          <w14:textFill>
            <w14:solidFill>
              <w14:schemeClr w14:val="tx1"/>
            </w14:solidFill>
          </w14:textFill>
        </w:rPr>
        <w:t>报名文件作为</w:t>
      </w:r>
      <w:r>
        <w:rPr>
          <w:rFonts w:hint="eastAsia" w:ascii="Times New Roman" w:hAnsi="Times New Roman" w:cs="宋体"/>
          <w:color w:val="000000" w:themeColor="text1"/>
          <w:szCs w:val="21"/>
          <w:highlight w:val="none"/>
          <w14:textFill>
            <w14:solidFill>
              <w14:schemeClr w14:val="tx1"/>
            </w14:solidFill>
          </w14:textFill>
        </w:rPr>
        <w:t>合同附件</w:t>
      </w:r>
      <w:r>
        <w:rPr>
          <w:rFonts w:hint="eastAsia" w:cs="宋体"/>
          <w:color w:val="000000" w:themeColor="text1"/>
          <w:szCs w:val="21"/>
          <w:highlight w:val="none"/>
          <w:lang w:eastAsia="zh-CN"/>
          <w14:textFill>
            <w14:solidFill>
              <w14:schemeClr w14:val="tx1"/>
            </w14:solidFill>
          </w14:textFill>
        </w:rPr>
        <w:t>，</w:t>
      </w:r>
      <w:r>
        <w:rPr>
          <w:rFonts w:hint="eastAsia" w:cs="宋体"/>
          <w:color w:val="000000" w:themeColor="text1"/>
          <w:szCs w:val="21"/>
          <w:highlight w:val="none"/>
          <w:lang w:val="en-US" w:eastAsia="zh-CN"/>
          <w14:textFill>
            <w14:solidFill>
              <w14:schemeClr w14:val="tx1"/>
            </w14:solidFill>
          </w14:textFill>
        </w:rPr>
        <w:t>是</w:t>
      </w:r>
      <w:r>
        <w:rPr>
          <w:rFonts w:hint="eastAsia" w:ascii="Times New Roman" w:hAnsi="Times New Roman" w:cs="宋体"/>
          <w:color w:val="000000" w:themeColor="text1"/>
          <w:szCs w:val="21"/>
          <w:highlight w:val="none"/>
          <w14:textFill>
            <w14:solidFill>
              <w14:schemeClr w14:val="tx1"/>
            </w14:solidFill>
          </w14:textFill>
        </w:rPr>
        <w:t>本合同不可分割的部分</w:t>
      </w:r>
      <w:r>
        <w:rPr>
          <w:rFonts w:hint="eastAsia" w:cs="宋体"/>
          <w:color w:val="000000" w:themeColor="text1"/>
          <w:szCs w:val="21"/>
          <w:highlight w:val="none"/>
          <w:lang w:eastAsia="zh-CN"/>
          <w14:textFill>
            <w14:solidFill>
              <w14:schemeClr w14:val="tx1"/>
            </w14:solidFill>
          </w14:textFill>
        </w:rPr>
        <w:t>。</w:t>
      </w:r>
    </w:p>
    <w:p>
      <w:pPr>
        <w:widowControl w:val="0"/>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p>
    <w:p>
      <w:pPr>
        <w:widowControl w:val="0"/>
        <w:kinsoku/>
        <w:overflowPunct/>
        <w:topLinePunct w:val="0"/>
        <w:bidi w:val="0"/>
        <w:spacing w:line="360" w:lineRule="exact"/>
        <w:rPr>
          <w:rFonts w:ascii="Times New Roman" w:hAnsi="Times New Roman"/>
          <w:color w:val="000000" w:themeColor="text1"/>
          <w:szCs w:val="21"/>
          <w:highlight w:val="none"/>
          <w14:textFill>
            <w14:solidFill>
              <w14:schemeClr w14:val="tx1"/>
            </w14:solidFill>
          </w14:textFill>
        </w:rPr>
      </w:pPr>
    </w:p>
    <w:p>
      <w:pPr>
        <w:widowControl w:val="0"/>
        <w:kinsoku/>
        <w:overflowPunct/>
        <w:topLinePunct w:val="0"/>
        <w:bidi w:val="0"/>
        <w:spacing w:line="500" w:lineRule="exact"/>
        <w:rPr>
          <w:rFonts w:ascii="宋体" w:hAnsi="Times New Roman"/>
          <w:color w:val="000000" w:themeColor="text1"/>
          <w:szCs w:val="21"/>
          <w:highlight w:val="none"/>
          <w14:textFill>
            <w14:solidFill>
              <w14:schemeClr w14:val="tx1"/>
            </w14:solidFill>
          </w14:textFill>
        </w:rPr>
      </w:pPr>
      <w:r>
        <w:rPr>
          <w:rFonts w:hint="eastAsia" w:ascii="宋体" w:hAnsi="Times New Roman" w:cs="宋体"/>
          <w:color w:val="000000" w:themeColor="text1"/>
          <w:szCs w:val="21"/>
          <w:highlight w:val="none"/>
          <w14:textFill>
            <w14:solidFill>
              <w14:schemeClr w14:val="tx1"/>
            </w14:solidFill>
          </w14:textFill>
        </w:rPr>
        <w:t>甲方（盖章）：广东省机场管理集团有限公司</w:t>
      </w:r>
      <w:r>
        <w:rPr>
          <w:rFonts w:ascii="宋体" w:hAnsi="Times New Roman" w:cs="宋体"/>
          <w:color w:val="000000" w:themeColor="text1"/>
          <w:szCs w:val="21"/>
          <w:highlight w:val="none"/>
          <w14:textFill>
            <w14:solidFill>
              <w14:schemeClr w14:val="tx1"/>
            </w14:solidFill>
          </w14:textFill>
        </w:rPr>
        <w:t xml:space="preserve">         </w:t>
      </w:r>
      <w:r>
        <w:rPr>
          <w:rFonts w:hint="eastAsia" w:ascii="宋体" w:hAnsi="Times New Roman" w:cs="宋体"/>
          <w:color w:val="000000" w:themeColor="text1"/>
          <w:szCs w:val="21"/>
          <w:highlight w:val="none"/>
          <w14:textFill>
            <w14:solidFill>
              <w14:schemeClr w14:val="tx1"/>
            </w14:solidFill>
          </w14:textFill>
        </w:rPr>
        <w:t>乙方（盖章）：</w:t>
      </w:r>
    </w:p>
    <w:p>
      <w:pPr>
        <w:widowControl w:val="0"/>
        <w:kinsoku/>
        <w:overflowPunct/>
        <w:topLinePunct w:val="0"/>
        <w:bidi w:val="0"/>
        <w:spacing w:line="500" w:lineRule="exact"/>
        <w:rPr>
          <w:rFonts w:ascii="宋体" w:hAnsi="Times New Roman" w:cs="宋体"/>
          <w:color w:val="000000" w:themeColor="text1"/>
          <w:szCs w:val="21"/>
          <w:highlight w:val="none"/>
          <w14:textFill>
            <w14:solidFill>
              <w14:schemeClr w14:val="tx1"/>
            </w14:solidFill>
          </w14:textFill>
        </w:rPr>
      </w:pPr>
      <w:r>
        <w:rPr>
          <w:rFonts w:hint="eastAsia" w:ascii="宋体" w:hAnsi="Times New Roman" w:cs="宋体"/>
          <w:color w:val="000000" w:themeColor="text1"/>
          <w:szCs w:val="21"/>
          <w:highlight w:val="none"/>
          <w14:textFill>
            <w14:solidFill>
              <w14:schemeClr w14:val="tx1"/>
            </w14:solidFill>
          </w14:textFill>
        </w:rPr>
        <w:t>法定代表人或授权代表签字：</w:t>
      </w:r>
      <w:r>
        <w:rPr>
          <w:rFonts w:ascii="宋体" w:hAnsi="Times New Roman" w:cs="宋体"/>
          <w:color w:val="000000" w:themeColor="text1"/>
          <w:szCs w:val="21"/>
          <w:highlight w:val="none"/>
          <w14:textFill>
            <w14:solidFill>
              <w14:schemeClr w14:val="tx1"/>
            </w14:solidFill>
          </w14:textFill>
        </w:rPr>
        <w:t xml:space="preserve">                      </w:t>
      </w:r>
      <w:r>
        <w:rPr>
          <w:rFonts w:hint="eastAsia" w:ascii="宋体" w:hAnsi="Times New Roman" w:cs="宋体"/>
          <w:color w:val="000000" w:themeColor="text1"/>
          <w:szCs w:val="21"/>
          <w:highlight w:val="none"/>
          <w14:textFill>
            <w14:solidFill>
              <w14:schemeClr w14:val="tx1"/>
            </w14:solidFill>
          </w14:textFill>
        </w:rPr>
        <w:t>法定代表人或授权代表签字：</w:t>
      </w:r>
      <w:r>
        <w:rPr>
          <w:rFonts w:ascii="宋体" w:hAnsi="Times New Roman" w:cs="宋体"/>
          <w:color w:val="000000" w:themeColor="text1"/>
          <w:szCs w:val="21"/>
          <w:highlight w:val="none"/>
          <w14:textFill>
            <w14:solidFill>
              <w14:schemeClr w14:val="tx1"/>
            </w14:solidFill>
          </w14:textFill>
        </w:rPr>
        <w:t xml:space="preserve">     </w:t>
      </w:r>
    </w:p>
    <w:p>
      <w:pPr>
        <w:widowControl w:val="0"/>
        <w:kinsoku/>
        <w:overflowPunct/>
        <w:topLinePunct w:val="0"/>
        <w:bidi w:val="0"/>
        <w:spacing w:line="500" w:lineRule="exact"/>
        <w:rPr>
          <w:rFonts w:ascii="宋体" w:hAnsi="Times New Roman" w:cs="宋体"/>
          <w:color w:val="000000" w:themeColor="text1"/>
          <w:szCs w:val="21"/>
          <w:highlight w:val="none"/>
          <w14:textFill>
            <w14:solidFill>
              <w14:schemeClr w14:val="tx1"/>
            </w14:solidFill>
          </w14:textFill>
        </w:rPr>
      </w:pPr>
    </w:p>
    <w:p>
      <w:pPr>
        <w:widowControl w:val="0"/>
        <w:kinsoku/>
        <w:overflowPunct/>
        <w:topLinePunct w:val="0"/>
        <w:bidi w:val="0"/>
        <w:spacing w:line="500" w:lineRule="exact"/>
        <w:rPr>
          <w:rFonts w:ascii="宋体" w:hAnsi="Times New Roman"/>
          <w:color w:val="000000" w:themeColor="text1"/>
          <w:szCs w:val="21"/>
          <w:highlight w:val="none"/>
          <w14:textFill>
            <w14:solidFill>
              <w14:schemeClr w14:val="tx1"/>
            </w14:solidFill>
          </w14:textFill>
        </w:rPr>
      </w:pPr>
      <w:r>
        <w:rPr>
          <w:rFonts w:hint="eastAsia" w:ascii="宋体" w:hAnsi="Times New Roman" w:cs="宋体"/>
          <w:color w:val="000000" w:themeColor="text1"/>
          <w:szCs w:val="21"/>
          <w:highlight w:val="none"/>
          <w14:textFill>
            <w14:solidFill>
              <w14:schemeClr w14:val="tx1"/>
            </w14:solidFill>
          </w14:textFill>
        </w:rPr>
        <w:t>日</w:t>
      </w:r>
      <w:r>
        <w:rPr>
          <w:rFonts w:ascii="宋体" w:hAnsi="Times New Roman" w:cs="宋体"/>
          <w:color w:val="000000" w:themeColor="text1"/>
          <w:szCs w:val="21"/>
          <w:highlight w:val="none"/>
          <w14:textFill>
            <w14:solidFill>
              <w14:schemeClr w14:val="tx1"/>
            </w14:solidFill>
          </w14:textFill>
        </w:rPr>
        <w:t xml:space="preserve">    </w:t>
      </w:r>
      <w:r>
        <w:rPr>
          <w:rFonts w:hint="eastAsia" w:ascii="宋体" w:hAnsi="Times New Roman" w:cs="宋体"/>
          <w:color w:val="000000" w:themeColor="text1"/>
          <w:szCs w:val="21"/>
          <w:highlight w:val="none"/>
          <w14:textFill>
            <w14:solidFill>
              <w14:schemeClr w14:val="tx1"/>
            </w14:solidFill>
          </w14:textFill>
        </w:rPr>
        <w:t>期：</w:t>
      </w:r>
      <w:r>
        <w:rPr>
          <w:rFonts w:ascii="宋体" w:hAnsi="Times New Roman" w:cs="宋体"/>
          <w:color w:val="000000" w:themeColor="text1"/>
          <w:szCs w:val="21"/>
          <w:highlight w:val="none"/>
          <w14:textFill>
            <w14:solidFill>
              <w14:schemeClr w14:val="tx1"/>
            </w14:solidFill>
          </w14:textFill>
        </w:rPr>
        <w:t xml:space="preserve">                                      </w:t>
      </w:r>
      <w:r>
        <w:rPr>
          <w:rFonts w:hint="eastAsia" w:ascii="宋体" w:hAnsi="Times New Roman" w:cs="宋体"/>
          <w:color w:val="000000" w:themeColor="text1"/>
          <w:szCs w:val="21"/>
          <w:highlight w:val="none"/>
          <w14:textFill>
            <w14:solidFill>
              <w14:schemeClr w14:val="tx1"/>
            </w14:solidFill>
          </w14:textFill>
        </w:rPr>
        <w:t xml:space="preserve"> 日</w:t>
      </w:r>
      <w:r>
        <w:rPr>
          <w:rFonts w:ascii="宋体" w:hAnsi="Times New Roman" w:cs="宋体"/>
          <w:color w:val="000000" w:themeColor="text1"/>
          <w:szCs w:val="21"/>
          <w:highlight w:val="none"/>
          <w14:textFill>
            <w14:solidFill>
              <w14:schemeClr w14:val="tx1"/>
            </w14:solidFill>
          </w14:textFill>
        </w:rPr>
        <w:t xml:space="preserve">    </w:t>
      </w:r>
      <w:r>
        <w:rPr>
          <w:rFonts w:hint="eastAsia" w:ascii="宋体" w:hAnsi="Times New Roman" w:cs="宋体"/>
          <w:color w:val="000000" w:themeColor="text1"/>
          <w:szCs w:val="21"/>
          <w:highlight w:val="none"/>
          <w14:textFill>
            <w14:solidFill>
              <w14:schemeClr w14:val="tx1"/>
            </w14:solidFill>
          </w14:textFill>
        </w:rPr>
        <w:t>期：</w:t>
      </w:r>
    </w:p>
    <w:p>
      <w:pPr>
        <w:widowControl/>
        <w:kinsoku/>
        <w:overflowPunct/>
        <w:topLinePunct w:val="0"/>
        <w:bidi w:val="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br w:type="page"/>
      </w:r>
    </w:p>
    <w:p>
      <w:pPr>
        <w:pStyle w:val="26"/>
        <w:ind w:firstLine="0" w:firstLineChars="0"/>
        <w:rPr>
          <w:rFonts w:hint="eastAsia"/>
          <w:color w:val="000000" w:themeColor="text1"/>
          <w:sz w:val="24"/>
          <w:szCs w:val="28"/>
          <w:highlight w:val="none"/>
          <w:lang w:val="en-US" w:eastAsia="zh-CN"/>
          <w14:textFill>
            <w14:solidFill>
              <w14:schemeClr w14:val="tx1"/>
            </w14:solidFill>
          </w14:textFill>
        </w:rPr>
      </w:pPr>
      <w:r>
        <w:rPr>
          <w:rFonts w:hint="eastAsia"/>
          <w:color w:val="000000" w:themeColor="text1"/>
          <w:sz w:val="24"/>
          <w:szCs w:val="28"/>
          <w:highlight w:val="none"/>
          <w:lang w:val="en-US" w:eastAsia="zh-CN"/>
          <w14:textFill>
            <w14:solidFill>
              <w14:schemeClr w14:val="tx1"/>
            </w14:solidFill>
          </w14:textFill>
        </w:rPr>
        <w:t>附件：</w:t>
      </w:r>
    </w:p>
    <w:p>
      <w:pPr>
        <w:pStyle w:val="26"/>
        <w:ind w:firstLine="0" w:firstLineChars="0"/>
        <w:jc w:val="center"/>
        <w:rPr>
          <w:rFonts w:hint="eastAsia" w:ascii="黑体" w:hAnsi="黑体" w:eastAsia="黑体" w:cs="黑体"/>
          <w:b w:val="0"/>
          <w:bCs w:val="0"/>
          <w:color w:val="000000" w:themeColor="text1"/>
          <w:kern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eastAsia="zh-CN"/>
          <w14:textFill>
            <w14:solidFill>
              <w14:schemeClr w14:val="tx1"/>
            </w14:solidFill>
          </w14:textFill>
        </w:rPr>
        <w:t>广东机场集团服务质量测评</w:t>
      </w:r>
      <w:r>
        <w:rPr>
          <w:rFonts w:hint="eastAsia" w:ascii="黑体" w:hAnsi="黑体" w:eastAsia="黑体" w:cs="黑体"/>
          <w:b w:val="0"/>
          <w:bCs w:val="0"/>
          <w:color w:val="000000" w:themeColor="text1"/>
          <w:kern w:val="0"/>
          <w:sz w:val="32"/>
          <w:szCs w:val="32"/>
          <w:highlight w:val="none"/>
          <w14:textFill>
            <w14:solidFill>
              <w14:schemeClr w14:val="tx1"/>
            </w14:solidFill>
          </w14:textFill>
        </w:rPr>
        <w:t>项目服务考核评分表</w:t>
      </w:r>
    </w:p>
    <w:p>
      <w:pPr>
        <w:pStyle w:val="26"/>
        <w:ind w:firstLine="0" w:firstLineChars="0"/>
        <w:rPr>
          <w:rFonts w:hint="eastAsia" w:ascii="宋体" w:hAnsi="宋体" w:cs="宋体"/>
          <w:color w:val="000000" w:themeColor="text1"/>
          <w:kern w:val="0"/>
          <w:szCs w:val="21"/>
          <w:highlight w:val="none"/>
          <w:lang w:val="en-US" w:eastAsia="zh-CN"/>
          <w14:textFill>
            <w14:solidFill>
              <w14:schemeClr w14:val="tx1"/>
            </w14:solidFill>
          </w14:textFill>
        </w:rPr>
      </w:pPr>
    </w:p>
    <w:tbl>
      <w:tblPr>
        <w:tblStyle w:val="14"/>
        <w:tblW w:w="9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1"/>
        <w:gridCol w:w="1207"/>
        <w:gridCol w:w="3997"/>
        <w:gridCol w:w="1575"/>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b/>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b/>
                <w:i w:val="0"/>
                <w:color w:val="000000" w:themeColor="text1"/>
                <w:kern w:val="0"/>
                <w:sz w:val="24"/>
                <w:szCs w:val="24"/>
                <w:highlight w:val="none"/>
                <w:u w:val="none"/>
                <w:lang w:val="en-US" w:eastAsia="zh-CN" w:bidi="ar"/>
                <w14:textFill>
                  <w14:solidFill>
                    <w14:schemeClr w14:val="tx1"/>
                  </w14:solidFill>
                </w14:textFill>
              </w:rPr>
              <w:t>序号</w:t>
            </w:r>
          </w:p>
        </w:tc>
        <w:tc>
          <w:tcPr>
            <w:tcW w:w="1207"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b/>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b/>
                <w:i w:val="0"/>
                <w:color w:val="000000" w:themeColor="text1"/>
                <w:kern w:val="0"/>
                <w:sz w:val="24"/>
                <w:szCs w:val="24"/>
                <w:highlight w:val="none"/>
                <w:u w:val="none"/>
                <w:lang w:val="en-US" w:eastAsia="zh-CN" w:bidi="ar"/>
                <w14:textFill>
                  <w14:solidFill>
                    <w14:schemeClr w14:val="tx1"/>
                  </w14:solidFill>
                </w14:textFill>
              </w:rPr>
              <w:t>评价内容</w:t>
            </w:r>
          </w:p>
        </w:tc>
        <w:tc>
          <w:tcPr>
            <w:tcW w:w="3997"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b/>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b/>
                <w:i w:val="0"/>
                <w:color w:val="000000" w:themeColor="text1"/>
                <w:kern w:val="0"/>
                <w:sz w:val="24"/>
                <w:szCs w:val="24"/>
                <w:highlight w:val="none"/>
                <w:u w:val="none"/>
                <w:lang w:val="en-US" w:eastAsia="zh-CN" w:bidi="ar"/>
                <w14:textFill>
                  <w14:solidFill>
                    <w14:schemeClr w14:val="tx1"/>
                  </w14:solidFill>
                </w14:textFill>
              </w:rPr>
              <w:t>评价指标</w:t>
            </w:r>
          </w:p>
        </w:tc>
        <w:tc>
          <w:tcPr>
            <w:tcW w:w="1575"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b/>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b/>
                <w:i w:val="0"/>
                <w:color w:val="000000" w:themeColor="text1"/>
                <w:kern w:val="0"/>
                <w:sz w:val="24"/>
                <w:szCs w:val="24"/>
                <w:highlight w:val="none"/>
                <w:u w:val="none"/>
                <w:lang w:val="en-US" w:eastAsia="zh-CN" w:bidi="ar"/>
                <w14:textFill>
                  <w14:solidFill>
                    <w14:schemeClr w14:val="tx1"/>
                  </w14:solidFill>
                </w14:textFill>
              </w:rPr>
              <w:t>指标权重</w:t>
            </w:r>
          </w:p>
        </w:tc>
        <w:tc>
          <w:tcPr>
            <w:tcW w:w="1898"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b/>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b/>
                <w:i w:val="0"/>
                <w:color w:val="000000" w:themeColor="text1"/>
                <w:kern w:val="0"/>
                <w:sz w:val="24"/>
                <w:szCs w:val="24"/>
                <w:highlight w:val="none"/>
                <w:u w:val="none"/>
                <w:lang w:val="en-US" w:eastAsia="zh-CN" w:bidi="ar"/>
                <w14:textFill>
                  <w14:solidFill>
                    <w14:schemeClr w14:val="tx1"/>
                  </w14:solidFill>
                </w14:textFill>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1</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项目质量（60）</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测评维度针对性强，适应民航专业特点，能够协助甲方深入挖掘问题。</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15</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heme="majorEastAsia" w:hAnsiTheme="majorEastAsia" w:eastAsiaTheme="majorEastAsia" w:cstheme="majorEastAsia"/>
                <w:i w:val="0"/>
                <w:color w:val="000000" w:themeColor="text1"/>
                <w:sz w:val="24"/>
                <w:szCs w:val="24"/>
                <w:highlight w:val="none"/>
                <w:u w:val="none"/>
                <w:lang w:val="en-US"/>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样本数量满足甲方要求，数据分析方法科学严谨。</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15</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heme="majorEastAsia" w:hAnsiTheme="majorEastAsia" w:eastAsiaTheme="majorEastAsia" w:cstheme="majorEastAsia"/>
                <w:i w:val="0"/>
                <w:color w:val="000000" w:themeColor="text1"/>
                <w:sz w:val="24"/>
                <w:szCs w:val="24"/>
                <w:highlight w:val="none"/>
                <w:u w:val="none"/>
                <w:lang w:val="en-US"/>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出具的测评报告内容真实、严谨、全面，问题描述清晰、准确、深刻，提出的合理化建议切实可行。</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30</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2</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项目及时性（20）</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按照进度要求完成测评工作，项目进度控制良好，能按照进度或者适度超前，解决突发问题迅速，风险控制良好。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10</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能够按时开展调研，并提交项目测评报告。</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10</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3</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人员配置（10）</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人员数量按照相关约定配置。</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2</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人员资质按照相关约定配置。</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3</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人员具备其负责的相关工作所应具备的专业胜任能力，工作态度良好。</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5</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4</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职业操守（10）</w:t>
            </w:r>
          </w:p>
        </w:tc>
        <w:tc>
          <w:tcPr>
            <w:tcW w:w="3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与被测评单位或个人保持形式和实质上的独立，做到客观、公正；对工作中形成的底稿及报告进行保密，未经甲方同意，不对外传递。</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10</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i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b/>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b/>
                <w:i w:val="0"/>
                <w:color w:val="000000" w:themeColor="text1"/>
                <w:kern w:val="0"/>
                <w:sz w:val="24"/>
                <w:szCs w:val="24"/>
                <w:highlight w:val="none"/>
                <w:u w:val="none"/>
                <w:lang w:val="en-US" w:eastAsia="zh-CN" w:bidi="ar"/>
                <w14:textFill>
                  <w14:solidFill>
                    <w14:schemeClr w14:val="tx1"/>
                  </w14:solidFill>
                </w14:textFill>
              </w:rPr>
              <w:t>5</w:t>
            </w:r>
          </w:p>
        </w:tc>
        <w:tc>
          <w:tcPr>
            <w:tcW w:w="52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b/>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b/>
                <w:i w:val="0"/>
                <w:color w:val="000000" w:themeColor="text1"/>
                <w:kern w:val="0"/>
                <w:sz w:val="24"/>
                <w:szCs w:val="24"/>
                <w:highlight w:val="none"/>
                <w:u w:val="none"/>
                <w:lang w:val="en-US" w:eastAsia="zh-CN" w:bidi="ar"/>
                <w14:textFill>
                  <w14:solidFill>
                    <w14:schemeClr w14:val="tx1"/>
                  </w14:solidFill>
                </w14:textFill>
              </w:rPr>
              <w:t>合计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ajorEastAsia" w:hAnsiTheme="majorEastAsia" w:eastAsiaTheme="majorEastAsia" w:cstheme="majorEastAsia"/>
                <w:b/>
                <w:i w:val="0"/>
                <w:color w:val="000000" w:themeColor="text1"/>
                <w:sz w:val="24"/>
                <w:szCs w:val="24"/>
                <w:highlight w:val="none"/>
                <w:u w:val="none"/>
                <w14:textFill>
                  <w14:solidFill>
                    <w14:schemeClr w14:val="tx1"/>
                  </w14:solidFill>
                </w14:textFill>
              </w:rPr>
            </w:pPr>
            <w:r>
              <w:rPr>
                <w:rFonts w:hint="eastAsia" w:asciiTheme="majorEastAsia" w:hAnsiTheme="majorEastAsia" w:eastAsiaTheme="majorEastAsia" w:cstheme="majorEastAsia"/>
                <w:b/>
                <w:i w:val="0"/>
                <w:color w:val="000000" w:themeColor="text1"/>
                <w:kern w:val="0"/>
                <w:sz w:val="24"/>
                <w:szCs w:val="24"/>
                <w:highlight w:val="none"/>
                <w:u w:val="none"/>
                <w:lang w:val="en-US" w:eastAsia="zh-CN" w:bidi="ar"/>
                <w14:textFill>
                  <w14:solidFill>
                    <w14:schemeClr w14:val="tx1"/>
                  </w14:solidFill>
                </w14:textFill>
              </w:rPr>
              <w:t>100</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ajorEastAsia" w:hAnsiTheme="majorEastAsia" w:eastAsiaTheme="majorEastAsia" w:cstheme="majorEastAsia"/>
                <w:b/>
                <w:i w:val="0"/>
                <w:color w:val="000000" w:themeColor="text1"/>
                <w:sz w:val="24"/>
                <w:szCs w:val="24"/>
                <w:highlight w:val="none"/>
                <w:u w:val="none"/>
                <w14:textFill>
                  <w14:solidFill>
                    <w14:schemeClr w14:val="tx1"/>
                  </w14:solidFill>
                </w14:textFill>
              </w:rPr>
            </w:pPr>
          </w:p>
        </w:tc>
      </w:tr>
    </w:tbl>
    <w:p>
      <w:pPr>
        <w:pStyle w:val="26"/>
        <w:ind w:firstLine="0" w:firstLineChars="0"/>
        <w:rPr>
          <w:rFonts w:hint="eastAsia"/>
          <w:color w:val="000000" w:themeColor="text1"/>
          <w:sz w:val="24"/>
          <w:szCs w:val="28"/>
          <w:highlight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甲方服务管理部门负责人签字（盖章）：            乙方项目负责人签字（盖章）：</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4"/>
          <w:szCs w:val="24"/>
          <w:highlight w:val="none"/>
          <w:u w:val="none"/>
          <w:lang w:val="en-US" w:eastAsia="zh-CN" w:bidi="ar"/>
          <w14:textFill>
            <w14:solidFill>
              <w14:schemeClr w14:val="tx1"/>
            </w14:solidFill>
          </w14:textFill>
        </w:rPr>
        <w:t>日期：                                          日期：</w:t>
      </w:r>
    </w:p>
    <w:sectPr>
      <w:headerReference r:id="rId13" w:type="default"/>
      <w:footerReference r:id="rId14" w:type="default"/>
      <w:footerReference r:id="rId15" w:type="even"/>
      <w:pgSz w:w="11905" w:h="16838"/>
      <w:pgMar w:top="1587" w:right="1474" w:bottom="1474" w:left="1587" w:header="850" w:footer="992" w:gutter="0"/>
      <w:pgBorders>
        <w:top w:val="none" w:sz="0" w:space="0"/>
        <w:left w:val="none" w:sz="0" w:space="0"/>
        <w:bottom w:val="none" w:sz="0" w:space="0"/>
        <w:right w:val="none" w:sz="0" w:space="0"/>
      </w:pgBorders>
      <w:pgNumType w:fmt="numberInDash"/>
      <w:cols w:space="0" w:num="1"/>
      <w:rtlGutter w:val="0"/>
      <w:docGrid w:type="linesAndChars" w:linePitch="287"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18 -</w:t>
    </w:r>
    <w:r>
      <w:rPr>
        <w:rFonts w:hint="eastAsia" w:ascii="仿宋_GB2312" w:eastAsia="仿宋_GB2312"/>
        <w:sz w:val="28"/>
        <w:szCs w:val="28"/>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kern w:val="0"/>
        <w:sz w:val="20"/>
        <w:szCs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-53340</wp:posOffset>
              </wp:positionV>
              <wp:extent cx="609600" cy="297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9600" cy="297180"/>
                      </a:xfrm>
                      <a:prstGeom prst="rect">
                        <a:avLst/>
                      </a:prstGeom>
                      <a:noFill/>
                      <a:ln>
                        <a:noFill/>
                      </a:ln>
                    </wps:spPr>
                    <wps:txbx>
                      <w:txbxContent>
                        <w:p>
                          <w:pPr>
                            <w:rPr>
                              <w:rFonts w:hint="eastAsia" w:eastAsia="宋体"/>
                              <w:b/>
                              <w:bCs/>
                              <w:color w:val="FFFFFF"/>
                              <w:lang w:eastAsia="zh-CN"/>
                            </w:rPr>
                          </w:pPr>
                          <w:r>
                            <w:rPr>
                              <w:rFonts w:hint="eastAsia" w:ascii="仿宋_GB2312" w:hAnsi="仿宋_GB2312" w:eastAsia="仿宋_GB2312" w:cs="仿宋_GB2312"/>
                              <w:b w:val="0"/>
                              <w:bCs w:val="0"/>
                              <w:color w:val="000000" w:themeColor="text1"/>
                              <w:lang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lang w:eastAsia="zh-CN"/>
                              <w14:textFill>
                                <w14:solidFill>
                                  <w14:schemeClr w14:val="tx1"/>
                                </w14:solidFill>
                              </w14:textFill>
                            </w:rPr>
                            <w:instrText xml:space="preserve"> PAGE  \* MERGEFORMAT </w:instrText>
                          </w:r>
                          <w:r>
                            <w:rPr>
                              <w:rFonts w:hint="eastAsia" w:ascii="仿宋_GB2312" w:hAnsi="仿宋_GB2312" w:eastAsia="仿宋_GB2312" w:cs="仿宋_GB2312"/>
                              <w:b w:val="0"/>
                              <w:bCs w:val="0"/>
                              <w:color w:val="000000" w:themeColor="text1"/>
                              <w:lang w:eastAsia="zh-CN"/>
                              <w14:textFill>
                                <w14:solidFill>
                                  <w14:schemeClr w14:val="tx1"/>
                                </w14:solidFill>
                              </w14:textFill>
                            </w:rPr>
                            <w:fldChar w:fldCharType="separate"/>
                          </w:r>
                          <w:r>
                            <w:rPr>
                              <w:rFonts w:hint="eastAsia" w:ascii="仿宋_GB2312" w:hAnsi="仿宋_GB2312" w:eastAsia="仿宋_GB2312" w:cs="仿宋_GB2312"/>
                              <w:b w:val="0"/>
                              <w:bCs w:val="0"/>
                              <w:color w:val="000000" w:themeColor="text1"/>
                              <w:lang w:eastAsia="zh-CN"/>
                              <w14:textFill>
                                <w14:solidFill>
                                  <w14:schemeClr w14:val="tx1"/>
                                </w14:solidFill>
                              </w14:textFill>
                            </w:rPr>
                            <w:t>- 1 -</w:t>
                          </w:r>
                          <w:r>
                            <w:rPr>
                              <w:rFonts w:hint="eastAsia" w:ascii="仿宋_GB2312" w:hAnsi="仿宋_GB2312" w:eastAsia="仿宋_GB2312" w:cs="仿宋_GB2312"/>
                              <w:b w:val="0"/>
                              <w:bCs w:val="0"/>
                              <w:color w:val="000000" w:themeColor="text1"/>
                              <w:lang w:eastAsia="zh-CN"/>
                              <w14:textFill>
                                <w14:solidFill>
                                  <w14:schemeClr w14:val="tx1"/>
                                </w14:solidFill>
                              </w14:textFill>
                            </w:rPr>
                            <w:fldChar w:fldCharType="end"/>
                          </w:r>
                        </w:p>
                      </w:txbxContent>
                    </wps:txbx>
                    <wps:bodyPr upright="1"/>
                  </wps:wsp>
                </a:graphicData>
              </a:graphic>
            </wp:anchor>
          </w:drawing>
        </mc:Choice>
        <mc:Fallback>
          <w:pict>
            <v:shape id="_x0000_s1026" o:spid="_x0000_s1026" o:spt="202" type="#_x0000_t202" style="position:absolute;left:0pt;margin-top:-4.2pt;height:23.4pt;width:48pt;mso-position-horizontal:outside;mso-position-horizontal-relative:margin;z-index:251659264;mso-width-relative:page;mso-height-relative:page;" filled="f" stroked="f" coordsize="21600,21600" o:gfxdata="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KJ81dIAAAAFAQAADwAAAAAAAAABACAAAAAiAAAAZHJzL2Rvd25yZXYueG1s&#10;UEsBAhQAFAAAAAgAh07iQDacGM2MAQAA/wIAAA4AAAAAAAAAAQAgAAAAIQEAAGRycy9lMm9Eb2Mu&#10;eG1sUEsFBgAAAAAGAAYAWQEAAB8FAAAAAA==&#10;">
              <v:fill on="f" focussize="0,0"/>
              <v:stroke on="f"/>
              <v:imagedata o:title=""/>
              <o:lock v:ext="edit" aspectratio="f"/>
              <v:textbox>
                <w:txbxContent>
                  <w:p>
                    <w:pPr>
                      <w:rPr>
                        <w:rFonts w:hint="eastAsia" w:eastAsia="宋体"/>
                        <w:b/>
                        <w:bCs/>
                        <w:color w:val="FFFFFF"/>
                        <w:lang w:eastAsia="zh-CN"/>
                      </w:rPr>
                    </w:pPr>
                    <w:r>
                      <w:rPr>
                        <w:rFonts w:hint="eastAsia" w:ascii="仿宋_GB2312" w:hAnsi="仿宋_GB2312" w:eastAsia="仿宋_GB2312" w:cs="仿宋_GB2312"/>
                        <w:b w:val="0"/>
                        <w:bCs w:val="0"/>
                        <w:color w:val="000000" w:themeColor="text1"/>
                        <w:lang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lang w:eastAsia="zh-CN"/>
                        <w14:textFill>
                          <w14:solidFill>
                            <w14:schemeClr w14:val="tx1"/>
                          </w14:solidFill>
                        </w14:textFill>
                      </w:rPr>
                      <w:instrText xml:space="preserve"> PAGE  \* MERGEFORMAT </w:instrText>
                    </w:r>
                    <w:r>
                      <w:rPr>
                        <w:rFonts w:hint="eastAsia" w:ascii="仿宋_GB2312" w:hAnsi="仿宋_GB2312" w:eastAsia="仿宋_GB2312" w:cs="仿宋_GB2312"/>
                        <w:b w:val="0"/>
                        <w:bCs w:val="0"/>
                        <w:color w:val="000000" w:themeColor="text1"/>
                        <w:lang w:eastAsia="zh-CN"/>
                        <w14:textFill>
                          <w14:solidFill>
                            <w14:schemeClr w14:val="tx1"/>
                          </w14:solidFill>
                        </w14:textFill>
                      </w:rPr>
                      <w:fldChar w:fldCharType="separate"/>
                    </w:r>
                    <w:r>
                      <w:rPr>
                        <w:rFonts w:hint="eastAsia" w:ascii="仿宋_GB2312" w:hAnsi="仿宋_GB2312" w:eastAsia="仿宋_GB2312" w:cs="仿宋_GB2312"/>
                        <w:b w:val="0"/>
                        <w:bCs w:val="0"/>
                        <w:color w:val="000000" w:themeColor="text1"/>
                        <w:lang w:eastAsia="zh-CN"/>
                        <w14:textFill>
                          <w14:solidFill>
                            <w14:schemeClr w14:val="tx1"/>
                          </w14:solidFill>
                        </w14:textFill>
                      </w:rPr>
                      <w:t>- 1 -</w:t>
                    </w:r>
                    <w:r>
                      <w:rPr>
                        <w:rFonts w:hint="eastAsia" w:ascii="仿宋_GB2312" w:hAnsi="仿宋_GB2312" w:eastAsia="仿宋_GB2312" w:cs="仿宋_GB2312"/>
                        <w:b w:val="0"/>
                        <w:bCs w:val="0"/>
                        <w:color w:val="000000" w:themeColor="text1"/>
                        <w:lang w:eastAsia="zh-CN"/>
                        <w14:textFill>
                          <w14:solidFill>
                            <w14:schemeClr w14:val="tx1"/>
                          </w14:solidFill>
                        </w14:textFill>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- 36 -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- 46 -</w:t>
                    </w:r>
                    <w:r>
                      <w:rPr>
                        <w:rFonts w:hint="eastAsia"/>
                        <w:lang w:eastAsia="zh-CN"/>
                      </w:rPr>
                      <w:fldChar w:fldCharType="end"/>
                    </w:r>
                  </w:p>
                </w:txbxContent>
              </v:textbox>
            </v:shape>
          </w:pict>
        </mc:Fallback>
      </mc:AlternateContent>
    </w:r>
  </w:p>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85"/>
      <w:rPr>
        <w:rFonts w:ascii="仿宋_GB2312" w:eastAsia="仿宋_GB2312"/>
        <w:sz w:val="28"/>
        <w:szCs w:val="28"/>
        <w:lang w:val="zh-CN"/>
      </w:rPr>
    </w:pPr>
    <w:r>
      <w:rPr>
        <w:rFonts w:ascii="仿宋_GB2312" w:eastAsia="仿宋_GB2312"/>
        <w:sz w:val="28"/>
        <w:szCs w:val="28"/>
        <w:lang w:val="zh-CN"/>
      </w:rPr>
      <w:fldChar w:fldCharType="begin"/>
    </w:r>
    <w:r>
      <w:rPr>
        <w:rFonts w:ascii="仿宋_GB2312" w:eastAsia="仿宋_GB2312"/>
        <w:sz w:val="28"/>
        <w:szCs w:val="28"/>
        <w:lang w:val="zh-CN"/>
      </w:rPr>
      <w:instrText xml:space="preserve">PAGE  </w:instrText>
    </w:r>
    <w:r>
      <w:rPr>
        <w:rFonts w:ascii="仿宋_GB2312" w:eastAsia="仿宋_GB2312"/>
        <w:sz w:val="28"/>
        <w:szCs w:val="28"/>
        <w:lang w:val="zh-CN"/>
      </w:rPr>
      <w:fldChar w:fldCharType="separate"/>
    </w:r>
    <w:r>
      <w:rPr>
        <w:rFonts w:ascii="仿宋_GB2312" w:eastAsia="仿宋_GB2312"/>
        <w:sz w:val="28"/>
        <w:szCs w:val="28"/>
        <w:lang w:val="zh-CN"/>
      </w:rPr>
      <w:t>- 24 -</w:t>
    </w:r>
    <w:r>
      <w:rPr>
        <w:rFonts w:ascii="仿宋_GB2312" w:eastAsia="仿宋_GB2312"/>
        <w:sz w:val="28"/>
        <w:szCs w:val="28"/>
        <w:lang w:val="zh-CN"/>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rPr>
        <w:rFonts w:hint="eastAsia"/>
      </w:rP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left="-718" w:leftChars="-3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3"/>
      <w:numFmt w:val="decimal"/>
      <w:lvlText w:val="%1"/>
      <w:lvlJc w:val="left"/>
      <w:pPr>
        <w:tabs>
          <w:tab w:val="left" w:pos="810"/>
        </w:tabs>
        <w:ind w:left="810" w:hanging="810"/>
      </w:pPr>
      <w:rPr>
        <w:rFonts w:hint="eastAsia"/>
      </w:rPr>
    </w:lvl>
    <w:lvl w:ilvl="1" w:tentative="0">
      <w:start w:val="1"/>
      <w:numFmt w:val="decimal"/>
      <w:lvlText w:val="%1.%2"/>
      <w:lvlJc w:val="left"/>
      <w:pPr>
        <w:tabs>
          <w:tab w:val="left" w:pos="810"/>
        </w:tabs>
        <w:ind w:left="810" w:hanging="810"/>
      </w:pPr>
      <w:rPr>
        <w:rFonts w:hint="eastAsia"/>
      </w:rPr>
    </w:lvl>
    <w:lvl w:ilvl="2" w:tentative="0">
      <w:start w:val="1"/>
      <w:numFmt w:val="decimal"/>
      <w:lvlText w:val="%1.%2.%3"/>
      <w:lvlJc w:val="left"/>
      <w:pPr>
        <w:tabs>
          <w:tab w:val="left" w:pos="810"/>
        </w:tabs>
        <w:ind w:left="810" w:hanging="810"/>
      </w:pPr>
      <w:rPr>
        <w:rFonts w:hint="eastAsia"/>
      </w:rPr>
    </w:lvl>
    <w:lvl w:ilvl="3" w:tentative="0">
      <w:start w:val="1"/>
      <w:numFmt w:val="decimal"/>
      <w:lvlText w:val="%1.%2.%3.%4"/>
      <w:lvlJc w:val="left"/>
      <w:pPr>
        <w:tabs>
          <w:tab w:val="left" w:pos="810"/>
        </w:tabs>
        <w:ind w:left="810" w:hanging="810"/>
      </w:pPr>
      <w:rPr>
        <w:rFonts w:hint="eastAsia"/>
      </w:rPr>
    </w:lvl>
    <w:lvl w:ilvl="4" w:tentative="0">
      <w:start w:val="1"/>
      <w:numFmt w:val="decimal"/>
      <w:lvlText w:val="%1.%2.%3.%4.%5"/>
      <w:lvlJc w:val="left"/>
      <w:pPr>
        <w:tabs>
          <w:tab w:val="left" w:pos="810"/>
        </w:tabs>
        <w:ind w:left="810" w:hanging="810"/>
      </w:pPr>
      <w:rPr>
        <w:rFonts w:hint="eastAsia"/>
      </w:rPr>
    </w:lvl>
    <w:lvl w:ilvl="5" w:tentative="0">
      <w:start w:val="1"/>
      <w:numFmt w:val="decimal"/>
      <w:lvlText w:val="%1.%2.%3.%4.%5.%6"/>
      <w:lvlJc w:val="left"/>
      <w:pPr>
        <w:tabs>
          <w:tab w:val="left" w:pos="810"/>
        </w:tabs>
        <w:ind w:left="810" w:hanging="810"/>
      </w:pPr>
      <w:rPr>
        <w:rFonts w:hint="eastAsia"/>
      </w:rPr>
    </w:lvl>
    <w:lvl w:ilvl="6" w:tentative="0">
      <w:start w:val="1"/>
      <w:numFmt w:val="decimal"/>
      <w:lvlText w:val="%1.%2.%3.%4.%5.%6.%7"/>
      <w:lvlJc w:val="left"/>
      <w:pPr>
        <w:tabs>
          <w:tab w:val="left" w:pos="810"/>
        </w:tabs>
        <w:ind w:left="810" w:hanging="810"/>
      </w:pPr>
      <w:rPr>
        <w:rFonts w:hint="eastAsia"/>
      </w:rPr>
    </w:lvl>
    <w:lvl w:ilvl="7" w:tentative="0">
      <w:start w:val="1"/>
      <w:numFmt w:val="decimal"/>
      <w:lvlText w:val="%1.%2.%3.%4.%5.%6.%7.%8"/>
      <w:lvlJc w:val="left"/>
      <w:pPr>
        <w:tabs>
          <w:tab w:val="left" w:pos="810"/>
        </w:tabs>
        <w:ind w:left="810" w:hanging="810"/>
      </w:pPr>
      <w:rPr>
        <w:rFonts w:hint="eastAsia"/>
      </w:rPr>
    </w:lvl>
    <w:lvl w:ilvl="8" w:tentative="0">
      <w:start w:val="1"/>
      <w:numFmt w:val="decimal"/>
      <w:lvlText w:val="%1.%2.%3.%4.%5.%6.%7.%8.%9"/>
      <w:lvlJc w:val="left"/>
      <w:pPr>
        <w:tabs>
          <w:tab w:val="left" w:pos="810"/>
        </w:tabs>
        <w:ind w:left="810" w:hanging="810"/>
      </w:pPr>
      <w:rPr>
        <w:rFonts w:hint="eastAsia"/>
      </w:rPr>
    </w:lvl>
  </w:abstractNum>
  <w:abstractNum w:abstractNumId="1">
    <w:nsid w:val="00000009"/>
    <w:multiLevelType w:val="multilevel"/>
    <w:tmpl w:val="00000009"/>
    <w:lvl w:ilvl="0" w:tentative="0">
      <w:start w:val="7"/>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default" w:ascii="Times New Roman" w:hAnsi="Times New Roman" w:eastAsia="宋体" w:cs="Times New Roman"/>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2">
    <w:nsid w:val="0000000C"/>
    <w:multiLevelType w:val="multilevel"/>
    <w:tmpl w:val="0000000C"/>
    <w:lvl w:ilvl="0" w:tentative="0">
      <w:start w:val="15"/>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0000000F"/>
    <w:multiLevelType w:val="multilevel"/>
    <w:tmpl w:val="0000000F"/>
    <w:lvl w:ilvl="0" w:tentative="0">
      <w:start w:val="8"/>
      <w:numFmt w:val="decimal"/>
      <w:lvlText w:val="%1"/>
      <w:lvlJc w:val="left"/>
      <w:pPr>
        <w:tabs>
          <w:tab w:val="left" w:pos="930"/>
        </w:tabs>
        <w:ind w:left="930" w:hanging="930"/>
      </w:pPr>
      <w:rPr>
        <w:rFonts w:hint="eastAsia"/>
      </w:rPr>
    </w:lvl>
    <w:lvl w:ilvl="1" w:tentative="0">
      <w:start w:val="1"/>
      <w:numFmt w:val="decimal"/>
      <w:lvlText w:val="%1.%2"/>
      <w:lvlJc w:val="left"/>
      <w:pPr>
        <w:tabs>
          <w:tab w:val="left" w:pos="930"/>
        </w:tabs>
        <w:ind w:left="930" w:hanging="930"/>
      </w:pPr>
      <w:rPr>
        <w:rFonts w:hint="eastAsia"/>
      </w:rPr>
    </w:lvl>
    <w:lvl w:ilvl="2" w:tentative="0">
      <w:start w:val="1"/>
      <w:numFmt w:val="decimal"/>
      <w:lvlText w:val="%1.%2.%3"/>
      <w:lvlJc w:val="left"/>
      <w:pPr>
        <w:tabs>
          <w:tab w:val="left" w:pos="930"/>
        </w:tabs>
        <w:ind w:left="930" w:hanging="930"/>
      </w:pPr>
      <w:rPr>
        <w:rFonts w:hint="eastAsia"/>
      </w:rPr>
    </w:lvl>
    <w:lvl w:ilvl="3" w:tentative="0">
      <w:start w:val="1"/>
      <w:numFmt w:val="decimal"/>
      <w:lvlText w:val="%1.%2.%3.%4"/>
      <w:lvlJc w:val="left"/>
      <w:pPr>
        <w:tabs>
          <w:tab w:val="left" w:pos="930"/>
        </w:tabs>
        <w:ind w:left="930" w:hanging="930"/>
      </w:pPr>
      <w:rPr>
        <w:rFonts w:hint="eastAsia"/>
      </w:rPr>
    </w:lvl>
    <w:lvl w:ilvl="4" w:tentative="0">
      <w:start w:val="1"/>
      <w:numFmt w:val="decimal"/>
      <w:lvlText w:val="%1.%2.%3.%4.%5"/>
      <w:lvlJc w:val="left"/>
      <w:pPr>
        <w:tabs>
          <w:tab w:val="left" w:pos="930"/>
        </w:tabs>
        <w:ind w:left="930" w:hanging="930"/>
      </w:pPr>
      <w:rPr>
        <w:rFonts w:hint="eastAsia"/>
      </w:rPr>
    </w:lvl>
    <w:lvl w:ilvl="5" w:tentative="0">
      <w:start w:val="1"/>
      <w:numFmt w:val="decimal"/>
      <w:lvlText w:val="%1.%2.%3.%4.%5.%6"/>
      <w:lvlJc w:val="left"/>
      <w:pPr>
        <w:tabs>
          <w:tab w:val="left" w:pos="930"/>
        </w:tabs>
        <w:ind w:left="930" w:hanging="930"/>
      </w:pPr>
      <w:rPr>
        <w:rFonts w:hint="eastAsia"/>
      </w:rPr>
    </w:lvl>
    <w:lvl w:ilvl="6" w:tentative="0">
      <w:start w:val="1"/>
      <w:numFmt w:val="decimal"/>
      <w:lvlText w:val="%1.%2.%3.%4.%5.%6.%7"/>
      <w:lvlJc w:val="left"/>
      <w:pPr>
        <w:tabs>
          <w:tab w:val="left" w:pos="930"/>
        </w:tabs>
        <w:ind w:left="930" w:hanging="930"/>
      </w:pPr>
      <w:rPr>
        <w:rFonts w:hint="eastAsia"/>
      </w:rPr>
    </w:lvl>
    <w:lvl w:ilvl="7" w:tentative="0">
      <w:start w:val="1"/>
      <w:numFmt w:val="decimal"/>
      <w:lvlText w:val="%1.%2.%3.%4.%5.%6.%7.%8"/>
      <w:lvlJc w:val="left"/>
      <w:pPr>
        <w:tabs>
          <w:tab w:val="left" w:pos="930"/>
        </w:tabs>
        <w:ind w:left="930" w:hanging="930"/>
      </w:pPr>
      <w:rPr>
        <w:rFonts w:hint="eastAsia"/>
      </w:rPr>
    </w:lvl>
    <w:lvl w:ilvl="8" w:tentative="0">
      <w:start w:val="1"/>
      <w:numFmt w:val="decimal"/>
      <w:lvlText w:val="%1.%2.%3.%4.%5.%6.%7.%8.%9"/>
      <w:lvlJc w:val="left"/>
      <w:pPr>
        <w:tabs>
          <w:tab w:val="left" w:pos="930"/>
        </w:tabs>
        <w:ind w:left="930" w:hanging="930"/>
      </w:pPr>
      <w:rPr>
        <w:rFonts w:hint="eastAsia"/>
      </w:rPr>
    </w:lvl>
  </w:abstractNum>
  <w:abstractNum w:abstractNumId="4">
    <w:nsid w:val="00000010"/>
    <w:multiLevelType w:val="multilevel"/>
    <w:tmpl w:val="00000010"/>
    <w:lvl w:ilvl="0" w:tentative="0">
      <w:start w:val="6"/>
      <w:numFmt w:val="decimal"/>
      <w:lvlText w:val="%1"/>
      <w:lvlJc w:val="left"/>
      <w:pPr>
        <w:tabs>
          <w:tab w:val="left" w:pos="810"/>
        </w:tabs>
        <w:ind w:left="810" w:hanging="810"/>
      </w:pPr>
      <w:rPr>
        <w:rFonts w:hint="eastAsia"/>
      </w:rPr>
    </w:lvl>
    <w:lvl w:ilvl="1" w:tentative="0">
      <w:start w:val="1"/>
      <w:numFmt w:val="decimal"/>
      <w:lvlText w:val="%1.%2"/>
      <w:lvlJc w:val="left"/>
      <w:pPr>
        <w:tabs>
          <w:tab w:val="left" w:pos="810"/>
        </w:tabs>
        <w:ind w:left="810" w:hanging="810"/>
      </w:pPr>
      <w:rPr>
        <w:rFonts w:hint="default" w:ascii="Times New Roman" w:hAnsi="Times New Roman" w:eastAsia="宋体" w:cs="Times New Roman"/>
      </w:rPr>
    </w:lvl>
    <w:lvl w:ilvl="2" w:tentative="0">
      <w:start w:val="1"/>
      <w:numFmt w:val="decimal"/>
      <w:lvlText w:val="%1.%2.%3"/>
      <w:lvlJc w:val="left"/>
      <w:pPr>
        <w:tabs>
          <w:tab w:val="left" w:pos="810"/>
        </w:tabs>
        <w:ind w:left="810" w:hanging="810"/>
      </w:pPr>
      <w:rPr>
        <w:rFonts w:hint="eastAsia"/>
      </w:rPr>
    </w:lvl>
    <w:lvl w:ilvl="3" w:tentative="0">
      <w:start w:val="1"/>
      <w:numFmt w:val="decimal"/>
      <w:lvlText w:val="%1.%2.%3.%4"/>
      <w:lvlJc w:val="left"/>
      <w:pPr>
        <w:tabs>
          <w:tab w:val="left" w:pos="810"/>
        </w:tabs>
        <w:ind w:left="810" w:hanging="810"/>
      </w:pPr>
      <w:rPr>
        <w:rFonts w:hint="eastAsia"/>
      </w:rPr>
    </w:lvl>
    <w:lvl w:ilvl="4" w:tentative="0">
      <w:start w:val="1"/>
      <w:numFmt w:val="decimal"/>
      <w:lvlText w:val="%1.%2.%3.%4.%5"/>
      <w:lvlJc w:val="left"/>
      <w:pPr>
        <w:tabs>
          <w:tab w:val="left" w:pos="810"/>
        </w:tabs>
        <w:ind w:left="810" w:hanging="810"/>
      </w:pPr>
      <w:rPr>
        <w:rFonts w:hint="eastAsia"/>
      </w:rPr>
    </w:lvl>
    <w:lvl w:ilvl="5" w:tentative="0">
      <w:start w:val="1"/>
      <w:numFmt w:val="decimal"/>
      <w:lvlText w:val="%1.%2.%3.%4.%5.%6"/>
      <w:lvlJc w:val="left"/>
      <w:pPr>
        <w:tabs>
          <w:tab w:val="left" w:pos="810"/>
        </w:tabs>
        <w:ind w:left="810" w:hanging="810"/>
      </w:pPr>
      <w:rPr>
        <w:rFonts w:hint="eastAsia"/>
      </w:rPr>
    </w:lvl>
    <w:lvl w:ilvl="6" w:tentative="0">
      <w:start w:val="1"/>
      <w:numFmt w:val="decimal"/>
      <w:lvlText w:val="%1.%2.%3.%4.%5.%6.%7"/>
      <w:lvlJc w:val="left"/>
      <w:pPr>
        <w:tabs>
          <w:tab w:val="left" w:pos="810"/>
        </w:tabs>
        <w:ind w:left="810" w:hanging="810"/>
      </w:pPr>
      <w:rPr>
        <w:rFonts w:hint="eastAsia"/>
      </w:rPr>
    </w:lvl>
    <w:lvl w:ilvl="7" w:tentative="0">
      <w:start w:val="1"/>
      <w:numFmt w:val="decimal"/>
      <w:lvlText w:val="%1.%2.%3.%4.%5.%6.%7.%8"/>
      <w:lvlJc w:val="left"/>
      <w:pPr>
        <w:tabs>
          <w:tab w:val="left" w:pos="810"/>
        </w:tabs>
        <w:ind w:left="810" w:hanging="810"/>
      </w:pPr>
      <w:rPr>
        <w:rFonts w:hint="eastAsia"/>
      </w:rPr>
    </w:lvl>
    <w:lvl w:ilvl="8" w:tentative="0">
      <w:start w:val="1"/>
      <w:numFmt w:val="decimal"/>
      <w:lvlText w:val="%1.%2.%3.%4.%5.%6.%7.%8.%9"/>
      <w:lvlJc w:val="left"/>
      <w:pPr>
        <w:tabs>
          <w:tab w:val="left" w:pos="810"/>
        </w:tabs>
        <w:ind w:left="810" w:hanging="810"/>
      </w:pPr>
      <w:rPr>
        <w:rFonts w:hint="eastAsia"/>
      </w:rPr>
    </w:lvl>
  </w:abstractNum>
  <w:abstractNum w:abstractNumId="5">
    <w:nsid w:val="00000012"/>
    <w:multiLevelType w:val="multilevel"/>
    <w:tmpl w:val="00000012"/>
    <w:lvl w:ilvl="0" w:tentative="0">
      <w:start w:val="12"/>
      <w:numFmt w:val="decimal"/>
      <w:lvlText w:val="%1"/>
      <w:lvlJc w:val="left"/>
      <w:pPr>
        <w:tabs>
          <w:tab w:val="left" w:pos="810"/>
        </w:tabs>
        <w:ind w:left="810" w:hanging="810"/>
      </w:pPr>
      <w:rPr>
        <w:rFonts w:hint="eastAsia"/>
      </w:rPr>
    </w:lvl>
    <w:lvl w:ilvl="1" w:tentative="0">
      <w:start w:val="1"/>
      <w:numFmt w:val="decimal"/>
      <w:lvlText w:val="13.%2"/>
      <w:lvlJc w:val="left"/>
      <w:pPr>
        <w:tabs>
          <w:tab w:val="left" w:pos="810"/>
        </w:tabs>
        <w:ind w:left="810" w:hanging="810"/>
      </w:pPr>
      <w:rPr>
        <w:rFonts w:hint="eastAsia"/>
      </w:rPr>
    </w:lvl>
    <w:lvl w:ilvl="2" w:tentative="0">
      <w:start w:val="1"/>
      <w:numFmt w:val="decimal"/>
      <w:lvlText w:val="%1.%2.%3"/>
      <w:lvlJc w:val="left"/>
      <w:pPr>
        <w:tabs>
          <w:tab w:val="left" w:pos="810"/>
        </w:tabs>
        <w:ind w:left="810" w:hanging="810"/>
      </w:pPr>
      <w:rPr>
        <w:rFonts w:hint="eastAsia"/>
      </w:rPr>
    </w:lvl>
    <w:lvl w:ilvl="3" w:tentative="0">
      <w:start w:val="1"/>
      <w:numFmt w:val="decimal"/>
      <w:lvlText w:val="%1.%2.%3.%4"/>
      <w:lvlJc w:val="left"/>
      <w:pPr>
        <w:tabs>
          <w:tab w:val="left" w:pos="810"/>
        </w:tabs>
        <w:ind w:left="810" w:hanging="810"/>
      </w:pPr>
      <w:rPr>
        <w:rFonts w:hint="eastAsia"/>
      </w:rPr>
    </w:lvl>
    <w:lvl w:ilvl="4" w:tentative="0">
      <w:start w:val="1"/>
      <w:numFmt w:val="decimal"/>
      <w:lvlText w:val="%1.%2.%3.%4.%5"/>
      <w:lvlJc w:val="left"/>
      <w:pPr>
        <w:tabs>
          <w:tab w:val="left" w:pos="810"/>
        </w:tabs>
        <w:ind w:left="810" w:hanging="810"/>
      </w:pPr>
      <w:rPr>
        <w:rFonts w:hint="eastAsia"/>
      </w:rPr>
    </w:lvl>
    <w:lvl w:ilvl="5" w:tentative="0">
      <w:start w:val="1"/>
      <w:numFmt w:val="decimal"/>
      <w:lvlText w:val="%1.%2.%3.%4.%5.%6"/>
      <w:lvlJc w:val="left"/>
      <w:pPr>
        <w:tabs>
          <w:tab w:val="left" w:pos="810"/>
        </w:tabs>
        <w:ind w:left="810" w:hanging="810"/>
      </w:pPr>
      <w:rPr>
        <w:rFonts w:hint="eastAsia"/>
      </w:rPr>
    </w:lvl>
    <w:lvl w:ilvl="6" w:tentative="0">
      <w:start w:val="1"/>
      <w:numFmt w:val="decimal"/>
      <w:lvlText w:val="%1.%2.%3.%4.%5.%6.%7"/>
      <w:lvlJc w:val="left"/>
      <w:pPr>
        <w:tabs>
          <w:tab w:val="left" w:pos="810"/>
        </w:tabs>
        <w:ind w:left="810" w:hanging="810"/>
      </w:pPr>
      <w:rPr>
        <w:rFonts w:hint="eastAsia"/>
      </w:rPr>
    </w:lvl>
    <w:lvl w:ilvl="7" w:tentative="0">
      <w:start w:val="1"/>
      <w:numFmt w:val="decimal"/>
      <w:lvlText w:val="%1.%2.%3.%4.%5.%6.%7.%8"/>
      <w:lvlJc w:val="left"/>
      <w:pPr>
        <w:tabs>
          <w:tab w:val="left" w:pos="810"/>
        </w:tabs>
        <w:ind w:left="810" w:hanging="810"/>
      </w:pPr>
      <w:rPr>
        <w:rFonts w:hint="eastAsia"/>
      </w:rPr>
    </w:lvl>
    <w:lvl w:ilvl="8" w:tentative="0">
      <w:start w:val="1"/>
      <w:numFmt w:val="decimal"/>
      <w:lvlText w:val="%1.%2.%3.%4.%5.%6.%7.%8.%9"/>
      <w:lvlJc w:val="left"/>
      <w:pPr>
        <w:tabs>
          <w:tab w:val="left" w:pos="810"/>
        </w:tabs>
        <w:ind w:left="810" w:hanging="810"/>
      </w:pPr>
      <w:rPr>
        <w:rFonts w:hint="eastAsia"/>
      </w:rPr>
    </w:lvl>
  </w:abstractNum>
  <w:abstractNum w:abstractNumId="6">
    <w:nsid w:val="00000015"/>
    <w:multiLevelType w:val="multilevel"/>
    <w:tmpl w:val="00000015"/>
    <w:lvl w:ilvl="0" w:tentative="0">
      <w:start w:val="9"/>
      <w:numFmt w:val="decimal"/>
      <w:lvlText w:val="%1"/>
      <w:lvlJc w:val="left"/>
      <w:pPr>
        <w:tabs>
          <w:tab w:val="left" w:pos="810"/>
        </w:tabs>
        <w:ind w:left="810" w:hanging="810"/>
      </w:pPr>
      <w:rPr>
        <w:rFonts w:hint="eastAsia"/>
      </w:rPr>
    </w:lvl>
    <w:lvl w:ilvl="1" w:tentative="0">
      <w:start w:val="1"/>
      <w:numFmt w:val="decimal"/>
      <w:lvlText w:val="%1.%2"/>
      <w:lvlJc w:val="left"/>
      <w:pPr>
        <w:tabs>
          <w:tab w:val="left" w:pos="810"/>
        </w:tabs>
        <w:ind w:left="810" w:hanging="810"/>
      </w:pPr>
      <w:rPr>
        <w:rFonts w:hint="eastAsia"/>
      </w:rPr>
    </w:lvl>
    <w:lvl w:ilvl="2" w:tentative="0">
      <w:start w:val="1"/>
      <w:numFmt w:val="decimal"/>
      <w:lvlText w:val="%1.%2.%3"/>
      <w:lvlJc w:val="left"/>
      <w:pPr>
        <w:tabs>
          <w:tab w:val="left" w:pos="810"/>
        </w:tabs>
        <w:ind w:left="810" w:hanging="810"/>
      </w:pPr>
      <w:rPr>
        <w:rFonts w:hint="eastAsia"/>
      </w:rPr>
    </w:lvl>
    <w:lvl w:ilvl="3" w:tentative="0">
      <w:start w:val="1"/>
      <w:numFmt w:val="decimal"/>
      <w:lvlText w:val="%1.%2.%3.%4"/>
      <w:lvlJc w:val="left"/>
      <w:pPr>
        <w:tabs>
          <w:tab w:val="left" w:pos="810"/>
        </w:tabs>
        <w:ind w:left="810" w:hanging="810"/>
      </w:pPr>
      <w:rPr>
        <w:rFonts w:hint="eastAsia"/>
      </w:rPr>
    </w:lvl>
    <w:lvl w:ilvl="4" w:tentative="0">
      <w:start w:val="1"/>
      <w:numFmt w:val="decimal"/>
      <w:lvlText w:val="%1.%2.%3.%4.%5"/>
      <w:lvlJc w:val="left"/>
      <w:pPr>
        <w:tabs>
          <w:tab w:val="left" w:pos="810"/>
        </w:tabs>
        <w:ind w:left="810" w:hanging="810"/>
      </w:pPr>
      <w:rPr>
        <w:rFonts w:hint="eastAsia"/>
      </w:rPr>
    </w:lvl>
    <w:lvl w:ilvl="5" w:tentative="0">
      <w:start w:val="1"/>
      <w:numFmt w:val="decimal"/>
      <w:lvlText w:val="%1.%2.%3.%4.%5.%6"/>
      <w:lvlJc w:val="left"/>
      <w:pPr>
        <w:tabs>
          <w:tab w:val="left" w:pos="810"/>
        </w:tabs>
        <w:ind w:left="810" w:hanging="810"/>
      </w:pPr>
      <w:rPr>
        <w:rFonts w:hint="eastAsia"/>
      </w:rPr>
    </w:lvl>
    <w:lvl w:ilvl="6" w:tentative="0">
      <w:start w:val="1"/>
      <w:numFmt w:val="decimal"/>
      <w:lvlText w:val="%1.%2.%3.%4.%5.%6.%7"/>
      <w:lvlJc w:val="left"/>
      <w:pPr>
        <w:tabs>
          <w:tab w:val="left" w:pos="810"/>
        </w:tabs>
        <w:ind w:left="810" w:hanging="810"/>
      </w:pPr>
      <w:rPr>
        <w:rFonts w:hint="eastAsia"/>
      </w:rPr>
    </w:lvl>
    <w:lvl w:ilvl="7" w:tentative="0">
      <w:start w:val="1"/>
      <w:numFmt w:val="decimal"/>
      <w:lvlText w:val="%1.%2.%3.%4.%5.%6.%7.%8"/>
      <w:lvlJc w:val="left"/>
      <w:pPr>
        <w:tabs>
          <w:tab w:val="left" w:pos="810"/>
        </w:tabs>
        <w:ind w:left="810" w:hanging="810"/>
      </w:pPr>
      <w:rPr>
        <w:rFonts w:hint="eastAsia"/>
      </w:rPr>
    </w:lvl>
    <w:lvl w:ilvl="8" w:tentative="0">
      <w:start w:val="1"/>
      <w:numFmt w:val="decimal"/>
      <w:lvlText w:val="%1.%2.%3.%4.%5.%6.%7.%8.%9"/>
      <w:lvlJc w:val="left"/>
      <w:pPr>
        <w:tabs>
          <w:tab w:val="left" w:pos="810"/>
        </w:tabs>
        <w:ind w:left="810" w:hanging="810"/>
      </w:pPr>
      <w:rPr>
        <w:rFonts w:hint="eastAsia"/>
      </w:rPr>
    </w:lvl>
  </w:abstractNum>
  <w:abstractNum w:abstractNumId="7">
    <w:nsid w:val="00000018"/>
    <w:multiLevelType w:val="multilevel"/>
    <w:tmpl w:val="00000018"/>
    <w:lvl w:ilvl="0" w:tentative="0">
      <w:start w:val="10"/>
      <w:numFmt w:val="decimal"/>
      <w:lvlText w:val="%1"/>
      <w:lvlJc w:val="left"/>
      <w:pPr>
        <w:tabs>
          <w:tab w:val="left" w:pos="810"/>
        </w:tabs>
        <w:ind w:left="810" w:hanging="810"/>
      </w:pPr>
      <w:rPr>
        <w:rFonts w:hint="eastAsia"/>
      </w:rPr>
    </w:lvl>
    <w:lvl w:ilvl="1" w:tentative="0">
      <w:start w:val="1"/>
      <w:numFmt w:val="decimal"/>
      <w:lvlText w:val="%1.%2"/>
      <w:lvlJc w:val="left"/>
      <w:pPr>
        <w:tabs>
          <w:tab w:val="left" w:pos="810"/>
        </w:tabs>
        <w:ind w:left="810" w:hanging="810"/>
      </w:pPr>
      <w:rPr>
        <w:rFonts w:hint="default" w:ascii="Times New Roman" w:hAnsi="Times New Roman" w:cs="Times New Roman"/>
      </w:rPr>
    </w:lvl>
    <w:lvl w:ilvl="2" w:tentative="0">
      <w:start w:val="1"/>
      <w:numFmt w:val="decimal"/>
      <w:lvlText w:val="%1.%2.%3"/>
      <w:lvlJc w:val="left"/>
      <w:pPr>
        <w:tabs>
          <w:tab w:val="left" w:pos="810"/>
        </w:tabs>
        <w:ind w:left="810" w:hanging="810"/>
      </w:pPr>
      <w:rPr>
        <w:rFonts w:hint="eastAsia"/>
      </w:rPr>
    </w:lvl>
    <w:lvl w:ilvl="3" w:tentative="0">
      <w:start w:val="1"/>
      <w:numFmt w:val="decimal"/>
      <w:lvlText w:val="%1.%2.%3.%4"/>
      <w:lvlJc w:val="left"/>
      <w:pPr>
        <w:tabs>
          <w:tab w:val="left" w:pos="810"/>
        </w:tabs>
        <w:ind w:left="810" w:hanging="810"/>
      </w:pPr>
      <w:rPr>
        <w:rFonts w:hint="eastAsia"/>
      </w:rPr>
    </w:lvl>
    <w:lvl w:ilvl="4" w:tentative="0">
      <w:start w:val="1"/>
      <w:numFmt w:val="decimal"/>
      <w:lvlText w:val="%1.%2.%3.%4.%5"/>
      <w:lvlJc w:val="left"/>
      <w:pPr>
        <w:tabs>
          <w:tab w:val="left" w:pos="810"/>
        </w:tabs>
        <w:ind w:left="810" w:hanging="810"/>
      </w:pPr>
      <w:rPr>
        <w:rFonts w:hint="eastAsia"/>
      </w:rPr>
    </w:lvl>
    <w:lvl w:ilvl="5" w:tentative="0">
      <w:start w:val="1"/>
      <w:numFmt w:val="decimal"/>
      <w:lvlText w:val="%1.%2.%3.%4.%5.%6"/>
      <w:lvlJc w:val="left"/>
      <w:pPr>
        <w:tabs>
          <w:tab w:val="left" w:pos="810"/>
        </w:tabs>
        <w:ind w:left="810" w:hanging="810"/>
      </w:pPr>
      <w:rPr>
        <w:rFonts w:hint="eastAsia"/>
      </w:rPr>
    </w:lvl>
    <w:lvl w:ilvl="6" w:tentative="0">
      <w:start w:val="1"/>
      <w:numFmt w:val="decimal"/>
      <w:lvlText w:val="%1.%2.%3.%4.%5.%6.%7"/>
      <w:lvlJc w:val="left"/>
      <w:pPr>
        <w:tabs>
          <w:tab w:val="left" w:pos="810"/>
        </w:tabs>
        <w:ind w:left="810" w:hanging="810"/>
      </w:pPr>
      <w:rPr>
        <w:rFonts w:hint="eastAsia"/>
      </w:rPr>
    </w:lvl>
    <w:lvl w:ilvl="7" w:tentative="0">
      <w:start w:val="1"/>
      <w:numFmt w:val="decimal"/>
      <w:lvlText w:val="%1.%2.%3.%4.%5.%6.%7.%8"/>
      <w:lvlJc w:val="left"/>
      <w:pPr>
        <w:tabs>
          <w:tab w:val="left" w:pos="810"/>
        </w:tabs>
        <w:ind w:left="810" w:hanging="810"/>
      </w:pPr>
      <w:rPr>
        <w:rFonts w:hint="eastAsia"/>
      </w:rPr>
    </w:lvl>
    <w:lvl w:ilvl="8" w:tentative="0">
      <w:start w:val="1"/>
      <w:numFmt w:val="decimal"/>
      <w:lvlText w:val="%1.%2.%3.%4.%5.%6.%7.%8.%9"/>
      <w:lvlJc w:val="left"/>
      <w:pPr>
        <w:tabs>
          <w:tab w:val="left" w:pos="810"/>
        </w:tabs>
        <w:ind w:left="810" w:hanging="810"/>
      </w:pPr>
      <w:rPr>
        <w:rFonts w:hint="eastAsia"/>
      </w:rPr>
    </w:lvl>
  </w:abstractNum>
  <w:abstractNum w:abstractNumId="8">
    <w:nsid w:val="0000001B"/>
    <w:multiLevelType w:val="multilevel"/>
    <w:tmpl w:val="0000001B"/>
    <w:lvl w:ilvl="0" w:tentative="0">
      <w:start w:val="5"/>
      <w:numFmt w:val="decimal"/>
      <w:lvlText w:val="%1"/>
      <w:lvlJc w:val="left"/>
      <w:pPr>
        <w:tabs>
          <w:tab w:val="left" w:pos="810"/>
        </w:tabs>
        <w:ind w:left="810" w:hanging="810"/>
      </w:pPr>
      <w:rPr>
        <w:rFonts w:hint="eastAsia"/>
      </w:rPr>
    </w:lvl>
    <w:lvl w:ilvl="1" w:tentative="0">
      <w:start w:val="1"/>
      <w:numFmt w:val="decimal"/>
      <w:lvlText w:val="%1.%2"/>
      <w:lvlJc w:val="left"/>
      <w:pPr>
        <w:tabs>
          <w:tab w:val="left" w:pos="810"/>
        </w:tabs>
        <w:ind w:left="810" w:hanging="810"/>
      </w:pPr>
      <w:rPr>
        <w:rFonts w:hint="default" w:ascii="Times New Roman" w:hAnsi="Times New Roman" w:cs="Times New Roman"/>
      </w:rPr>
    </w:lvl>
    <w:lvl w:ilvl="2" w:tentative="0">
      <w:start w:val="1"/>
      <w:numFmt w:val="decimal"/>
      <w:lvlText w:val="%1.%2.%3"/>
      <w:lvlJc w:val="left"/>
      <w:pPr>
        <w:tabs>
          <w:tab w:val="left" w:pos="810"/>
        </w:tabs>
        <w:ind w:left="810" w:hanging="810"/>
      </w:pPr>
      <w:rPr>
        <w:rFonts w:hint="eastAsia"/>
      </w:rPr>
    </w:lvl>
    <w:lvl w:ilvl="3" w:tentative="0">
      <w:start w:val="1"/>
      <w:numFmt w:val="decimal"/>
      <w:lvlText w:val="%1.%2.%3.%4"/>
      <w:lvlJc w:val="left"/>
      <w:pPr>
        <w:tabs>
          <w:tab w:val="left" w:pos="810"/>
        </w:tabs>
        <w:ind w:left="810" w:hanging="810"/>
      </w:pPr>
      <w:rPr>
        <w:rFonts w:hint="eastAsia"/>
      </w:rPr>
    </w:lvl>
    <w:lvl w:ilvl="4" w:tentative="0">
      <w:start w:val="1"/>
      <w:numFmt w:val="decimal"/>
      <w:lvlText w:val="%1.%2.%3.%4.%5"/>
      <w:lvlJc w:val="left"/>
      <w:pPr>
        <w:tabs>
          <w:tab w:val="left" w:pos="810"/>
        </w:tabs>
        <w:ind w:left="810" w:hanging="810"/>
      </w:pPr>
      <w:rPr>
        <w:rFonts w:hint="eastAsia"/>
      </w:rPr>
    </w:lvl>
    <w:lvl w:ilvl="5" w:tentative="0">
      <w:start w:val="1"/>
      <w:numFmt w:val="decimal"/>
      <w:lvlText w:val="%1.%2.%3.%4.%5.%6"/>
      <w:lvlJc w:val="left"/>
      <w:pPr>
        <w:tabs>
          <w:tab w:val="left" w:pos="810"/>
        </w:tabs>
        <w:ind w:left="810" w:hanging="810"/>
      </w:pPr>
      <w:rPr>
        <w:rFonts w:hint="eastAsia"/>
      </w:rPr>
    </w:lvl>
    <w:lvl w:ilvl="6" w:tentative="0">
      <w:start w:val="1"/>
      <w:numFmt w:val="decimal"/>
      <w:lvlText w:val="%1.%2.%3.%4.%5.%6.%7"/>
      <w:lvlJc w:val="left"/>
      <w:pPr>
        <w:tabs>
          <w:tab w:val="left" w:pos="810"/>
        </w:tabs>
        <w:ind w:left="810" w:hanging="810"/>
      </w:pPr>
      <w:rPr>
        <w:rFonts w:hint="eastAsia"/>
      </w:rPr>
    </w:lvl>
    <w:lvl w:ilvl="7" w:tentative="0">
      <w:start w:val="1"/>
      <w:numFmt w:val="decimal"/>
      <w:lvlText w:val="%1.%2.%3.%4.%5.%6.%7.%8"/>
      <w:lvlJc w:val="left"/>
      <w:pPr>
        <w:tabs>
          <w:tab w:val="left" w:pos="810"/>
        </w:tabs>
        <w:ind w:left="810" w:hanging="810"/>
      </w:pPr>
      <w:rPr>
        <w:rFonts w:hint="eastAsia"/>
      </w:rPr>
    </w:lvl>
    <w:lvl w:ilvl="8" w:tentative="0">
      <w:start w:val="1"/>
      <w:numFmt w:val="decimal"/>
      <w:lvlText w:val="%1.%2.%3.%4.%5.%6.%7.%8.%9"/>
      <w:lvlJc w:val="left"/>
      <w:pPr>
        <w:tabs>
          <w:tab w:val="left" w:pos="810"/>
        </w:tabs>
        <w:ind w:left="810" w:hanging="810"/>
      </w:pPr>
      <w:rPr>
        <w:rFonts w:hint="eastAsia"/>
      </w:rPr>
    </w:lvl>
  </w:abstractNum>
  <w:abstractNum w:abstractNumId="9">
    <w:nsid w:val="0000001E"/>
    <w:multiLevelType w:val="multilevel"/>
    <w:tmpl w:val="0000001E"/>
    <w:lvl w:ilvl="0" w:tentative="0">
      <w:start w:val="1"/>
      <w:numFmt w:val="decimal"/>
      <w:lvlText w:val="%1"/>
      <w:lvlJc w:val="left"/>
      <w:pPr>
        <w:tabs>
          <w:tab w:val="left" w:pos="915"/>
        </w:tabs>
        <w:ind w:left="915" w:hanging="915"/>
      </w:pPr>
      <w:rPr>
        <w:rFonts w:hint="eastAsia"/>
      </w:rPr>
    </w:lvl>
    <w:lvl w:ilvl="1" w:tentative="0">
      <w:start w:val="1"/>
      <w:numFmt w:val="decimal"/>
      <w:lvlText w:val="%1.%2"/>
      <w:lvlJc w:val="left"/>
      <w:pPr>
        <w:tabs>
          <w:tab w:val="left" w:pos="915"/>
        </w:tabs>
        <w:ind w:left="915" w:hanging="915"/>
      </w:pPr>
      <w:rPr>
        <w:rFonts w:hint="eastAsia"/>
      </w:rPr>
    </w:lvl>
    <w:lvl w:ilvl="2" w:tentative="0">
      <w:start w:val="1"/>
      <w:numFmt w:val="decimal"/>
      <w:lvlText w:val="%1.%2.%3"/>
      <w:lvlJc w:val="left"/>
      <w:pPr>
        <w:tabs>
          <w:tab w:val="left" w:pos="915"/>
        </w:tabs>
        <w:ind w:left="915" w:hanging="915"/>
      </w:pPr>
      <w:rPr>
        <w:rFonts w:hint="eastAsia"/>
      </w:rPr>
    </w:lvl>
    <w:lvl w:ilvl="3" w:tentative="0">
      <w:start w:val="1"/>
      <w:numFmt w:val="decimal"/>
      <w:lvlText w:val="%1.%2.%3.%4"/>
      <w:lvlJc w:val="left"/>
      <w:pPr>
        <w:tabs>
          <w:tab w:val="left" w:pos="915"/>
        </w:tabs>
        <w:ind w:left="915" w:hanging="915"/>
      </w:pPr>
      <w:rPr>
        <w:rFonts w:hint="eastAsia"/>
      </w:rPr>
    </w:lvl>
    <w:lvl w:ilvl="4" w:tentative="0">
      <w:start w:val="1"/>
      <w:numFmt w:val="decimal"/>
      <w:lvlText w:val="%1.%2.%3.%4.%5"/>
      <w:lvlJc w:val="left"/>
      <w:pPr>
        <w:tabs>
          <w:tab w:val="left" w:pos="915"/>
        </w:tabs>
        <w:ind w:left="915" w:hanging="915"/>
      </w:pPr>
      <w:rPr>
        <w:rFonts w:hint="eastAsia"/>
      </w:rPr>
    </w:lvl>
    <w:lvl w:ilvl="5" w:tentative="0">
      <w:start w:val="1"/>
      <w:numFmt w:val="decimal"/>
      <w:lvlText w:val="%1.%2.%3.%4.%5.%6"/>
      <w:lvlJc w:val="left"/>
      <w:pPr>
        <w:tabs>
          <w:tab w:val="left" w:pos="915"/>
        </w:tabs>
        <w:ind w:left="915" w:hanging="915"/>
      </w:pPr>
      <w:rPr>
        <w:rFonts w:hint="eastAsia"/>
      </w:rPr>
    </w:lvl>
    <w:lvl w:ilvl="6" w:tentative="0">
      <w:start w:val="1"/>
      <w:numFmt w:val="decimal"/>
      <w:lvlText w:val="%1.%2.%3.%4.%5.%6.%7"/>
      <w:lvlJc w:val="left"/>
      <w:pPr>
        <w:tabs>
          <w:tab w:val="left" w:pos="915"/>
        </w:tabs>
        <w:ind w:left="915" w:hanging="915"/>
      </w:pPr>
      <w:rPr>
        <w:rFonts w:hint="eastAsia"/>
      </w:rPr>
    </w:lvl>
    <w:lvl w:ilvl="7" w:tentative="0">
      <w:start w:val="1"/>
      <w:numFmt w:val="decimal"/>
      <w:lvlText w:val="%1.%2.%3.%4.%5.%6.%7.%8"/>
      <w:lvlJc w:val="left"/>
      <w:pPr>
        <w:tabs>
          <w:tab w:val="left" w:pos="915"/>
        </w:tabs>
        <w:ind w:left="915" w:hanging="915"/>
      </w:pPr>
      <w:rPr>
        <w:rFonts w:hint="eastAsia"/>
      </w:rPr>
    </w:lvl>
    <w:lvl w:ilvl="8" w:tentative="0">
      <w:start w:val="1"/>
      <w:numFmt w:val="decimal"/>
      <w:lvlText w:val="%1.%2.%3.%4.%5.%6.%7.%8.%9"/>
      <w:lvlJc w:val="left"/>
      <w:pPr>
        <w:tabs>
          <w:tab w:val="left" w:pos="915"/>
        </w:tabs>
        <w:ind w:left="915" w:hanging="915"/>
      </w:pPr>
      <w:rPr>
        <w:rFonts w:hint="eastAsia"/>
      </w:rPr>
    </w:lvl>
  </w:abstractNum>
  <w:abstractNum w:abstractNumId="10">
    <w:nsid w:val="00000021"/>
    <w:multiLevelType w:val="multilevel"/>
    <w:tmpl w:val="00000021"/>
    <w:lvl w:ilvl="0" w:tentative="0">
      <w:start w:val="2"/>
      <w:numFmt w:val="decimal"/>
      <w:lvlText w:val="%1"/>
      <w:lvlJc w:val="left"/>
      <w:pPr>
        <w:tabs>
          <w:tab w:val="left" w:pos="915"/>
        </w:tabs>
        <w:ind w:left="915" w:hanging="915"/>
      </w:pPr>
      <w:rPr>
        <w:rFonts w:hint="eastAsia"/>
      </w:rPr>
    </w:lvl>
    <w:lvl w:ilvl="1" w:tentative="0">
      <w:start w:val="1"/>
      <w:numFmt w:val="decimal"/>
      <w:lvlText w:val="%1.%2"/>
      <w:lvlJc w:val="left"/>
      <w:pPr>
        <w:tabs>
          <w:tab w:val="left" w:pos="915"/>
        </w:tabs>
        <w:ind w:left="915" w:hanging="915"/>
      </w:pPr>
      <w:rPr>
        <w:rFonts w:hint="eastAsia"/>
      </w:rPr>
    </w:lvl>
    <w:lvl w:ilvl="2" w:tentative="0">
      <w:start w:val="1"/>
      <w:numFmt w:val="decimal"/>
      <w:lvlText w:val="%1.%2.%3"/>
      <w:lvlJc w:val="left"/>
      <w:pPr>
        <w:tabs>
          <w:tab w:val="left" w:pos="915"/>
        </w:tabs>
        <w:ind w:left="915" w:hanging="915"/>
      </w:pPr>
      <w:rPr>
        <w:rFonts w:hint="eastAsia"/>
      </w:rPr>
    </w:lvl>
    <w:lvl w:ilvl="3" w:tentative="0">
      <w:start w:val="1"/>
      <w:numFmt w:val="decimal"/>
      <w:lvlText w:val="%1.%2.%3.%4"/>
      <w:lvlJc w:val="left"/>
      <w:pPr>
        <w:tabs>
          <w:tab w:val="left" w:pos="915"/>
        </w:tabs>
        <w:ind w:left="915" w:hanging="915"/>
      </w:pPr>
      <w:rPr>
        <w:rFonts w:hint="eastAsia"/>
      </w:rPr>
    </w:lvl>
    <w:lvl w:ilvl="4" w:tentative="0">
      <w:start w:val="1"/>
      <w:numFmt w:val="decimal"/>
      <w:lvlText w:val="%1.%2.%3.%4.%5"/>
      <w:lvlJc w:val="left"/>
      <w:pPr>
        <w:tabs>
          <w:tab w:val="left" w:pos="915"/>
        </w:tabs>
        <w:ind w:left="915" w:hanging="915"/>
      </w:pPr>
      <w:rPr>
        <w:rFonts w:hint="eastAsia"/>
      </w:rPr>
    </w:lvl>
    <w:lvl w:ilvl="5" w:tentative="0">
      <w:start w:val="1"/>
      <w:numFmt w:val="decimal"/>
      <w:lvlText w:val="%1.%2.%3.%4.%5.%6"/>
      <w:lvlJc w:val="left"/>
      <w:pPr>
        <w:tabs>
          <w:tab w:val="left" w:pos="915"/>
        </w:tabs>
        <w:ind w:left="915" w:hanging="915"/>
      </w:pPr>
      <w:rPr>
        <w:rFonts w:hint="eastAsia"/>
      </w:rPr>
    </w:lvl>
    <w:lvl w:ilvl="6" w:tentative="0">
      <w:start w:val="1"/>
      <w:numFmt w:val="decimal"/>
      <w:lvlText w:val="%1.%2.%3.%4.%5.%6.%7"/>
      <w:lvlJc w:val="left"/>
      <w:pPr>
        <w:tabs>
          <w:tab w:val="left" w:pos="915"/>
        </w:tabs>
        <w:ind w:left="915" w:hanging="915"/>
      </w:pPr>
      <w:rPr>
        <w:rFonts w:hint="eastAsia"/>
      </w:rPr>
    </w:lvl>
    <w:lvl w:ilvl="7" w:tentative="0">
      <w:start w:val="1"/>
      <w:numFmt w:val="decimal"/>
      <w:lvlText w:val="%1.%2.%3.%4.%5.%6.%7.%8"/>
      <w:lvlJc w:val="left"/>
      <w:pPr>
        <w:tabs>
          <w:tab w:val="left" w:pos="915"/>
        </w:tabs>
        <w:ind w:left="915" w:hanging="915"/>
      </w:pPr>
      <w:rPr>
        <w:rFonts w:hint="eastAsia"/>
      </w:rPr>
    </w:lvl>
    <w:lvl w:ilvl="8" w:tentative="0">
      <w:start w:val="1"/>
      <w:numFmt w:val="decimal"/>
      <w:lvlText w:val="%1.%2.%3.%4.%5.%6.%7.%8.%9"/>
      <w:lvlJc w:val="left"/>
      <w:pPr>
        <w:tabs>
          <w:tab w:val="left" w:pos="915"/>
        </w:tabs>
        <w:ind w:left="915" w:hanging="915"/>
      </w:pPr>
      <w:rPr>
        <w:rFonts w:hint="eastAsia"/>
      </w:rPr>
    </w:lvl>
  </w:abstractNum>
  <w:abstractNum w:abstractNumId="11">
    <w:nsid w:val="00000024"/>
    <w:multiLevelType w:val="singleLevel"/>
    <w:tmpl w:val="00000024"/>
    <w:lvl w:ilvl="0" w:tentative="0">
      <w:start w:val="1"/>
      <w:numFmt w:val="decimal"/>
      <w:lvlText w:val="（%1）"/>
      <w:lvlJc w:val="left"/>
      <w:pPr>
        <w:tabs>
          <w:tab w:val="left" w:pos="1620"/>
        </w:tabs>
        <w:ind w:left="1620" w:hanging="720"/>
      </w:pPr>
      <w:rPr>
        <w:rFonts w:hint="eastAsia"/>
        <w:b w:val="0"/>
        <w:bCs w:val="0"/>
        <w:color w:val="000000"/>
      </w:rPr>
    </w:lvl>
  </w:abstractNum>
  <w:abstractNum w:abstractNumId="12">
    <w:nsid w:val="00000027"/>
    <w:multiLevelType w:val="multilevel"/>
    <w:tmpl w:val="00000027"/>
    <w:lvl w:ilvl="0" w:tentative="0">
      <w:start w:val="1"/>
      <w:numFmt w:val="decimal"/>
      <w:lvlText w:val="第%1条"/>
      <w:lvlJc w:val="left"/>
      <w:pPr>
        <w:tabs>
          <w:tab w:val="left" w:pos="735"/>
        </w:tabs>
        <w:ind w:left="735" w:hanging="735"/>
      </w:pPr>
      <w:rPr>
        <w:rFonts w:hint="eastAsia"/>
      </w:rPr>
    </w:lvl>
    <w:lvl w:ilvl="1" w:tentative="0">
      <w:start w:val="1"/>
      <w:numFmt w:val="lowerLetter"/>
      <w:lvlText w:val="%2."/>
      <w:lvlJc w:val="left"/>
      <w:pPr>
        <w:tabs>
          <w:tab w:val="left" w:pos="780"/>
        </w:tabs>
        <w:ind w:left="780" w:hanging="360"/>
      </w:pPr>
      <w:rPr>
        <w:rFonts w:hint="eastAsia"/>
      </w:rPr>
    </w:lvl>
    <w:lvl w:ilvl="2" w:tentative="0">
      <w:start w:val="16"/>
      <w:numFmt w:val="decimal"/>
      <w:lvlText w:val="第%3"/>
      <w:lvlJc w:val="left"/>
      <w:pPr>
        <w:tabs>
          <w:tab w:val="left" w:pos="1515"/>
        </w:tabs>
        <w:ind w:left="1515" w:hanging="67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8"/>
    <w:multiLevelType w:val="singleLevel"/>
    <w:tmpl w:val="00000028"/>
    <w:lvl w:ilvl="0" w:tentative="0">
      <w:start w:val="1"/>
      <w:numFmt w:val="decimal"/>
      <w:pStyle w:val="4"/>
      <w:lvlText w:val="%1."/>
      <w:lvlJc w:val="left"/>
      <w:pPr>
        <w:tabs>
          <w:tab w:val="left" w:pos="425"/>
        </w:tabs>
        <w:ind w:left="425" w:hanging="425"/>
      </w:pPr>
    </w:lvl>
  </w:abstractNum>
  <w:num w:numId="1">
    <w:abstractNumId w:val="13"/>
  </w:num>
  <w:num w:numId="2">
    <w:abstractNumId w:val="12"/>
  </w:num>
  <w:num w:numId="3">
    <w:abstractNumId w:val="9"/>
  </w:num>
  <w:num w:numId="4">
    <w:abstractNumId w:val="11"/>
  </w:num>
  <w:num w:numId="5">
    <w:abstractNumId w:val="10"/>
  </w:num>
  <w:num w:numId="6">
    <w:abstractNumId w:val="0"/>
  </w:num>
  <w:num w:numId="7">
    <w:abstractNumId w:val="8"/>
  </w:num>
  <w:num w:numId="8">
    <w:abstractNumId w:val="4"/>
  </w:num>
  <w:num w:numId="9">
    <w:abstractNumId w:val="1"/>
  </w:num>
  <w:num w:numId="10">
    <w:abstractNumId w:val="3"/>
  </w:num>
  <w:num w:numId="11">
    <w:abstractNumId w:val="6"/>
  </w:num>
  <w:num w:numId="12">
    <w:abstractNumId w:val="7"/>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trackedChanges" w:enforcement="0"/>
  <w:defaultTabStop w:val="420"/>
  <w:drawingGridHorizontalSpacing w:val="101"/>
  <w:drawingGridVerticalSpacing w:val="14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NWQ1ZDhjYmE3NmIwNmY4MWYxOGEyMDczZGJlOGEifQ=="/>
  </w:docVars>
  <w:rsids>
    <w:rsidRoot w:val="00AC63DE"/>
    <w:rsid w:val="000050C2"/>
    <w:rsid w:val="000202C7"/>
    <w:rsid w:val="000256E8"/>
    <w:rsid w:val="00036798"/>
    <w:rsid w:val="00043296"/>
    <w:rsid w:val="00044C66"/>
    <w:rsid w:val="00047DBF"/>
    <w:rsid w:val="00051C73"/>
    <w:rsid w:val="00077C3E"/>
    <w:rsid w:val="00093640"/>
    <w:rsid w:val="00093E0F"/>
    <w:rsid w:val="000A22B4"/>
    <w:rsid w:val="000E1F74"/>
    <w:rsid w:val="000F22F9"/>
    <w:rsid w:val="00103D3C"/>
    <w:rsid w:val="00114DB8"/>
    <w:rsid w:val="0012618A"/>
    <w:rsid w:val="0013123D"/>
    <w:rsid w:val="001342D2"/>
    <w:rsid w:val="001346F3"/>
    <w:rsid w:val="00146B17"/>
    <w:rsid w:val="0015149F"/>
    <w:rsid w:val="0015638C"/>
    <w:rsid w:val="00175DB1"/>
    <w:rsid w:val="00194766"/>
    <w:rsid w:val="001A1DBE"/>
    <w:rsid w:val="001A36D9"/>
    <w:rsid w:val="001B35D7"/>
    <w:rsid w:val="001C3566"/>
    <w:rsid w:val="001C3DA6"/>
    <w:rsid w:val="001D0192"/>
    <w:rsid w:val="001F5F4A"/>
    <w:rsid w:val="00213282"/>
    <w:rsid w:val="002257C0"/>
    <w:rsid w:val="00231565"/>
    <w:rsid w:val="00236596"/>
    <w:rsid w:val="00241A87"/>
    <w:rsid w:val="00244866"/>
    <w:rsid w:val="002458D7"/>
    <w:rsid w:val="002470AE"/>
    <w:rsid w:val="0026617D"/>
    <w:rsid w:val="00266D6D"/>
    <w:rsid w:val="00271078"/>
    <w:rsid w:val="00277C84"/>
    <w:rsid w:val="00285746"/>
    <w:rsid w:val="00285892"/>
    <w:rsid w:val="002916B6"/>
    <w:rsid w:val="002942FC"/>
    <w:rsid w:val="002A6898"/>
    <w:rsid w:val="002B6D67"/>
    <w:rsid w:val="002C2D84"/>
    <w:rsid w:val="002C38C4"/>
    <w:rsid w:val="002D5720"/>
    <w:rsid w:val="002F4628"/>
    <w:rsid w:val="003158AB"/>
    <w:rsid w:val="003254EA"/>
    <w:rsid w:val="0035194A"/>
    <w:rsid w:val="00351CF4"/>
    <w:rsid w:val="00352194"/>
    <w:rsid w:val="003810C7"/>
    <w:rsid w:val="00385C48"/>
    <w:rsid w:val="003A577B"/>
    <w:rsid w:val="003D16B1"/>
    <w:rsid w:val="003E10E8"/>
    <w:rsid w:val="003F0F4D"/>
    <w:rsid w:val="003F176C"/>
    <w:rsid w:val="00434539"/>
    <w:rsid w:val="004373FD"/>
    <w:rsid w:val="00442D44"/>
    <w:rsid w:val="00484FEC"/>
    <w:rsid w:val="00492624"/>
    <w:rsid w:val="004A77E5"/>
    <w:rsid w:val="004B1B7C"/>
    <w:rsid w:val="004D15AB"/>
    <w:rsid w:val="004E35EB"/>
    <w:rsid w:val="004E672E"/>
    <w:rsid w:val="004F471E"/>
    <w:rsid w:val="005048AF"/>
    <w:rsid w:val="00507501"/>
    <w:rsid w:val="0051030C"/>
    <w:rsid w:val="0051703E"/>
    <w:rsid w:val="00517B0E"/>
    <w:rsid w:val="0052015D"/>
    <w:rsid w:val="00540162"/>
    <w:rsid w:val="00544A5D"/>
    <w:rsid w:val="005474AD"/>
    <w:rsid w:val="0056313F"/>
    <w:rsid w:val="00592BCF"/>
    <w:rsid w:val="00594566"/>
    <w:rsid w:val="00595DBB"/>
    <w:rsid w:val="005960DF"/>
    <w:rsid w:val="005B29AF"/>
    <w:rsid w:val="005C547E"/>
    <w:rsid w:val="005D0817"/>
    <w:rsid w:val="005F1F95"/>
    <w:rsid w:val="006038F9"/>
    <w:rsid w:val="0060480F"/>
    <w:rsid w:val="006209C9"/>
    <w:rsid w:val="00621A23"/>
    <w:rsid w:val="006279C8"/>
    <w:rsid w:val="00632899"/>
    <w:rsid w:val="00652253"/>
    <w:rsid w:val="00653A63"/>
    <w:rsid w:val="00673D66"/>
    <w:rsid w:val="00676B11"/>
    <w:rsid w:val="00696C88"/>
    <w:rsid w:val="00697926"/>
    <w:rsid w:val="006A1BBB"/>
    <w:rsid w:val="006E6416"/>
    <w:rsid w:val="007164E9"/>
    <w:rsid w:val="00742886"/>
    <w:rsid w:val="007510F5"/>
    <w:rsid w:val="00763A59"/>
    <w:rsid w:val="007675A9"/>
    <w:rsid w:val="00780F38"/>
    <w:rsid w:val="007A04FA"/>
    <w:rsid w:val="007A50D9"/>
    <w:rsid w:val="007B5D66"/>
    <w:rsid w:val="007B78F6"/>
    <w:rsid w:val="007E1D5A"/>
    <w:rsid w:val="007E60BA"/>
    <w:rsid w:val="007E67D4"/>
    <w:rsid w:val="008235F0"/>
    <w:rsid w:val="008300A1"/>
    <w:rsid w:val="00833C74"/>
    <w:rsid w:val="00847E91"/>
    <w:rsid w:val="008578B3"/>
    <w:rsid w:val="008660C2"/>
    <w:rsid w:val="008715D7"/>
    <w:rsid w:val="00876C7F"/>
    <w:rsid w:val="00886731"/>
    <w:rsid w:val="008A0B9B"/>
    <w:rsid w:val="008A2737"/>
    <w:rsid w:val="008A46B7"/>
    <w:rsid w:val="008C4B57"/>
    <w:rsid w:val="008C78D4"/>
    <w:rsid w:val="00903481"/>
    <w:rsid w:val="009101E0"/>
    <w:rsid w:val="0092505A"/>
    <w:rsid w:val="0092703A"/>
    <w:rsid w:val="0093064E"/>
    <w:rsid w:val="0093168C"/>
    <w:rsid w:val="00943CFC"/>
    <w:rsid w:val="009447BF"/>
    <w:rsid w:val="00990274"/>
    <w:rsid w:val="00992B74"/>
    <w:rsid w:val="009940A2"/>
    <w:rsid w:val="009A5112"/>
    <w:rsid w:val="009A6A59"/>
    <w:rsid w:val="009B2026"/>
    <w:rsid w:val="009B3F17"/>
    <w:rsid w:val="00A00997"/>
    <w:rsid w:val="00A11B2A"/>
    <w:rsid w:val="00A576F8"/>
    <w:rsid w:val="00A61642"/>
    <w:rsid w:val="00A90BA0"/>
    <w:rsid w:val="00AA2DDA"/>
    <w:rsid w:val="00AA687C"/>
    <w:rsid w:val="00AA6E01"/>
    <w:rsid w:val="00AC1E21"/>
    <w:rsid w:val="00AC63DE"/>
    <w:rsid w:val="00AD26E9"/>
    <w:rsid w:val="00B26999"/>
    <w:rsid w:val="00B30D29"/>
    <w:rsid w:val="00B30D55"/>
    <w:rsid w:val="00B44642"/>
    <w:rsid w:val="00B56883"/>
    <w:rsid w:val="00B578FE"/>
    <w:rsid w:val="00B700DC"/>
    <w:rsid w:val="00B70C5E"/>
    <w:rsid w:val="00B94765"/>
    <w:rsid w:val="00B95701"/>
    <w:rsid w:val="00B97C52"/>
    <w:rsid w:val="00BB6C99"/>
    <w:rsid w:val="00BC3595"/>
    <w:rsid w:val="00BC40C5"/>
    <w:rsid w:val="00BD196D"/>
    <w:rsid w:val="00BD50F9"/>
    <w:rsid w:val="00BE44E7"/>
    <w:rsid w:val="00BF079C"/>
    <w:rsid w:val="00BF551C"/>
    <w:rsid w:val="00C06E52"/>
    <w:rsid w:val="00C07850"/>
    <w:rsid w:val="00C23FE3"/>
    <w:rsid w:val="00C326B5"/>
    <w:rsid w:val="00C35322"/>
    <w:rsid w:val="00C36D6C"/>
    <w:rsid w:val="00C47F1D"/>
    <w:rsid w:val="00C64118"/>
    <w:rsid w:val="00C67E6A"/>
    <w:rsid w:val="00C745E5"/>
    <w:rsid w:val="00C8518C"/>
    <w:rsid w:val="00CA3AF0"/>
    <w:rsid w:val="00CA71FC"/>
    <w:rsid w:val="00CB40BB"/>
    <w:rsid w:val="00CB4606"/>
    <w:rsid w:val="00CD2ECF"/>
    <w:rsid w:val="00CD5E8C"/>
    <w:rsid w:val="00D03115"/>
    <w:rsid w:val="00D10AF9"/>
    <w:rsid w:val="00D13832"/>
    <w:rsid w:val="00D17184"/>
    <w:rsid w:val="00D34B60"/>
    <w:rsid w:val="00D37AA7"/>
    <w:rsid w:val="00D470CB"/>
    <w:rsid w:val="00D51B93"/>
    <w:rsid w:val="00D655F6"/>
    <w:rsid w:val="00D7378A"/>
    <w:rsid w:val="00D87440"/>
    <w:rsid w:val="00D948F2"/>
    <w:rsid w:val="00DA0EF6"/>
    <w:rsid w:val="00DA4D89"/>
    <w:rsid w:val="00DC3246"/>
    <w:rsid w:val="00DF4CA9"/>
    <w:rsid w:val="00DF51F1"/>
    <w:rsid w:val="00DF7E23"/>
    <w:rsid w:val="00E01B47"/>
    <w:rsid w:val="00E33003"/>
    <w:rsid w:val="00E46CFD"/>
    <w:rsid w:val="00E476BA"/>
    <w:rsid w:val="00E707C3"/>
    <w:rsid w:val="00E84CD2"/>
    <w:rsid w:val="00E86923"/>
    <w:rsid w:val="00E94C6B"/>
    <w:rsid w:val="00EA58FC"/>
    <w:rsid w:val="00EA59F7"/>
    <w:rsid w:val="00EB5BC6"/>
    <w:rsid w:val="00ED6541"/>
    <w:rsid w:val="00F01614"/>
    <w:rsid w:val="00F128D1"/>
    <w:rsid w:val="00F2456D"/>
    <w:rsid w:val="00F27660"/>
    <w:rsid w:val="00F37861"/>
    <w:rsid w:val="00F41BDC"/>
    <w:rsid w:val="00F446C2"/>
    <w:rsid w:val="00F6716F"/>
    <w:rsid w:val="00F86E8E"/>
    <w:rsid w:val="00FB00D3"/>
    <w:rsid w:val="01112476"/>
    <w:rsid w:val="015B040A"/>
    <w:rsid w:val="018E5673"/>
    <w:rsid w:val="0199163F"/>
    <w:rsid w:val="01A039E9"/>
    <w:rsid w:val="01A661D4"/>
    <w:rsid w:val="01C422EC"/>
    <w:rsid w:val="01E54984"/>
    <w:rsid w:val="02040C02"/>
    <w:rsid w:val="02111FC2"/>
    <w:rsid w:val="02CE1399"/>
    <w:rsid w:val="02DD0937"/>
    <w:rsid w:val="030054FC"/>
    <w:rsid w:val="03080F8C"/>
    <w:rsid w:val="0352687B"/>
    <w:rsid w:val="03817F01"/>
    <w:rsid w:val="03A778DC"/>
    <w:rsid w:val="03BA65AB"/>
    <w:rsid w:val="03D67697"/>
    <w:rsid w:val="03F23CE8"/>
    <w:rsid w:val="041D7E34"/>
    <w:rsid w:val="041E7514"/>
    <w:rsid w:val="041F3243"/>
    <w:rsid w:val="043818C7"/>
    <w:rsid w:val="044C708F"/>
    <w:rsid w:val="047314B9"/>
    <w:rsid w:val="04763014"/>
    <w:rsid w:val="047E6060"/>
    <w:rsid w:val="0481419B"/>
    <w:rsid w:val="04975488"/>
    <w:rsid w:val="04A15ED1"/>
    <w:rsid w:val="04C56B3D"/>
    <w:rsid w:val="04D130BE"/>
    <w:rsid w:val="04D142FB"/>
    <w:rsid w:val="05816F9A"/>
    <w:rsid w:val="061B1A16"/>
    <w:rsid w:val="064314A6"/>
    <w:rsid w:val="064D68C4"/>
    <w:rsid w:val="0653560D"/>
    <w:rsid w:val="067F44B5"/>
    <w:rsid w:val="0694137C"/>
    <w:rsid w:val="06AE5CC2"/>
    <w:rsid w:val="06B86BD3"/>
    <w:rsid w:val="06CD09E5"/>
    <w:rsid w:val="073A6A9D"/>
    <w:rsid w:val="07660EF5"/>
    <w:rsid w:val="081469CA"/>
    <w:rsid w:val="08190F82"/>
    <w:rsid w:val="084D2CC7"/>
    <w:rsid w:val="08791B24"/>
    <w:rsid w:val="08A56C5B"/>
    <w:rsid w:val="08DD3171"/>
    <w:rsid w:val="08ED6609"/>
    <w:rsid w:val="08F12A3A"/>
    <w:rsid w:val="09390003"/>
    <w:rsid w:val="095A70E7"/>
    <w:rsid w:val="097C3E8B"/>
    <w:rsid w:val="098F64A6"/>
    <w:rsid w:val="0A2B397E"/>
    <w:rsid w:val="0A795775"/>
    <w:rsid w:val="0ABB08A8"/>
    <w:rsid w:val="0ADE2A52"/>
    <w:rsid w:val="0AE83C44"/>
    <w:rsid w:val="0B1264F0"/>
    <w:rsid w:val="0B7A6185"/>
    <w:rsid w:val="0B90103D"/>
    <w:rsid w:val="0BF20C98"/>
    <w:rsid w:val="0C0057C9"/>
    <w:rsid w:val="0C7E176E"/>
    <w:rsid w:val="0CA725DD"/>
    <w:rsid w:val="0CBC496F"/>
    <w:rsid w:val="0D1225E5"/>
    <w:rsid w:val="0D721B6F"/>
    <w:rsid w:val="0D952896"/>
    <w:rsid w:val="0DA73CD1"/>
    <w:rsid w:val="0DC311B1"/>
    <w:rsid w:val="0DD37C50"/>
    <w:rsid w:val="0E1536EA"/>
    <w:rsid w:val="0E235CB8"/>
    <w:rsid w:val="0E3371D6"/>
    <w:rsid w:val="0E350177"/>
    <w:rsid w:val="0E423B92"/>
    <w:rsid w:val="0E822ECA"/>
    <w:rsid w:val="0E89052E"/>
    <w:rsid w:val="0EF52434"/>
    <w:rsid w:val="0F585058"/>
    <w:rsid w:val="0F850F50"/>
    <w:rsid w:val="0F8E44C0"/>
    <w:rsid w:val="0FDF2C31"/>
    <w:rsid w:val="1023696A"/>
    <w:rsid w:val="10545F95"/>
    <w:rsid w:val="10827FB6"/>
    <w:rsid w:val="108C4A38"/>
    <w:rsid w:val="10DD5FE3"/>
    <w:rsid w:val="114C65D0"/>
    <w:rsid w:val="11581BB6"/>
    <w:rsid w:val="117B136E"/>
    <w:rsid w:val="118763FC"/>
    <w:rsid w:val="125118CC"/>
    <w:rsid w:val="125C1FC9"/>
    <w:rsid w:val="1287388D"/>
    <w:rsid w:val="12C77677"/>
    <w:rsid w:val="12E25CD3"/>
    <w:rsid w:val="12FE1506"/>
    <w:rsid w:val="132A0AEA"/>
    <w:rsid w:val="133674E7"/>
    <w:rsid w:val="134A187E"/>
    <w:rsid w:val="13746E50"/>
    <w:rsid w:val="1392751E"/>
    <w:rsid w:val="13D13DD9"/>
    <w:rsid w:val="141947BC"/>
    <w:rsid w:val="142B3224"/>
    <w:rsid w:val="143454E9"/>
    <w:rsid w:val="143458FD"/>
    <w:rsid w:val="146070E3"/>
    <w:rsid w:val="14B367C5"/>
    <w:rsid w:val="14C96CB2"/>
    <w:rsid w:val="14CA7D13"/>
    <w:rsid w:val="14DA0367"/>
    <w:rsid w:val="150E1775"/>
    <w:rsid w:val="15151DBA"/>
    <w:rsid w:val="152E6A88"/>
    <w:rsid w:val="159C2490"/>
    <w:rsid w:val="15AF0573"/>
    <w:rsid w:val="16025E8F"/>
    <w:rsid w:val="16265F3A"/>
    <w:rsid w:val="16680A76"/>
    <w:rsid w:val="16D918E1"/>
    <w:rsid w:val="171F21BA"/>
    <w:rsid w:val="173E7E97"/>
    <w:rsid w:val="176711A7"/>
    <w:rsid w:val="17992324"/>
    <w:rsid w:val="17E150BA"/>
    <w:rsid w:val="17F16169"/>
    <w:rsid w:val="17F36C25"/>
    <w:rsid w:val="18072A4B"/>
    <w:rsid w:val="1848157F"/>
    <w:rsid w:val="18567C45"/>
    <w:rsid w:val="187C3D68"/>
    <w:rsid w:val="188D58DC"/>
    <w:rsid w:val="18AF06B4"/>
    <w:rsid w:val="18B2128B"/>
    <w:rsid w:val="18B556E8"/>
    <w:rsid w:val="18D03951"/>
    <w:rsid w:val="19147B0A"/>
    <w:rsid w:val="191C2F79"/>
    <w:rsid w:val="19246CAE"/>
    <w:rsid w:val="19852EA2"/>
    <w:rsid w:val="19951BB0"/>
    <w:rsid w:val="199D17EE"/>
    <w:rsid w:val="19B74975"/>
    <w:rsid w:val="19C42FB6"/>
    <w:rsid w:val="1A4F644E"/>
    <w:rsid w:val="1A615E67"/>
    <w:rsid w:val="1A864021"/>
    <w:rsid w:val="1A8C1476"/>
    <w:rsid w:val="1ADF2E04"/>
    <w:rsid w:val="1AE32246"/>
    <w:rsid w:val="1B0172D0"/>
    <w:rsid w:val="1B165CF3"/>
    <w:rsid w:val="1B1B456C"/>
    <w:rsid w:val="1B200E7C"/>
    <w:rsid w:val="1B3D4887"/>
    <w:rsid w:val="1B4D6FC5"/>
    <w:rsid w:val="1B5A007F"/>
    <w:rsid w:val="1B7006D0"/>
    <w:rsid w:val="1BA66411"/>
    <w:rsid w:val="1BBD5E37"/>
    <w:rsid w:val="1C040377"/>
    <w:rsid w:val="1C2C047E"/>
    <w:rsid w:val="1C7806DC"/>
    <w:rsid w:val="1C810BCF"/>
    <w:rsid w:val="1C9652F0"/>
    <w:rsid w:val="1CB446D4"/>
    <w:rsid w:val="1CBF0BE1"/>
    <w:rsid w:val="1CCC52A8"/>
    <w:rsid w:val="1CF47ED7"/>
    <w:rsid w:val="1D67285C"/>
    <w:rsid w:val="1E1D17BC"/>
    <w:rsid w:val="1EEA188E"/>
    <w:rsid w:val="1F820E8D"/>
    <w:rsid w:val="1FC218FC"/>
    <w:rsid w:val="1FD443DF"/>
    <w:rsid w:val="202E04A2"/>
    <w:rsid w:val="202E0A5E"/>
    <w:rsid w:val="20EC6C56"/>
    <w:rsid w:val="20EF5BF1"/>
    <w:rsid w:val="211359A9"/>
    <w:rsid w:val="213905F9"/>
    <w:rsid w:val="21B57B6B"/>
    <w:rsid w:val="21EF5199"/>
    <w:rsid w:val="22006C5C"/>
    <w:rsid w:val="22264570"/>
    <w:rsid w:val="22391797"/>
    <w:rsid w:val="2252306A"/>
    <w:rsid w:val="22926714"/>
    <w:rsid w:val="22A15CC2"/>
    <w:rsid w:val="232E747E"/>
    <w:rsid w:val="233F7358"/>
    <w:rsid w:val="2383575A"/>
    <w:rsid w:val="238F2A8C"/>
    <w:rsid w:val="23926226"/>
    <w:rsid w:val="23BA23C3"/>
    <w:rsid w:val="23EC496B"/>
    <w:rsid w:val="2422153D"/>
    <w:rsid w:val="242C14E9"/>
    <w:rsid w:val="243663B6"/>
    <w:rsid w:val="257C62F7"/>
    <w:rsid w:val="25B40939"/>
    <w:rsid w:val="261731CA"/>
    <w:rsid w:val="261D1727"/>
    <w:rsid w:val="263D2BB2"/>
    <w:rsid w:val="26555BF4"/>
    <w:rsid w:val="26843CCF"/>
    <w:rsid w:val="26867502"/>
    <w:rsid w:val="26CE3195"/>
    <w:rsid w:val="26E66218"/>
    <w:rsid w:val="276A5246"/>
    <w:rsid w:val="27AF6A3B"/>
    <w:rsid w:val="27D267C1"/>
    <w:rsid w:val="28202E01"/>
    <w:rsid w:val="28506A85"/>
    <w:rsid w:val="285512C5"/>
    <w:rsid w:val="28A23A53"/>
    <w:rsid w:val="28D83D85"/>
    <w:rsid w:val="28E37E85"/>
    <w:rsid w:val="28F03AFD"/>
    <w:rsid w:val="297F166B"/>
    <w:rsid w:val="29840AD0"/>
    <w:rsid w:val="29A421D1"/>
    <w:rsid w:val="29D24EF3"/>
    <w:rsid w:val="2A054F7B"/>
    <w:rsid w:val="2A215F82"/>
    <w:rsid w:val="2A220B98"/>
    <w:rsid w:val="2ABA10A5"/>
    <w:rsid w:val="2ADA5817"/>
    <w:rsid w:val="2AED7C28"/>
    <w:rsid w:val="2B945905"/>
    <w:rsid w:val="2B945C11"/>
    <w:rsid w:val="2BB44BB4"/>
    <w:rsid w:val="2BB64A44"/>
    <w:rsid w:val="2C3B3106"/>
    <w:rsid w:val="2C63497A"/>
    <w:rsid w:val="2C972339"/>
    <w:rsid w:val="2CA844AD"/>
    <w:rsid w:val="2D0029BC"/>
    <w:rsid w:val="2D512314"/>
    <w:rsid w:val="2D596648"/>
    <w:rsid w:val="2DB927B6"/>
    <w:rsid w:val="2DD84947"/>
    <w:rsid w:val="2DDA6D92"/>
    <w:rsid w:val="2E6F2AAB"/>
    <w:rsid w:val="2E840816"/>
    <w:rsid w:val="2E955134"/>
    <w:rsid w:val="2ECD309E"/>
    <w:rsid w:val="2ECE1ED4"/>
    <w:rsid w:val="2ED87F4C"/>
    <w:rsid w:val="2F2C2144"/>
    <w:rsid w:val="2F2E1B21"/>
    <w:rsid w:val="30293B95"/>
    <w:rsid w:val="30495F9C"/>
    <w:rsid w:val="305C1DB1"/>
    <w:rsid w:val="306D73D2"/>
    <w:rsid w:val="308813D7"/>
    <w:rsid w:val="30942DEB"/>
    <w:rsid w:val="30A14370"/>
    <w:rsid w:val="30AD4A4A"/>
    <w:rsid w:val="31020444"/>
    <w:rsid w:val="31404C8D"/>
    <w:rsid w:val="314857F2"/>
    <w:rsid w:val="315B3F59"/>
    <w:rsid w:val="317D7C25"/>
    <w:rsid w:val="317E0380"/>
    <w:rsid w:val="31B678C5"/>
    <w:rsid w:val="31DF1596"/>
    <w:rsid w:val="31F216D4"/>
    <w:rsid w:val="320B7252"/>
    <w:rsid w:val="32207BFA"/>
    <w:rsid w:val="32286B19"/>
    <w:rsid w:val="32304F7A"/>
    <w:rsid w:val="32382E4D"/>
    <w:rsid w:val="323A1F9C"/>
    <w:rsid w:val="324D3C47"/>
    <w:rsid w:val="324F1E49"/>
    <w:rsid w:val="32716BEC"/>
    <w:rsid w:val="32A371E6"/>
    <w:rsid w:val="32D06589"/>
    <w:rsid w:val="33120574"/>
    <w:rsid w:val="33334101"/>
    <w:rsid w:val="33561351"/>
    <w:rsid w:val="33D76A25"/>
    <w:rsid w:val="33E12104"/>
    <w:rsid w:val="341A7B7F"/>
    <w:rsid w:val="342F2ED5"/>
    <w:rsid w:val="343D3403"/>
    <w:rsid w:val="3446216E"/>
    <w:rsid w:val="345041C5"/>
    <w:rsid w:val="347D224E"/>
    <w:rsid w:val="348F0167"/>
    <w:rsid w:val="34C932AB"/>
    <w:rsid w:val="350915DF"/>
    <w:rsid w:val="35A770DE"/>
    <w:rsid w:val="35E35E5C"/>
    <w:rsid w:val="361771FD"/>
    <w:rsid w:val="36185308"/>
    <w:rsid w:val="361C5C74"/>
    <w:rsid w:val="362018EB"/>
    <w:rsid w:val="3626009D"/>
    <w:rsid w:val="36640189"/>
    <w:rsid w:val="369E1961"/>
    <w:rsid w:val="36AF007F"/>
    <w:rsid w:val="36B03593"/>
    <w:rsid w:val="36CF6FDF"/>
    <w:rsid w:val="36E64CB4"/>
    <w:rsid w:val="370B0A25"/>
    <w:rsid w:val="37142C2B"/>
    <w:rsid w:val="373351C3"/>
    <w:rsid w:val="375706B2"/>
    <w:rsid w:val="376E04B6"/>
    <w:rsid w:val="37777E09"/>
    <w:rsid w:val="37931229"/>
    <w:rsid w:val="37A04744"/>
    <w:rsid w:val="37B46B55"/>
    <w:rsid w:val="37D95490"/>
    <w:rsid w:val="3807732D"/>
    <w:rsid w:val="383B125A"/>
    <w:rsid w:val="38A069AF"/>
    <w:rsid w:val="38C7752C"/>
    <w:rsid w:val="3919025C"/>
    <w:rsid w:val="392E3012"/>
    <w:rsid w:val="39521546"/>
    <w:rsid w:val="39631079"/>
    <w:rsid w:val="396D51B3"/>
    <w:rsid w:val="396F4B75"/>
    <w:rsid w:val="39AA7922"/>
    <w:rsid w:val="39BD6416"/>
    <w:rsid w:val="39D26C23"/>
    <w:rsid w:val="39DE6475"/>
    <w:rsid w:val="39F033EA"/>
    <w:rsid w:val="3A111B16"/>
    <w:rsid w:val="3A165805"/>
    <w:rsid w:val="3A20358C"/>
    <w:rsid w:val="3A902439"/>
    <w:rsid w:val="3ACA2EF1"/>
    <w:rsid w:val="3AD26414"/>
    <w:rsid w:val="3AFD5CEC"/>
    <w:rsid w:val="3B370521"/>
    <w:rsid w:val="3BA00061"/>
    <w:rsid w:val="3BD36D28"/>
    <w:rsid w:val="3BDB42E9"/>
    <w:rsid w:val="3C3767E5"/>
    <w:rsid w:val="3C4E018B"/>
    <w:rsid w:val="3C7A4142"/>
    <w:rsid w:val="3C95771B"/>
    <w:rsid w:val="3CAD78DF"/>
    <w:rsid w:val="3CCE08D3"/>
    <w:rsid w:val="3D064A73"/>
    <w:rsid w:val="3D0B4436"/>
    <w:rsid w:val="3D461BB7"/>
    <w:rsid w:val="3D66490F"/>
    <w:rsid w:val="3D956598"/>
    <w:rsid w:val="3DC501DC"/>
    <w:rsid w:val="3E0D2533"/>
    <w:rsid w:val="3E9B4B97"/>
    <w:rsid w:val="3EA334CC"/>
    <w:rsid w:val="3ECA79EA"/>
    <w:rsid w:val="3EDF4D02"/>
    <w:rsid w:val="3F1A165D"/>
    <w:rsid w:val="3F1C1742"/>
    <w:rsid w:val="3F2E5D43"/>
    <w:rsid w:val="3F3B4140"/>
    <w:rsid w:val="3F4E7DDD"/>
    <w:rsid w:val="3F5E4873"/>
    <w:rsid w:val="3FA60055"/>
    <w:rsid w:val="3FC03742"/>
    <w:rsid w:val="3FCC24B1"/>
    <w:rsid w:val="40355F54"/>
    <w:rsid w:val="40493AD5"/>
    <w:rsid w:val="404F1297"/>
    <w:rsid w:val="406273A5"/>
    <w:rsid w:val="407470C4"/>
    <w:rsid w:val="409B162F"/>
    <w:rsid w:val="40FF0D04"/>
    <w:rsid w:val="41326C1D"/>
    <w:rsid w:val="4139214B"/>
    <w:rsid w:val="41BC379B"/>
    <w:rsid w:val="41C24C83"/>
    <w:rsid w:val="41DB2B33"/>
    <w:rsid w:val="425D555C"/>
    <w:rsid w:val="42687B12"/>
    <w:rsid w:val="42CD3BC9"/>
    <w:rsid w:val="42F33FCF"/>
    <w:rsid w:val="42FA008A"/>
    <w:rsid w:val="4391361D"/>
    <w:rsid w:val="43B26E16"/>
    <w:rsid w:val="43B83271"/>
    <w:rsid w:val="43C20239"/>
    <w:rsid w:val="43D1525C"/>
    <w:rsid w:val="44033001"/>
    <w:rsid w:val="44323D64"/>
    <w:rsid w:val="447A4F29"/>
    <w:rsid w:val="449D6C9C"/>
    <w:rsid w:val="44B15519"/>
    <w:rsid w:val="44D20ABA"/>
    <w:rsid w:val="44F86CEA"/>
    <w:rsid w:val="4553758F"/>
    <w:rsid w:val="45626A91"/>
    <w:rsid w:val="456F3072"/>
    <w:rsid w:val="45945D3D"/>
    <w:rsid w:val="45B11E54"/>
    <w:rsid w:val="45B8018F"/>
    <w:rsid w:val="45B802FC"/>
    <w:rsid w:val="45C23E92"/>
    <w:rsid w:val="46491BA5"/>
    <w:rsid w:val="468C0F01"/>
    <w:rsid w:val="469F564C"/>
    <w:rsid w:val="46A4510F"/>
    <w:rsid w:val="46DB3E8A"/>
    <w:rsid w:val="47307620"/>
    <w:rsid w:val="473857F5"/>
    <w:rsid w:val="47533D49"/>
    <w:rsid w:val="47962045"/>
    <w:rsid w:val="47975BFF"/>
    <w:rsid w:val="47C11AF1"/>
    <w:rsid w:val="47CA3799"/>
    <w:rsid w:val="48266CCA"/>
    <w:rsid w:val="482F7A98"/>
    <w:rsid w:val="48371D41"/>
    <w:rsid w:val="486C1154"/>
    <w:rsid w:val="48BD0F23"/>
    <w:rsid w:val="497411DA"/>
    <w:rsid w:val="4999008A"/>
    <w:rsid w:val="49A424D7"/>
    <w:rsid w:val="49ED5164"/>
    <w:rsid w:val="4A1D3BF7"/>
    <w:rsid w:val="4A907389"/>
    <w:rsid w:val="4B036A1F"/>
    <w:rsid w:val="4B5F39C0"/>
    <w:rsid w:val="4B7F6B7B"/>
    <w:rsid w:val="4C187418"/>
    <w:rsid w:val="4C3B0958"/>
    <w:rsid w:val="4C982C61"/>
    <w:rsid w:val="4D3D4303"/>
    <w:rsid w:val="4D541B69"/>
    <w:rsid w:val="4D5D1CDB"/>
    <w:rsid w:val="4D607EDF"/>
    <w:rsid w:val="4DBF4A8D"/>
    <w:rsid w:val="4DE710E0"/>
    <w:rsid w:val="4DF01332"/>
    <w:rsid w:val="4DF861BE"/>
    <w:rsid w:val="4E193274"/>
    <w:rsid w:val="4E4604E1"/>
    <w:rsid w:val="4E7C2E79"/>
    <w:rsid w:val="4EA40C1F"/>
    <w:rsid w:val="4EDA3662"/>
    <w:rsid w:val="4EEC5FEA"/>
    <w:rsid w:val="4F020F18"/>
    <w:rsid w:val="4F7D0ABF"/>
    <w:rsid w:val="4F902064"/>
    <w:rsid w:val="4F913CBF"/>
    <w:rsid w:val="4FDD1160"/>
    <w:rsid w:val="50423C48"/>
    <w:rsid w:val="508258D1"/>
    <w:rsid w:val="50AC1DD6"/>
    <w:rsid w:val="51066670"/>
    <w:rsid w:val="511B579C"/>
    <w:rsid w:val="51BC0E57"/>
    <w:rsid w:val="524133D9"/>
    <w:rsid w:val="529A338A"/>
    <w:rsid w:val="529B51DB"/>
    <w:rsid w:val="53111D5E"/>
    <w:rsid w:val="5330264D"/>
    <w:rsid w:val="535444C6"/>
    <w:rsid w:val="535F63B8"/>
    <w:rsid w:val="53815283"/>
    <w:rsid w:val="539A78A3"/>
    <w:rsid w:val="53DE2017"/>
    <w:rsid w:val="53E2790F"/>
    <w:rsid w:val="541959DB"/>
    <w:rsid w:val="54A60B61"/>
    <w:rsid w:val="551B3700"/>
    <w:rsid w:val="558E3F13"/>
    <w:rsid w:val="55C82079"/>
    <w:rsid w:val="564252E5"/>
    <w:rsid w:val="567B0022"/>
    <w:rsid w:val="56821EBC"/>
    <w:rsid w:val="56AF3D69"/>
    <w:rsid w:val="56B47020"/>
    <w:rsid w:val="56DD0BAE"/>
    <w:rsid w:val="56E72F2A"/>
    <w:rsid w:val="57564566"/>
    <w:rsid w:val="57990617"/>
    <w:rsid w:val="57A0722C"/>
    <w:rsid w:val="57B850AF"/>
    <w:rsid w:val="57BF0DF1"/>
    <w:rsid w:val="57F009BF"/>
    <w:rsid w:val="57FD02FA"/>
    <w:rsid w:val="58015F4A"/>
    <w:rsid w:val="581B7CC3"/>
    <w:rsid w:val="58952A1F"/>
    <w:rsid w:val="58EE51C7"/>
    <w:rsid w:val="58F37299"/>
    <w:rsid w:val="58F663CA"/>
    <w:rsid w:val="5952721A"/>
    <w:rsid w:val="595E448D"/>
    <w:rsid w:val="59C06899"/>
    <w:rsid w:val="59C764F6"/>
    <w:rsid w:val="5A063BD6"/>
    <w:rsid w:val="5A0C3787"/>
    <w:rsid w:val="5A1C3C3E"/>
    <w:rsid w:val="5A2126C0"/>
    <w:rsid w:val="5A443A83"/>
    <w:rsid w:val="5A464890"/>
    <w:rsid w:val="5A4D7A72"/>
    <w:rsid w:val="5A810ACA"/>
    <w:rsid w:val="5AFD2BD1"/>
    <w:rsid w:val="5AFF0C2A"/>
    <w:rsid w:val="5B997420"/>
    <w:rsid w:val="5BC43024"/>
    <w:rsid w:val="5BF635FC"/>
    <w:rsid w:val="5C2213EC"/>
    <w:rsid w:val="5C2B23F5"/>
    <w:rsid w:val="5C727FE9"/>
    <w:rsid w:val="5CA70461"/>
    <w:rsid w:val="5CD84868"/>
    <w:rsid w:val="5CDE3E01"/>
    <w:rsid w:val="5CEB5B51"/>
    <w:rsid w:val="5CFF40D5"/>
    <w:rsid w:val="5D3C6C74"/>
    <w:rsid w:val="5D3E276E"/>
    <w:rsid w:val="5D9809C1"/>
    <w:rsid w:val="5DBD40C0"/>
    <w:rsid w:val="5DD26EAF"/>
    <w:rsid w:val="5DE75B88"/>
    <w:rsid w:val="5E12712C"/>
    <w:rsid w:val="5E286E4B"/>
    <w:rsid w:val="5E3C3DF9"/>
    <w:rsid w:val="5E81460F"/>
    <w:rsid w:val="5E992C87"/>
    <w:rsid w:val="5EBB2627"/>
    <w:rsid w:val="5EBF11AF"/>
    <w:rsid w:val="5EDD6C1E"/>
    <w:rsid w:val="5EE55A32"/>
    <w:rsid w:val="5EE60076"/>
    <w:rsid w:val="5EF75CA3"/>
    <w:rsid w:val="5F5044FC"/>
    <w:rsid w:val="5F554F37"/>
    <w:rsid w:val="5F922394"/>
    <w:rsid w:val="5FA17836"/>
    <w:rsid w:val="5FAB17C5"/>
    <w:rsid w:val="5FB210CE"/>
    <w:rsid w:val="5FB730CD"/>
    <w:rsid w:val="60192E6B"/>
    <w:rsid w:val="60764715"/>
    <w:rsid w:val="609B6C82"/>
    <w:rsid w:val="60B06CC5"/>
    <w:rsid w:val="60CE1B42"/>
    <w:rsid w:val="61177C25"/>
    <w:rsid w:val="614674A1"/>
    <w:rsid w:val="61710C92"/>
    <w:rsid w:val="618363F9"/>
    <w:rsid w:val="61A52E2E"/>
    <w:rsid w:val="61D15FC0"/>
    <w:rsid w:val="61F064BB"/>
    <w:rsid w:val="62027236"/>
    <w:rsid w:val="624A5629"/>
    <w:rsid w:val="6290586B"/>
    <w:rsid w:val="62B8612E"/>
    <w:rsid w:val="62DB7EF6"/>
    <w:rsid w:val="62EC1537"/>
    <w:rsid w:val="633E6B67"/>
    <w:rsid w:val="63496687"/>
    <w:rsid w:val="634D27B5"/>
    <w:rsid w:val="63D20108"/>
    <w:rsid w:val="63D64EDB"/>
    <w:rsid w:val="63F1619E"/>
    <w:rsid w:val="63F80CE2"/>
    <w:rsid w:val="64097BF0"/>
    <w:rsid w:val="64341C0A"/>
    <w:rsid w:val="64C96648"/>
    <w:rsid w:val="64E200FD"/>
    <w:rsid w:val="64E66C94"/>
    <w:rsid w:val="64F85DD9"/>
    <w:rsid w:val="65304647"/>
    <w:rsid w:val="6540499B"/>
    <w:rsid w:val="654E51B1"/>
    <w:rsid w:val="65510969"/>
    <w:rsid w:val="65693F5D"/>
    <w:rsid w:val="657C1F2C"/>
    <w:rsid w:val="658556AC"/>
    <w:rsid w:val="65D360D0"/>
    <w:rsid w:val="664E5317"/>
    <w:rsid w:val="66684154"/>
    <w:rsid w:val="66730E53"/>
    <w:rsid w:val="667F7F05"/>
    <w:rsid w:val="66AE5BAE"/>
    <w:rsid w:val="66D44FA6"/>
    <w:rsid w:val="66DF0270"/>
    <w:rsid w:val="67186001"/>
    <w:rsid w:val="673D49BE"/>
    <w:rsid w:val="67421A73"/>
    <w:rsid w:val="675D7C0C"/>
    <w:rsid w:val="67671422"/>
    <w:rsid w:val="677167B2"/>
    <w:rsid w:val="67BB4B73"/>
    <w:rsid w:val="687A1F1E"/>
    <w:rsid w:val="68824B95"/>
    <w:rsid w:val="68F25717"/>
    <w:rsid w:val="696861BA"/>
    <w:rsid w:val="698B5D1B"/>
    <w:rsid w:val="69936E59"/>
    <w:rsid w:val="69AF2C7A"/>
    <w:rsid w:val="69CB7D42"/>
    <w:rsid w:val="69CF3091"/>
    <w:rsid w:val="69DF0BC7"/>
    <w:rsid w:val="6A256C60"/>
    <w:rsid w:val="6A74255A"/>
    <w:rsid w:val="6A894FB0"/>
    <w:rsid w:val="6A9B71F6"/>
    <w:rsid w:val="6AC15503"/>
    <w:rsid w:val="6AE81EDC"/>
    <w:rsid w:val="6B0D3E00"/>
    <w:rsid w:val="6B247FF4"/>
    <w:rsid w:val="6B2B688D"/>
    <w:rsid w:val="6B357FF0"/>
    <w:rsid w:val="6B6D2683"/>
    <w:rsid w:val="6C0174C2"/>
    <w:rsid w:val="6C410AE3"/>
    <w:rsid w:val="6C597EE1"/>
    <w:rsid w:val="6C8E315D"/>
    <w:rsid w:val="6CC032AE"/>
    <w:rsid w:val="6D2A511B"/>
    <w:rsid w:val="6D3F0035"/>
    <w:rsid w:val="6D60380A"/>
    <w:rsid w:val="6D6047B4"/>
    <w:rsid w:val="6D8C027B"/>
    <w:rsid w:val="6D93030E"/>
    <w:rsid w:val="6DB1240B"/>
    <w:rsid w:val="6E3713A4"/>
    <w:rsid w:val="6E490B1C"/>
    <w:rsid w:val="6E77521B"/>
    <w:rsid w:val="6ED87970"/>
    <w:rsid w:val="6EE46E2C"/>
    <w:rsid w:val="6F026FA6"/>
    <w:rsid w:val="6F4C1DB1"/>
    <w:rsid w:val="6F8C2E75"/>
    <w:rsid w:val="6FBB4164"/>
    <w:rsid w:val="701A6F8E"/>
    <w:rsid w:val="7037756A"/>
    <w:rsid w:val="7045323E"/>
    <w:rsid w:val="705E594F"/>
    <w:rsid w:val="71056B77"/>
    <w:rsid w:val="711F7BC9"/>
    <w:rsid w:val="71367774"/>
    <w:rsid w:val="713F3E2D"/>
    <w:rsid w:val="717C0CAC"/>
    <w:rsid w:val="71C71CF0"/>
    <w:rsid w:val="720B1EAD"/>
    <w:rsid w:val="722A1076"/>
    <w:rsid w:val="726A442F"/>
    <w:rsid w:val="726D0603"/>
    <w:rsid w:val="726F4BC8"/>
    <w:rsid w:val="72AD7CCE"/>
    <w:rsid w:val="72AE7AD3"/>
    <w:rsid w:val="72EA6741"/>
    <w:rsid w:val="72F07542"/>
    <w:rsid w:val="738B63EE"/>
    <w:rsid w:val="739242B2"/>
    <w:rsid w:val="73F02766"/>
    <w:rsid w:val="7429254D"/>
    <w:rsid w:val="742B1C03"/>
    <w:rsid w:val="74340F73"/>
    <w:rsid w:val="74D52C7C"/>
    <w:rsid w:val="752F60AE"/>
    <w:rsid w:val="7550074C"/>
    <w:rsid w:val="7556603E"/>
    <w:rsid w:val="75714E05"/>
    <w:rsid w:val="75755DC8"/>
    <w:rsid w:val="75B062FD"/>
    <w:rsid w:val="761108F7"/>
    <w:rsid w:val="764E4BE3"/>
    <w:rsid w:val="765A3DB7"/>
    <w:rsid w:val="76967FF3"/>
    <w:rsid w:val="76BB313B"/>
    <w:rsid w:val="76C22862"/>
    <w:rsid w:val="76D44FA0"/>
    <w:rsid w:val="76F525D4"/>
    <w:rsid w:val="77A273F0"/>
    <w:rsid w:val="77AB51A3"/>
    <w:rsid w:val="78377F4E"/>
    <w:rsid w:val="786A5C30"/>
    <w:rsid w:val="78C01D42"/>
    <w:rsid w:val="78C93B6F"/>
    <w:rsid w:val="793D75E9"/>
    <w:rsid w:val="79F612BB"/>
    <w:rsid w:val="7A336FEE"/>
    <w:rsid w:val="7A430429"/>
    <w:rsid w:val="7A5D3784"/>
    <w:rsid w:val="7AE7252E"/>
    <w:rsid w:val="7B5C39B1"/>
    <w:rsid w:val="7B78252A"/>
    <w:rsid w:val="7B805253"/>
    <w:rsid w:val="7B8C22EE"/>
    <w:rsid w:val="7BB578C5"/>
    <w:rsid w:val="7C7E5A17"/>
    <w:rsid w:val="7C98117B"/>
    <w:rsid w:val="7CA15B98"/>
    <w:rsid w:val="7CC2779E"/>
    <w:rsid w:val="7D0451F4"/>
    <w:rsid w:val="7D2E79E8"/>
    <w:rsid w:val="7D736554"/>
    <w:rsid w:val="7DE01ECF"/>
    <w:rsid w:val="7E483173"/>
    <w:rsid w:val="7E6F309C"/>
    <w:rsid w:val="7EA33B71"/>
    <w:rsid w:val="7EB41671"/>
    <w:rsid w:val="7EBE171E"/>
    <w:rsid w:val="7EE45F2F"/>
    <w:rsid w:val="7F13124A"/>
    <w:rsid w:val="7F641D57"/>
    <w:rsid w:val="7FA13109"/>
    <w:rsid w:val="7FCC4889"/>
    <w:rsid w:val="7FE65B27"/>
    <w:rsid w:val="7FEB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4">
    <w:name w:val="heading 2"/>
    <w:basedOn w:val="1"/>
    <w:next w:val="5"/>
    <w:qFormat/>
    <w:uiPriority w:val="0"/>
    <w:pPr>
      <w:keepNext/>
      <w:keepLines/>
      <w:numPr>
        <w:ilvl w:val="0"/>
        <w:numId w:val="1"/>
      </w:numPr>
      <w:spacing w:before="260" w:after="260" w:line="416" w:lineRule="auto"/>
      <w:outlineLvl w:val="1"/>
    </w:pPr>
    <w:rPr>
      <w:rFonts w:ascii="Arial" w:hAnsi="Arial" w:eastAsia="黑体"/>
      <w:b/>
      <w:sz w:val="24"/>
    </w:rPr>
  </w:style>
  <w:style w:type="paragraph" w:styleId="6">
    <w:name w:val="heading 3"/>
    <w:basedOn w:val="1"/>
    <w:next w:val="1"/>
    <w:qFormat/>
    <w:uiPriority w:val="0"/>
    <w:pPr>
      <w:keepNext/>
      <w:keepLines/>
      <w:autoSpaceDE w:val="0"/>
      <w:autoSpaceDN w:val="0"/>
      <w:adjustRightInd w:val="0"/>
      <w:snapToGrid w:val="0"/>
      <w:spacing w:before="360" w:beforeLines="0" w:after="260" w:afterLines="0"/>
      <w:jc w:val="left"/>
      <w:textAlignment w:val="baseline"/>
      <w:outlineLvl w:val="2"/>
    </w:pPr>
    <w:rPr>
      <w:rFonts w:ascii="Arial" w:hAnsi="Arial" w:cs="Arial"/>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color w:val="000000"/>
      <w:szCs w:val="24"/>
    </w:rPr>
  </w:style>
  <w:style w:type="paragraph" w:styleId="5">
    <w:name w:val="Normal Indent"/>
    <w:basedOn w:val="1"/>
    <w:qFormat/>
    <w:uiPriority w:val="0"/>
    <w:pPr>
      <w:ind w:firstLine="420"/>
    </w:pPr>
  </w:style>
  <w:style w:type="paragraph" w:styleId="7">
    <w:name w:val="annotation text"/>
    <w:basedOn w:val="1"/>
    <w:link w:val="33"/>
    <w:semiHidden/>
    <w:unhideWhenUsed/>
    <w:qFormat/>
    <w:uiPriority w:val="99"/>
    <w:pPr>
      <w:jc w:val="left"/>
    </w:pPr>
  </w:style>
  <w:style w:type="paragraph" w:styleId="8">
    <w:name w:val="Plain Text"/>
    <w:basedOn w:val="1"/>
    <w:qFormat/>
    <w:uiPriority w:val="0"/>
    <w:rPr>
      <w:rFonts w:ascii="宋体" w:hAnsi="Courier New" w:cs="Courier New"/>
      <w:szCs w:val="21"/>
    </w:rPr>
  </w:style>
  <w:style w:type="paragraph" w:styleId="9">
    <w:name w:val="Balloon Text"/>
    <w:basedOn w:val="1"/>
    <w:link w:val="32"/>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13">
    <w:name w:val="annotation subject"/>
    <w:basedOn w:val="7"/>
    <w:next w:val="7"/>
    <w:link w:val="34"/>
    <w:semiHidden/>
    <w:unhideWhenUsed/>
    <w:qFormat/>
    <w:uiPriority w:val="99"/>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nhideWhenUsed/>
    <w:qFormat/>
    <w:uiPriority w:val="0"/>
  </w:style>
  <w:style w:type="character" w:styleId="18">
    <w:name w:val="FollowedHyperlink"/>
    <w:basedOn w:val="16"/>
    <w:semiHidden/>
    <w:unhideWhenUsed/>
    <w:qFormat/>
    <w:uiPriority w:val="99"/>
    <w:rPr>
      <w:color w:val="2490F8"/>
      <w:u w:val="none"/>
    </w:rPr>
  </w:style>
  <w:style w:type="character" w:styleId="19">
    <w:name w:val="Emphasis"/>
    <w:basedOn w:val="16"/>
    <w:qFormat/>
    <w:uiPriority w:val="20"/>
  </w:style>
  <w:style w:type="character" w:styleId="20">
    <w:name w:val="HTML Definition"/>
    <w:basedOn w:val="16"/>
    <w:semiHidden/>
    <w:unhideWhenUsed/>
    <w:qFormat/>
    <w:uiPriority w:val="99"/>
  </w:style>
  <w:style w:type="character" w:styleId="21">
    <w:name w:val="HTML Variable"/>
    <w:basedOn w:val="16"/>
    <w:semiHidden/>
    <w:unhideWhenUsed/>
    <w:qFormat/>
    <w:uiPriority w:val="99"/>
  </w:style>
  <w:style w:type="character" w:styleId="22">
    <w:name w:val="Hyperlink"/>
    <w:basedOn w:val="16"/>
    <w:semiHidden/>
    <w:unhideWhenUsed/>
    <w:qFormat/>
    <w:uiPriority w:val="99"/>
    <w:rPr>
      <w:color w:val="2490F8"/>
      <w:u w:val="none"/>
    </w:rPr>
  </w:style>
  <w:style w:type="character" w:styleId="23">
    <w:name w:val="HTML Code"/>
    <w:basedOn w:val="16"/>
    <w:semiHidden/>
    <w:unhideWhenUsed/>
    <w:qFormat/>
    <w:uiPriority w:val="99"/>
    <w:rPr>
      <w:rFonts w:ascii="微软雅黑" w:hAnsi="微软雅黑" w:eastAsia="微软雅黑" w:cs="微软雅黑"/>
      <w:sz w:val="18"/>
      <w:szCs w:val="18"/>
    </w:rPr>
  </w:style>
  <w:style w:type="character" w:styleId="24">
    <w:name w:val="annotation reference"/>
    <w:basedOn w:val="16"/>
    <w:semiHidden/>
    <w:unhideWhenUsed/>
    <w:qFormat/>
    <w:uiPriority w:val="99"/>
    <w:rPr>
      <w:sz w:val="21"/>
      <w:szCs w:val="21"/>
    </w:rPr>
  </w:style>
  <w:style w:type="character" w:styleId="25">
    <w:name w:val="HTML Cite"/>
    <w:basedOn w:val="16"/>
    <w:semiHidden/>
    <w:unhideWhenUsed/>
    <w:qFormat/>
    <w:uiPriority w:val="99"/>
    <w:rPr>
      <w:vanish/>
    </w:rPr>
  </w:style>
  <w:style w:type="paragraph" w:customStyle="1" w:styleId="26">
    <w:name w:val="*正文"/>
    <w:basedOn w:val="1"/>
    <w:qFormat/>
    <w:uiPriority w:val="0"/>
    <w:pPr>
      <w:widowControl/>
      <w:ind w:firstLine="200" w:firstLineChars="200"/>
    </w:pPr>
    <w:rPr>
      <w:rFonts w:ascii="仿宋_GB2312" w:eastAsia="仿宋_GB2312"/>
      <w:sz w:val="24"/>
      <w:szCs w:val="28"/>
    </w:rPr>
  </w:style>
  <w:style w:type="character" w:customStyle="1" w:styleId="27">
    <w:name w:val="页脚 字符"/>
    <w:link w:val="10"/>
    <w:qFormat/>
    <w:uiPriority w:val="99"/>
    <w:rPr>
      <w:rFonts w:ascii="Times New Roman" w:hAnsi="Times New Roman" w:eastAsia="宋体" w:cs="Times New Roman"/>
      <w:sz w:val="18"/>
      <w:szCs w:val="18"/>
    </w:rPr>
  </w:style>
  <w:style w:type="paragraph" w:customStyle="1" w:styleId="28">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9">
    <w:name w:val="列出段落1"/>
    <w:basedOn w:val="1"/>
    <w:qFormat/>
    <w:uiPriority w:val="34"/>
    <w:pPr>
      <w:ind w:firstLine="420" w:firstLineChars="200"/>
    </w:pPr>
    <w:rPr>
      <w:rFonts w:ascii="Calibri" w:hAnsi="Calibri" w:cs="Calibri"/>
      <w:szCs w:val="22"/>
    </w:rPr>
  </w:style>
  <w:style w:type="character" w:customStyle="1" w:styleId="30">
    <w:name w:val="页眉 字符"/>
    <w:link w:val="11"/>
    <w:qFormat/>
    <w:uiPriority w:val="99"/>
    <w:rPr>
      <w:sz w:val="18"/>
      <w:szCs w:val="18"/>
    </w:rPr>
  </w:style>
  <w:style w:type="character" w:customStyle="1" w:styleId="31">
    <w:name w:val="页眉 Char1"/>
    <w:semiHidden/>
    <w:qFormat/>
    <w:uiPriority w:val="99"/>
    <w:rPr>
      <w:rFonts w:ascii="Times New Roman" w:hAnsi="Times New Roman" w:eastAsia="宋体" w:cs="Times New Roman"/>
      <w:sz w:val="18"/>
      <w:szCs w:val="18"/>
    </w:rPr>
  </w:style>
  <w:style w:type="character" w:customStyle="1" w:styleId="32">
    <w:name w:val="批注框文本 字符"/>
    <w:link w:val="9"/>
    <w:semiHidden/>
    <w:qFormat/>
    <w:uiPriority w:val="99"/>
    <w:rPr>
      <w:rFonts w:ascii="Times New Roman" w:hAnsi="Times New Roman" w:eastAsia="宋体" w:cs="Times New Roman"/>
      <w:sz w:val="18"/>
      <w:szCs w:val="18"/>
    </w:rPr>
  </w:style>
  <w:style w:type="character" w:customStyle="1" w:styleId="33">
    <w:name w:val="批注文字 字符"/>
    <w:basedOn w:val="16"/>
    <w:link w:val="7"/>
    <w:semiHidden/>
    <w:qFormat/>
    <w:uiPriority w:val="99"/>
    <w:rPr>
      <w:kern w:val="2"/>
      <w:sz w:val="21"/>
      <w:szCs w:val="24"/>
    </w:rPr>
  </w:style>
  <w:style w:type="character" w:customStyle="1" w:styleId="34">
    <w:name w:val="批注主题 字符"/>
    <w:basedOn w:val="33"/>
    <w:link w:val="13"/>
    <w:semiHidden/>
    <w:qFormat/>
    <w:uiPriority w:val="99"/>
    <w:rPr>
      <w:b/>
      <w:bCs/>
      <w:kern w:val="2"/>
      <w:sz w:val="21"/>
      <w:szCs w:val="24"/>
    </w:rPr>
  </w:style>
  <w:style w:type="character" w:customStyle="1" w:styleId="35">
    <w:name w:val="tmpztreemove_arrow"/>
    <w:basedOn w:val="16"/>
    <w:qFormat/>
    <w:uiPriority w:val="0"/>
  </w:style>
  <w:style w:type="character" w:customStyle="1" w:styleId="36">
    <w:name w:val="ico16"/>
    <w:basedOn w:val="16"/>
    <w:qFormat/>
    <w:uiPriority w:val="0"/>
  </w:style>
  <w:style w:type="character" w:customStyle="1" w:styleId="37">
    <w:name w:val="ico161"/>
    <w:basedOn w:val="16"/>
    <w:qFormat/>
    <w:uiPriority w:val="0"/>
  </w:style>
  <w:style w:type="character" w:customStyle="1" w:styleId="38">
    <w:name w:val="icontext1"/>
    <w:basedOn w:val="16"/>
    <w:qFormat/>
    <w:uiPriority w:val="0"/>
  </w:style>
  <w:style w:type="character" w:customStyle="1" w:styleId="39">
    <w:name w:val="icontext11"/>
    <w:basedOn w:val="16"/>
    <w:qFormat/>
    <w:uiPriority w:val="0"/>
  </w:style>
  <w:style w:type="character" w:customStyle="1" w:styleId="40">
    <w:name w:val="icontext12"/>
    <w:basedOn w:val="16"/>
    <w:qFormat/>
    <w:uiPriority w:val="0"/>
  </w:style>
  <w:style w:type="character" w:customStyle="1" w:styleId="41">
    <w:name w:val="choosename"/>
    <w:basedOn w:val="16"/>
    <w:qFormat/>
    <w:uiPriority w:val="0"/>
  </w:style>
  <w:style w:type="character" w:customStyle="1" w:styleId="42">
    <w:name w:val="hover41"/>
    <w:basedOn w:val="16"/>
    <w:qFormat/>
    <w:uiPriority w:val="0"/>
    <w:rPr>
      <w:color w:val="FFFFFF"/>
    </w:rPr>
  </w:style>
  <w:style w:type="character" w:customStyle="1" w:styleId="43">
    <w:name w:val="hover42"/>
    <w:basedOn w:val="16"/>
    <w:qFormat/>
    <w:uiPriority w:val="0"/>
    <w:rPr>
      <w:color w:val="FF3126"/>
    </w:rPr>
  </w:style>
  <w:style w:type="character" w:customStyle="1" w:styleId="44">
    <w:name w:val="pagechatarealistclose_box"/>
    <w:basedOn w:val="16"/>
    <w:qFormat/>
    <w:uiPriority w:val="0"/>
  </w:style>
  <w:style w:type="character" w:customStyle="1" w:styleId="45">
    <w:name w:val="pagechatarealistclose_box1"/>
    <w:basedOn w:val="16"/>
    <w:qFormat/>
    <w:uiPriority w:val="0"/>
  </w:style>
  <w:style w:type="character" w:customStyle="1" w:styleId="46">
    <w:name w:val="cdropright"/>
    <w:basedOn w:val="16"/>
    <w:qFormat/>
    <w:uiPriority w:val="0"/>
  </w:style>
  <w:style w:type="character" w:customStyle="1" w:styleId="47">
    <w:name w:val="button4"/>
    <w:basedOn w:val="16"/>
    <w:qFormat/>
    <w:uiPriority w:val="0"/>
  </w:style>
  <w:style w:type="character" w:customStyle="1" w:styleId="48">
    <w:name w:val="iconline2"/>
    <w:basedOn w:val="16"/>
    <w:qFormat/>
    <w:uiPriority w:val="0"/>
  </w:style>
  <w:style w:type="character" w:customStyle="1" w:styleId="49">
    <w:name w:val="iconline21"/>
    <w:basedOn w:val="16"/>
    <w:qFormat/>
    <w:uiPriority w:val="0"/>
  </w:style>
  <w:style w:type="character" w:customStyle="1" w:styleId="50">
    <w:name w:val="drapbtn"/>
    <w:basedOn w:val="16"/>
    <w:qFormat/>
    <w:uiPriority w:val="0"/>
  </w:style>
  <w:style w:type="character" w:customStyle="1" w:styleId="51">
    <w:name w:val="cdropleft"/>
    <w:basedOn w:val="16"/>
    <w:qFormat/>
    <w:uiPriority w:val="0"/>
  </w:style>
  <w:style w:type="character" w:customStyle="1" w:styleId="52">
    <w:name w:val="icontext3"/>
    <w:basedOn w:val="16"/>
    <w:qFormat/>
    <w:uiPriority w:val="0"/>
  </w:style>
  <w:style w:type="character" w:customStyle="1" w:styleId="53">
    <w:name w:val="hilite6"/>
    <w:basedOn w:val="16"/>
    <w:qFormat/>
    <w:uiPriority w:val="0"/>
    <w:rPr>
      <w:color w:val="FFFFFF"/>
      <w:shd w:val="clear" w:color="auto" w:fill="666666"/>
    </w:rPr>
  </w:style>
  <w:style w:type="character" w:customStyle="1" w:styleId="54">
    <w:name w:val="active2"/>
    <w:basedOn w:val="16"/>
    <w:qFormat/>
    <w:uiPriority w:val="0"/>
    <w:rPr>
      <w:color w:val="00FF00"/>
      <w:shd w:val="clear" w:color="auto" w:fill="111111"/>
    </w:rPr>
  </w:style>
  <w:style w:type="character" w:customStyle="1" w:styleId="55">
    <w:name w:val="active3"/>
    <w:basedOn w:val="16"/>
    <w:qFormat/>
    <w:uiPriority w:val="0"/>
    <w:rPr>
      <w:shd w:val="clear" w:color="auto" w:fill="EC3535"/>
    </w:rPr>
  </w:style>
  <w:style w:type="character" w:customStyle="1" w:styleId="56">
    <w:name w:val="first-child"/>
    <w:basedOn w:val="16"/>
    <w:qFormat/>
    <w:uiPriority w:val="0"/>
  </w:style>
  <w:style w:type="character" w:customStyle="1" w:styleId="57">
    <w:name w:val="associateddata"/>
    <w:basedOn w:val="16"/>
    <w:qFormat/>
    <w:uiPriority w:val="0"/>
    <w:rPr>
      <w:shd w:val="clear" w:color="auto" w:fill="50A6F9"/>
    </w:rPr>
  </w:style>
  <w:style w:type="character" w:customStyle="1" w:styleId="58">
    <w:name w:val="cy"/>
    <w:basedOn w:val="16"/>
    <w:qFormat/>
    <w:uiPriority w:val="0"/>
  </w:style>
  <w:style w:type="character" w:customStyle="1" w:styleId="59">
    <w:name w:val="after"/>
    <w:basedOn w:val="16"/>
    <w:qFormat/>
    <w:uiPriority w:val="0"/>
    <w:rPr>
      <w:sz w:val="0"/>
      <w:szCs w:val="0"/>
    </w:rPr>
  </w:style>
  <w:style w:type="character" w:customStyle="1" w:styleId="60">
    <w:name w:val="icontext2"/>
    <w:basedOn w:val="16"/>
    <w:qFormat/>
    <w:uiPriority w:val="0"/>
  </w:style>
  <w:style w:type="character" w:customStyle="1" w:styleId="61">
    <w:name w:val="w32"/>
    <w:basedOn w:val="16"/>
    <w:qFormat/>
    <w:uiPriority w:val="0"/>
  </w:style>
  <w:style w:type="character" w:customStyle="1" w:styleId="62">
    <w:name w:val="layui-layer-tabnow"/>
    <w:basedOn w:val="16"/>
    <w:qFormat/>
    <w:uiPriority w:val="0"/>
    <w:rPr>
      <w:bdr w:val="single" w:color="CCCCCC" w:sz="6" w:space="0"/>
      <w:shd w:val="clear" w:color="auto" w:fill="FFFFFF"/>
    </w:rPr>
  </w:style>
  <w:style w:type="character" w:customStyle="1" w:styleId="63">
    <w:name w:val="left2"/>
    <w:basedOn w:val="16"/>
    <w:qFormat/>
    <w:uiPriority w:val="0"/>
    <w:rPr>
      <w:color w:val="666666"/>
      <w:sz w:val="21"/>
      <w:szCs w:val="21"/>
    </w:rPr>
  </w:style>
  <w:style w:type="paragraph" w:customStyle="1" w:styleId="6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rPr>
  </w:style>
  <w:style w:type="character" w:customStyle="1" w:styleId="65">
    <w:name w:val="fontp1"/>
    <w:qFormat/>
    <w:uiPriority w:val="0"/>
    <w:rPr>
      <w:rFonts w:ascii="宋体" w:eastAsia="宋体"/>
      <w:sz w:val="18"/>
      <w:szCs w:val="18"/>
    </w:rPr>
  </w:style>
  <w:style w:type="paragraph" w:styleId="6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40272-A399-4935-BC85-4AF18F2C7938}">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18482</Words>
  <Characters>19329</Characters>
  <Lines>70</Lines>
  <Paragraphs>19</Paragraphs>
  <TotalTime>38</TotalTime>
  <ScaleCrop>false</ScaleCrop>
  <LinksUpToDate>false</LinksUpToDate>
  <CharactersWithSpaces>20742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2019-04-23T03:06:00Z</dcterms:created>
  <dc:creator>陈仕试</dc:creator>
  <cp:lastModifiedBy>胡方</cp:lastModifiedBy>
  <cp:lastPrinted>2020-07-22T13:36:00Z</cp:lastPrinted>
  <dcterms:modified xsi:type="dcterms:W3CDTF">2022-07-13T03:03:29Z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5D7B560F44984878B11C8A4C0927B0A9</vt:lpwstr>
  </property>
</Properties>
</file>