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eastAsia="黑体"/>
          <w:sz w:val="44"/>
        </w:rPr>
      </w:pPr>
    </w:p>
    <w:p>
      <w:pPr>
        <w:jc w:val="center"/>
        <w:rPr>
          <w:rFonts w:hint="eastAsia" w:ascii="宋体" w:hAnsi="宋体"/>
          <w:b/>
          <w:sz w:val="44"/>
        </w:rPr>
      </w:pPr>
    </w:p>
    <w:p>
      <w:pPr>
        <w:spacing w:line="600" w:lineRule="auto"/>
        <w:jc w:val="center"/>
        <w:rPr>
          <w:rFonts w:hint="eastAsia" w:ascii="宋体" w:hAnsi="宋体" w:eastAsia="宋体" w:cs="宋体"/>
          <w:b/>
          <w:sz w:val="44"/>
          <w:szCs w:val="18"/>
        </w:rPr>
      </w:pPr>
      <w:bookmarkStart w:id="0" w:name="_Hlk11089628"/>
      <w:r>
        <w:rPr>
          <w:rFonts w:hint="eastAsia" w:ascii="宋体" w:hAnsi="宋体" w:eastAsia="宋体" w:cs="宋体"/>
          <w:b/>
          <w:sz w:val="44"/>
          <w:szCs w:val="18"/>
        </w:rPr>
        <w:t>广东省机场管理集团有限公司</w:t>
      </w:r>
    </w:p>
    <w:p>
      <w:pPr>
        <w:spacing w:line="600" w:lineRule="auto"/>
        <w:jc w:val="center"/>
        <w:rPr>
          <w:rFonts w:hint="eastAsia" w:ascii="宋体" w:hAnsi="宋体" w:eastAsia="宋体" w:cs="宋体"/>
          <w:b/>
          <w:sz w:val="44"/>
          <w:szCs w:val="18"/>
          <w:lang w:eastAsia="zh-CN"/>
        </w:rPr>
      </w:pPr>
      <w:r>
        <w:rPr>
          <w:rFonts w:hint="eastAsia" w:ascii="宋体" w:hAnsi="宋体" w:eastAsia="宋体" w:cs="宋体"/>
          <w:b/>
          <w:sz w:val="44"/>
          <w:szCs w:val="18"/>
          <w:u w:val="none"/>
          <w:lang w:eastAsia="zh-CN"/>
        </w:rPr>
        <w:t>安全生产专项整治三年行动中期评估项目</w:t>
      </w:r>
      <w:bookmarkEnd w:id="0"/>
    </w:p>
    <w:p>
      <w:pPr>
        <w:jc w:val="center"/>
        <w:rPr>
          <w:rFonts w:ascii="宋体" w:hAnsi="宋体"/>
          <w:b/>
          <w:sz w:val="48"/>
        </w:rPr>
      </w:pPr>
    </w:p>
    <w:p>
      <w:pPr>
        <w:jc w:val="center"/>
        <w:rPr>
          <w:rFonts w:ascii="宋体" w:hAnsi="宋体"/>
          <w:b/>
          <w:sz w:val="48"/>
        </w:rPr>
      </w:pPr>
    </w:p>
    <w:p>
      <w:pPr>
        <w:jc w:val="center"/>
        <w:rPr>
          <w:rFonts w:hint="eastAsia" w:ascii="宋体" w:hAnsi="宋体"/>
          <w:b/>
          <w:sz w:val="48"/>
        </w:rPr>
      </w:pPr>
    </w:p>
    <w:p>
      <w:pPr>
        <w:jc w:val="center"/>
        <w:rPr>
          <w:rFonts w:hint="eastAsia" w:eastAsia="黑体"/>
          <w:sz w:val="48"/>
        </w:rPr>
      </w:pPr>
      <w:r>
        <w:rPr>
          <w:rFonts w:hint="eastAsia" w:eastAsia="黑体"/>
          <w:sz w:val="48"/>
        </w:rPr>
        <w:t>采购文件</w:t>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44"/>
        </w:rPr>
      </w:pPr>
    </w:p>
    <w:p>
      <w:pPr>
        <w:jc w:val="center"/>
        <w:rPr>
          <w:rFonts w:eastAsia="楷体_GB2312"/>
          <w:sz w:val="32"/>
        </w:rPr>
      </w:pPr>
    </w:p>
    <w:p>
      <w:pPr>
        <w:jc w:val="center"/>
        <w:rPr>
          <w:rFonts w:hint="eastAsia" w:eastAsia="楷体_GB2312"/>
          <w:sz w:val="32"/>
        </w:rPr>
      </w:pPr>
    </w:p>
    <w:p>
      <w:pPr>
        <w:jc w:val="center"/>
        <w:rPr>
          <w:rFonts w:hint="eastAsia" w:eastAsia="黑体"/>
          <w:sz w:val="32"/>
        </w:rPr>
      </w:pPr>
      <w:r>
        <w:rPr>
          <w:rFonts w:hint="eastAsia" w:eastAsia="黑体"/>
          <w:sz w:val="32"/>
        </w:rPr>
        <w:t>采购人：广东省机场管理集团有限公司</w:t>
      </w:r>
    </w:p>
    <w:p>
      <w:pPr>
        <w:jc w:val="center"/>
        <w:rPr>
          <w:rFonts w:hint="eastAsia" w:eastAsia="黑体"/>
          <w:sz w:val="32"/>
        </w:rPr>
      </w:pPr>
      <w:r>
        <w:rPr>
          <w:rFonts w:hint="eastAsia" w:eastAsia="黑体"/>
          <w:sz w:val="32"/>
        </w:rPr>
        <w:t>二○二一年</w:t>
      </w:r>
      <w:r>
        <w:rPr>
          <w:rFonts w:hint="eastAsia" w:eastAsia="黑体"/>
          <w:sz w:val="32"/>
          <w:lang w:val="en-US" w:eastAsia="zh-CN"/>
        </w:rPr>
        <w:t>九</w:t>
      </w:r>
      <w:r>
        <w:rPr>
          <w:rFonts w:hint="eastAsia" w:eastAsia="黑体"/>
          <w:sz w:val="32"/>
        </w:rPr>
        <w:t>月</w:t>
      </w:r>
    </w:p>
    <w:p>
      <w:pPr>
        <w:jc w:val="center"/>
        <w:rPr>
          <w:rFonts w:eastAsia="黑体"/>
          <w:b/>
          <w:sz w:val="32"/>
        </w:rPr>
        <w:sectPr>
          <w:footerReference r:id="rId4" w:type="first"/>
          <w:footerReference r:id="rId3" w:type="default"/>
          <w:pgSz w:w="11906" w:h="16838"/>
          <w:pgMar w:top="1286" w:right="1616" w:bottom="1246" w:left="1701" w:header="737" w:footer="680" w:gutter="0"/>
          <w:cols w:space="720" w:num="1"/>
          <w:titlePg/>
          <w:docGrid w:type="lines" w:linePitch="312" w:charSpace="0"/>
        </w:sectPr>
      </w:pPr>
    </w:p>
    <w:p>
      <w:pPr>
        <w:jc w:val="center"/>
        <w:rPr>
          <w:rFonts w:hint="eastAsia" w:eastAsia="黑体"/>
          <w:b/>
          <w:sz w:val="32"/>
        </w:rPr>
      </w:pPr>
    </w:p>
    <w:p>
      <w:pPr>
        <w:jc w:val="center"/>
        <w:rPr>
          <w:rFonts w:hint="eastAsia" w:eastAsia="黑体"/>
          <w:b/>
          <w:sz w:val="32"/>
        </w:rPr>
      </w:pPr>
    </w:p>
    <w:p>
      <w:pPr>
        <w:jc w:val="center"/>
        <w:rPr>
          <w:rFonts w:hint="eastAsia" w:eastAsia="黑体"/>
          <w:sz w:val="44"/>
        </w:rPr>
      </w:pPr>
      <w:r>
        <w:rPr>
          <w:rFonts w:hint="eastAsia" w:eastAsia="黑体"/>
          <w:sz w:val="44"/>
        </w:rPr>
        <w:t>总  目  录</w:t>
      </w:r>
    </w:p>
    <w:p>
      <w:pPr>
        <w:jc w:val="center"/>
        <w:rPr>
          <w:rFonts w:hint="eastAsia" w:eastAsia="黑体"/>
          <w:bCs/>
          <w:sz w:val="44"/>
        </w:rPr>
      </w:pPr>
    </w:p>
    <w:p>
      <w:pPr>
        <w:jc w:val="center"/>
        <w:rPr>
          <w:rFonts w:hint="eastAsia" w:eastAsia="黑体"/>
          <w:bCs/>
          <w:sz w:val="44"/>
        </w:rPr>
      </w:pPr>
    </w:p>
    <w:p>
      <w:pPr>
        <w:jc w:val="center"/>
        <w:rPr>
          <w:rFonts w:hint="eastAsia" w:eastAsia="黑体"/>
          <w:bCs/>
          <w:sz w:val="44"/>
        </w:rPr>
      </w:pPr>
    </w:p>
    <w:p>
      <w:pPr>
        <w:ind w:left="1470" w:leftChars="700"/>
        <w:jc w:val="left"/>
        <w:rPr>
          <w:rFonts w:hint="eastAsia" w:eastAsia="黑体"/>
          <w:bCs/>
          <w:sz w:val="32"/>
        </w:rPr>
      </w:pPr>
      <w:r>
        <w:rPr>
          <w:rFonts w:hint="eastAsia" w:eastAsia="黑体"/>
          <w:bCs/>
          <w:sz w:val="32"/>
        </w:rPr>
        <w:t>第一部分               公 告</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第二部分               供应商须知</w:t>
      </w:r>
    </w:p>
    <w:p>
      <w:pPr>
        <w:ind w:left="1470" w:leftChars="700"/>
        <w:jc w:val="left"/>
        <w:rPr>
          <w:rFonts w:hint="eastAsia" w:eastAsia="黑体"/>
          <w:bCs/>
          <w:sz w:val="32"/>
        </w:rPr>
      </w:pPr>
    </w:p>
    <w:p>
      <w:pPr>
        <w:tabs>
          <w:tab w:val="left" w:pos="5844"/>
        </w:tabs>
        <w:ind w:left="1470" w:leftChars="700"/>
        <w:jc w:val="left"/>
        <w:rPr>
          <w:rFonts w:hint="eastAsia" w:eastAsia="黑体"/>
          <w:bCs/>
          <w:sz w:val="32"/>
        </w:rPr>
      </w:pPr>
      <w:r>
        <w:rPr>
          <w:rFonts w:hint="eastAsia" w:eastAsia="黑体"/>
          <w:bCs/>
          <w:sz w:val="32"/>
        </w:rPr>
        <w:t>第三部分               合同条款</w:t>
      </w:r>
    </w:p>
    <w:p>
      <w:pPr>
        <w:ind w:left="1470" w:leftChars="700"/>
        <w:jc w:val="left"/>
        <w:rPr>
          <w:rFonts w:hint="eastAsia" w:eastAsia="黑体"/>
          <w:bCs/>
          <w:sz w:val="32"/>
        </w:rPr>
      </w:pPr>
    </w:p>
    <w:p>
      <w:pPr>
        <w:ind w:left="1470" w:leftChars="700"/>
        <w:jc w:val="left"/>
        <w:rPr>
          <w:rFonts w:hint="eastAsia" w:eastAsia="黑体"/>
          <w:bCs/>
          <w:sz w:val="32"/>
        </w:rPr>
      </w:pPr>
      <w:r>
        <w:rPr>
          <w:rFonts w:hint="eastAsia" w:eastAsia="黑体"/>
          <w:bCs/>
          <w:sz w:val="32"/>
        </w:rPr>
        <w:t>第四部分               项目报价文件格式</w:t>
      </w:r>
    </w:p>
    <w:p>
      <w:pPr>
        <w:ind w:left="1470" w:leftChars="700"/>
        <w:jc w:val="left"/>
        <w:rPr>
          <w:rFonts w:hint="eastAsia" w:eastAsia="黑体"/>
          <w:bCs/>
          <w:sz w:val="32"/>
        </w:rPr>
      </w:pPr>
    </w:p>
    <w:p>
      <w:pPr>
        <w:ind w:left="1470" w:leftChars="700"/>
        <w:jc w:val="left"/>
        <w:rPr>
          <w:rFonts w:hint="eastAsia"/>
        </w:rPr>
      </w:pPr>
      <w:r>
        <w:rPr>
          <w:rFonts w:hint="eastAsia" w:eastAsia="黑体"/>
          <w:bCs/>
          <w:sz w:val="32"/>
        </w:rPr>
        <w:t>第五部分               用户需求书</w:t>
      </w: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widowControl/>
        <w:tabs>
          <w:tab w:val="left" w:pos="567"/>
        </w:tabs>
        <w:autoSpaceDE w:val="0"/>
        <w:autoSpaceDN w:val="0"/>
        <w:ind w:left="567" w:hanging="567"/>
        <w:jc w:val="center"/>
        <w:textAlignment w:val="bottom"/>
        <w:rPr>
          <w:rFonts w:hint="eastAsia"/>
        </w:rPr>
      </w:pPr>
    </w:p>
    <w:p>
      <w:pPr>
        <w:jc w:val="center"/>
        <w:rPr>
          <w:rFonts w:hint="eastAsia" w:eastAsia="黑体"/>
          <w:b/>
          <w:sz w:val="32"/>
        </w:rPr>
      </w:pPr>
    </w:p>
    <w:p>
      <w:pPr>
        <w:jc w:val="center"/>
        <w:rPr>
          <w:rFonts w:hint="eastAsia" w:eastAsia="黑体"/>
          <w:b/>
          <w:sz w:val="32"/>
        </w:rPr>
        <w:sectPr>
          <w:footerReference r:id="rId6" w:type="first"/>
          <w:footerReference r:id="rId5" w:type="default"/>
          <w:pgSz w:w="11906" w:h="16838"/>
          <w:pgMar w:top="1286" w:right="1616" w:bottom="1246" w:left="1701" w:header="737" w:footer="680" w:gutter="0"/>
          <w:pgNumType w:start="1"/>
          <w:cols w:space="720" w:num="1"/>
          <w:titlePg/>
          <w:docGrid w:type="lines" w:linePitch="312" w:charSpace="0"/>
        </w:sectPr>
      </w:pPr>
    </w:p>
    <w:p>
      <w:pPr>
        <w:jc w:val="center"/>
        <w:rPr>
          <w:rFonts w:hint="eastAsia" w:eastAsia="黑体"/>
          <w:b/>
          <w:sz w:val="32"/>
        </w:rPr>
      </w:pPr>
    </w:p>
    <w:p>
      <w:pPr>
        <w:jc w:val="center"/>
        <w:rPr>
          <w:rFonts w:hint="eastAsia" w:eastAsia="黑体"/>
          <w:b/>
          <w:sz w:val="32"/>
        </w:rPr>
      </w:pPr>
    </w:p>
    <w:p>
      <w:pPr>
        <w:widowControl/>
        <w:tabs>
          <w:tab w:val="left" w:pos="567"/>
        </w:tabs>
        <w:autoSpaceDE w:val="0"/>
        <w:autoSpaceDN w:val="0"/>
        <w:ind w:left="567" w:hanging="567"/>
        <w:jc w:val="center"/>
        <w:textAlignment w:val="bottom"/>
        <w:rPr>
          <w:rFonts w:hint="eastAsia" w:eastAsia="黑体"/>
          <w:sz w:val="52"/>
        </w:rPr>
      </w:pPr>
      <w:r>
        <w:rPr>
          <w:rFonts w:hint="eastAsia" w:eastAsia="黑体"/>
          <w:sz w:val="52"/>
        </w:rPr>
        <w:t>第一部分</w:t>
      </w:r>
    </w:p>
    <w:p>
      <w:pPr>
        <w:widowControl/>
        <w:tabs>
          <w:tab w:val="left" w:pos="567"/>
        </w:tabs>
        <w:autoSpaceDE w:val="0"/>
        <w:autoSpaceDN w:val="0"/>
        <w:ind w:left="567" w:hanging="567"/>
        <w:jc w:val="center"/>
        <w:textAlignment w:val="bottom"/>
        <w:rPr>
          <w:rFonts w:eastAsia="黑体"/>
          <w:sz w:val="52"/>
        </w:rPr>
      </w:pPr>
    </w:p>
    <w:p>
      <w:pPr>
        <w:spacing w:line="312" w:lineRule="auto"/>
        <w:ind w:firstLine="3640" w:firstLineChars="700"/>
        <w:rPr>
          <w:rFonts w:eastAsia="黑体"/>
          <w:sz w:val="52"/>
        </w:rPr>
      </w:pPr>
      <w:r>
        <w:rPr>
          <w:rFonts w:hint="eastAsia" w:eastAsia="黑体"/>
          <w:sz w:val="52"/>
        </w:rPr>
        <w:t>公  告</w:t>
      </w:r>
    </w:p>
    <w:p>
      <w:pPr>
        <w:spacing w:line="312" w:lineRule="auto"/>
        <w:jc w:val="center"/>
        <w:outlineLvl w:val="0"/>
        <w:rPr>
          <w:rFonts w:hint="eastAsia"/>
          <w:b/>
          <w:sz w:val="32"/>
          <w:szCs w:val="32"/>
        </w:rPr>
        <w:sectPr>
          <w:footerReference r:id="rId8" w:type="first"/>
          <w:footerReference r:id="rId7" w:type="default"/>
          <w:pgSz w:w="11906" w:h="16838"/>
          <w:pgMar w:top="1286" w:right="1616" w:bottom="1246" w:left="1701" w:header="737" w:footer="680" w:gutter="0"/>
          <w:pgNumType w:start="1"/>
          <w:cols w:space="720" w:num="1"/>
          <w:titlePg/>
          <w:docGrid w:type="lines" w:linePitch="312" w:charSpace="0"/>
        </w:sectPr>
      </w:pPr>
    </w:p>
    <w:p>
      <w:pPr>
        <w:spacing w:line="312" w:lineRule="auto"/>
        <w:jc w:val="center"/>
        <w:outlineLvl w:val="0"/>
        <w:rPr>
          <w:rFonts w:hint="eastAsia"/>
          <w:b/>
          <w:sz w:val="32"/>
          <w:szCs w:val="32"/>
        </w:rPr>
      </w:pPr>
      <w:r>
        <w:rPr>
          <w:rFonts w:hint="eastAsia"/>
          <w:b/>
          <w:sz w:val="32"/>
          <w:szCs w:val="32"/>
        </w:rPr>
        <w:t>第一部分  公告</w:t>
      </w:r>
    </w:p>
    <w:p>
      <w:pPr>
        <w:spacing w:line="360" w:lineRule="auto"/>
        <w:ind w:firstLine="420" w:firstLineChars="200"/>
        <w:rPr>
          <w:rFonts w:hint="eastAsia" w:ascii="宋体"/>
          <w:szCs w:val="21"/>
        </w:rPr>
      </w:pPr>
      <w:r>
        <w:rPr>
          <w:rFonts w:hint="eastAsia" w:ascii="宋体"/>
          <w:szCs w:val="21"/>
        </w:rPr>
        <w:t>广东省机场管理集团有限公司（以下</w:t>
      </w:r>
      <w:r>
        <w:rPr>
          <w:rFonts w:hint="eastAsia"/>
          <w:szCs w:val="21"/>
        </w:rPr>
        <w:t>简称“采购</w:t>
      </w:r>
      <w:r>
        <w:rPr>
          <w:rFonts w:hint="eastAsia" w:ascii="宋体"/>
          <w:szCs w:val="21"/>
        </w:rPr>
        <w:t>人”）就</w:t>
      </w:r>
      <w:r>
        <w:rPr>
          <w:rFonts w:hint="eastAsia" w:ascii="宋体" w:hAnsi="宋体"/>
          <w:color w:val="auto"/>
          <w:szCs w:val="21"/>
          <w:lang w:eastAsia="zh-CN"/>
        </w:rPr>
        <w:t>安全生产专项整治三年行动中期评估项目</w:t>
      </w:r>
      <w:r>
        <w:rPr>
          <w:rFonts w:hint="eastAsia" w:ascii="宋体"/>
          <w:szCs w:val="21"/>
        </w:rPr>
        <w:t>进行国内公开采购，寻找具备相应条件的供应商（以下简称“供应商”）提交密封报价文件。</w:t>
      </w:r>
    </w:p>
    <w:p>
      <w:pPr>
        <w:numPr>
          <w:ilvl w:val="0"/>
          <w:numId w:val="2"/>
        </w:numPr>
        <w:tabs>
          <w:tab w:val="left" w:pos="540"/>
        </w:tabs>
        <w:spacing w:line="360" w:lineRule="auto"/>
        <w:rPr>
          <w:rFonts w:hint="eastAsia" w:ascii="宋体"/>
          <w:b/>
          <w:bCs/>
          <w:szCs w:val="21"/>
        </w:rPr>
      </w:pPr>
      <w:r>
        <w:rPr>
          <w:rFonts w:hint="eastAsia" w:ascii="宋体"/>
          <w:b/>
          <w:bCs/>
          <w:szCs w:val="21"/>
        </w:rPr>
        <w:t>项目概况：</w:t>
      </w:r>
    </w:p>
    <w:p>
      <w:pPr>
        <w:tabs>
          <w:tab w:val="left" w:pos="540"/>
        </w:tabs>
        <w:spacing w:line="360" w:lineRule="auto"/>
        <w:ind w:left="360"/>
        <w:rPr>
          <w:rFonts w:hint="eastAsia" w:ascii="宋体"/>
          <w:szCs w:val="21"/>
        </w:rPr>
      </w:pPr>
      <w:r>
        <w:rPr>
          <w:rFonts w:hint="eastAsia" w:ascii="宋体"/>
          <w:szCs w:val="21"/>
        </w:rPr>
        <w:t>1）项目名称：广东省机场管理集团有限公司</w:t>
      </w:r>
      <w:r>
        <w:rPr>
          <w:rFonts w:hint="eastAsia" w:ascii="宋体" w:hAnsi="宋体"/>
          <w:color w:val="auto"/>
          <w:szCs w:val="21"/>
          <w:lang w:eastAsia="zh-CN"/>
        </w:rPr>
        <w:t>安全生产专项整治三年行动中期评估项目</w:t>
      </w:r>
      <w:r>
        <w:rPr>
          <w:rFonts w:hint="eastAsia" w:ascii="宋体"/>
          <w:szCs w:val="21"/>
        </w:rPr>
        <w:t>。</w:t>
      </w:r>
    </w:p>
    <w:p>
      <w:pPr>
        <w:tabs>
          <w:tab w:val="left" w:pos="540"/>
        </w:tabs>
        <w:spacing w:line="360" w:lineRule="auto"/>
        <w:ind w:left="360"/>
        <w:rPr>
          <w:rFonts w:hint="eastAsia" w:ascii="宋体"/>
          <w:szCs w:val="21"/>
        </w:rPr>
      </w:pPr>
      <w:r>
        <w:rPr>
          <w:rFonts w:hint="eastAsia" w:ascii="宋体"/>
          <w:szCs w:val="21"/>
        </w:rPr>
        <w:t>2）项目地点：广东省广州市。</w:t>
      </w:r>
    </w:p>
    <w:p>
      <w:pPr>
        <w:tabs>
          <w:tab w:val="left" w:pos="540"/>
        </w:tabs>
        <w:spacing w:line="360" w:lineRule="auto"/>
        <w:ind w:left="360"/>
        <w:rPr>
          <w:rFonts w:hint="eastAsia" w:ascii="宋体"/>
          <w:szCs w:val="21"/>
        </w:rPr>
      </w:pPr>
      <w:r>
        <w:rPr>
          <w:rFonts w:ascii="宋体"/>
          <w:szCs w:val="21"/>
        </w:rPr>
        <w:t>3</w:t>
      </w:r>
      <w:r>
        <w:rPr>
          <w:rFonts w:hint="eastAsia" w:ascii="宋体"/>
          <w:szCs w:val="21"/>
        </w:rPr>
        <w:t>）项目内容：广东机场</w:t>
      </w:r>
      <w:r>
        <w:rPr>
          <w:rFonts w:hint="eastAsia" w:ascii="宋体" w:hAnsi="宋体"/>
          <w:color w:val="auto"/>
          <w:szCs w:val="21"/>
        </w:rPr>
        <w:t>集团</w:t>
      </w:r>
      <w:r>
        <w:rPr>
          <w:rFonts w:hint="eastAsia" w:ascii="宋体" w:hAnsi="宋体"/>
          <w:color w:val="auto"/>
          <w:szCs w:val="21"/>
          <w:lang w:eastAsia="zh-CN"/>
        </w:rPr>
        <w:t>安全生产专项整治三年行动中期评估</w:t>
      </w:r>
      <w:r>
        <w:rPr>
          <w:rFonts w:hint="eastAsia" w:ascii="宋体"/>
          <w:szCs w:val="21"/>
        </w:rPr>
        <w:t>。</w:t>
      </w:r>
    </w:p>
    <w:p>
      <w:pPr>
        <w:pStyle w:val="19"/>
        <w:spacing w:line="360" w:lineRule="auto"/>
        <w:ind w:firstLine="420" w:firstLineChars="200"/>
        <w:jc w:val="both"/>
        <w:rPr>
          <w:rFonts w:hint="eastAsia" w:ascii="宋体" w:hAnsi="Times New Roman" w:eastAsia="宋体" w:cs="Times New Roman"/>
          <w:color w:val="auto"/>
          <w:kern w:val="2"/>
          <w:sz w:val="21"/>
          <w:szCs w:val="21"/>
          <w:lang w:val="en-US" w:eastAsia="zh-CN"/>
        </w:rPr>
      </w:pPr>
      <w:r>
        <w:rPr>
          <w:rFonts w:hint="eastAsia" w:ascii="宋体" w:hAnsi="Times New Roman" w:eastAsia="宋体" w:cs="Times New Roman"/>
          <w:color w:val="auto"/>
          <w:kern w:val="2"/>
          <w:sz w:val="21"/>
          <w:szCs w:val="21"/>
          <w:lang w:eastAsia="zh-CN"/>
        </w:rPr>
        <w:t>（1）</w:t>
      </w:r>
      <w:r>
        <w:rPr>
          <w:rFonts w:hint="eastAsia" w:ascii="宋体" w:hAnsi="Times New Roman" w:eastAsia="宋体" w:cs="Times New Roman"/>
          <w:color w:val="auto"/>
          <w:kern w:val="2"/>
          <w:sz w:val="21"/>
          <w:szCs w:val="21"/>
          <w:lang w:val="en-US" w:eastAsia="zh-CN"/>
        </w:rPr>
        <w:t>编制《安全生产专项整治三年行动实施方案中期评估表》。</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2</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rPr>
        <w:t>实地对广东省机场管理集团有限公司、广州白云国际机场股份有限公司、</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（3）</w:t>
      </w:r>
      <w:r>
        <w:rPr>
          <w:rFonts w:hint="eastAsia" w:ascii="宋体" w:hAnsi="Times New Roman" w:eastAsia="宋体" w:cs="Times New Roman"/>
          <w:color w:val="auto"/>
          <w:kern w:val="2"/>
          <w:sz w:val="21"/>
          <w:szCs w:val="21"/>
        </w:rPr>
        <w:t>编制</w:t>
      </w:r>
      <w:r>
        <w:rPr>
          <w:rFonts w:hint="eastAsia" w:ascii="宋体" w:eastAsia="宋体" w:cs="Times New Roman"/>
          <w:color w:val="auto"/>
          <w:kern w:val="2"/>
          <w:sz w:val="21"/>
          <w:szCs w:val="21"/>
          <w:lang w:eastAsia="zh-CN"/>
        </w:rPr>
        <w:t>《广东省机场管理集团有限公司安全生产专项整治三年行动评估报告》《广州白云国际机场股份有限公司安全生产专项整治三年行动评估报告》《广东机场集团工程建设指挥部安全生产专项整治三年行动评估报告》</w:t>
      </w:r>
      <w:r>
        <w:rPr>
          <w:rFonts w:hint="eastAsia" w:ascii="宋体" w:hAnsi="Times New Roman" w:eastAsia="宋体" w:cs="Times New Roman"/>
          <w:color w:val="auto"/>
          <w:kern w:val="2"/>
          <w:sz w:val="21"/>
          <w:szCs w:val="21"/>
          <w:lang w:eastAsia="zh-CN"/>
        </w:rPr>
        <w:t>。</w:t>
      </w:r>
    </w:p>
    <w:p>
      <w:pPr>
        <w:pStyle w:val="20"/>
        <w:widowControl/>
        <w:tabs>
          <w:tab w:val="left" w:pos="540"/>
        </w:tabs>
        <w:spacing w:line="360" w:lineRule="auto"/>
        <w:ind w:left="0" w:firstLine="420" w:firstLineChars="200"/>
        <w:rPr>
          <w:rFonts w:hint="eastAsia" w:ascii="宋体"/>
          <w:szCs w:val="21"/>
        </w:rPr>
      </w:pPr>
      <w:r>
        <w:rPr>
          <w:rFonts w:hint="eastAsia" w:ascii="宋体" w:hAnsi="Times New Roman" w:eastAsia="宋体" w:cs="Times New Roman"/>
          <w:color w:val="auto"/>
          <w:sz w:val="21"/>
          <w:szCs w:val="21"/>
          <w:lang w:val="en-US" w:eastAsia="zh-CN"/>
        </w:rPr>
        <w:t>（4）</w:t>
      </w:r>
      <w:r>
        <w:rPr>
          <w:rFonts w:hint="eastAsia" w:ascii="宋体" w:hAnsi="Times New Roman" w:eastAsia="宋体" w:cs="Times New Roman"/>
          <w:color w:val="auto"/>
          <w:sz w:val="21"/>
          <w:szCs w:val="21"/>
        </w:rPr>
        <w:t>协助采购人抓好安全生产专项整治三年行动中期评估情况的问题整改工作。</w:t>
      </w:r>
    </w:p>
    <w:p>
      <w:pPr>
        <w:numPr>
          <w:ilvl w:val="0"/>
          <w:numId w:val="2"/>
        </w:numPr>
        <w:tabs>
          <w:tab w:val="left" w:pos="540"/>
        </w:tabs>
        <w:spacing w:line="360" w:lineRule="auto"/>
        <w:rPr>
          <w:rFonts w:hint="eastAsia" w:ascii="宋体"/>
          <w:b/>
          <w:bCs/>
          <w:szCs w:val="21"/>
        </w:rPr>
      </w:pPr>
      <w:r>
        <w:rPr>
          <w:rFonts w:hint="eastAsia" w:ascii="宋体"/>
          <w:b/>
          <w:bCs/>
          <w:szCs w:val="21"/>
        </w:rPr>
        <w:t>采购内容：</w:t>
      </w:r>
    </w:p>
    <w:p>
      <w:pPr>
        <w:numPr>
          <w:ilvl w:val="0"/>
          <w:numId w:val="3"/>
        </w:numPr>
        <w:tabs>
          <w:tab w:val="left" w:pos="420"/>
        </w:tabs>
        <w:spacing w:line="360" w:lineRule="auto"/>
        <w:ind w:left="901" w:hanging="363"/>
        <w:rPr>
          <w:rFonts w:ascii="宋体"/>
          <w:szCs w:val="21"/>
        </w:rPr>
      </w:pPr>
      <w:r>
        <w:rPr>
          <w:rFonts w:hint="eastAsia" w:ascii="宋体"/>
          <w:szCs w:val="21"/>
        </w:rPr>
        <w:t>采购内容及限价</w:t>
      </w:r>
    </w:p>
    <w:tbl>
      <w:tblPr>
        <w:tblStyle w:val="14"/>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528" w:type="dxa"/>
            <w:noWrap w:val="0"/>
            <w:vAlign w:val="center"/>
          </w:tcPr>
          <w:p>
            <w:pPr>
              <w:jc w:val="center"/>
              <w:rPr>
                <w:rFonts w:hint="eastAsia" w:ascii="宋体" w:hAnsi="宋体"/>
                <w:b/>
                <w:szCs w:val="21"/>
              </w:rPr>
            </w:pPr>
            <w:r>
              <w:rPr>
                <w:rFonts w:hint="eastAsia" w:ascii="宋体" w:hAnsi="宋体"/>
                <w:b/>
                <w:szCs w:val="21"/>
              </w:rPr>
              <w:t>服务内容</w:t>
            </w:r>
          </w:p>
        </w:tc>
        <w:tc>
          <w:tcPr>
            <w:tcW w:w="709" w:type="dxa"/>
            <w:noWrap w:val="0"/>
            <w:vAlign w:val="center"/>
          </w:tcPr>
          <w:p>
            <w:pPr>
              <w:jc w:val="center"/>
              <w:rPr>
                <w:rFonts w:hint="eastAsia" w:ascii="宋体" w:hAnsi="宋体"/>
                <w:b/>
                <w:szCs w:val="21"/>
              </w:rPr>
            </w:pPr>
            <w:r>
              <w:rPr>
                <w:rFonts w:hint="eastAsia" w:ascii="宋体" w:hAnsi="宋体"/>
                <w:b/>
                <w:szCs w:val="21"/>
              </w:rPr>
              <w:t>数量</w:t>
            </w:r>
          </w:p>
        </w:tc>
        <w:tc>
          <w:tcPr>
            <w:tcW w:w="1843"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1" w:type="dxa"/>
            <w:noWrap w:val="0"/>
            <w:vAlign w:val="center"/>
          </w:tcPr>
          <w:p>
            <w:pPr>
              <w:pStyle w:val="5"/>
              <w:ind w:firstLine="0"/>
              <w:jc w:val="center"/>
              <w:rPr>
                <w:rFonts w:hint="eastAsia" w:ascii="宋体" w:hAnsi="宋体"/>
                <w:b w:val="0"/>
                <w:szCs w:val="21"/>
              </w:rPr>
            </w:pPr>
            <w:r>
              <w:rPr>
                <w:rFonts w:hint="eastAsia" w:ascii="宋体" w:hAnsi="宋体"/>
                <w:b w:val="0"/>
                <w:szCs w:val="21"/>
              </w:rPr>
              <w:t>1</w:t>
            </w:r>
          </w:p>
        </w:tc>
        <w:tc>
          <w:tcPr>
            <w:tcW w:w="5528" w:type="dxa"/>
            <w:noWrap w:val="0"/>
            <w:vAlign w:val="center"/>
          </w:tcPr>
          <w:p>
            <w:pPr>
              <w:pStyle w:val="5"/>
              <w:ind w:firstLine="0" w:firstLineChars="0"/>
              <w:jc w:val="left"/>
              <w:rPr>
                <w:rFonts w:hint="eastAsia" w:ascii="宋体" w:hAnsi="宋体"/>
                <w:szCs w:val="21"/>
              </w:rPr>
            </w:pPr>
            <w:r>
              <w:rPr>
                <w:rFonts w:hint="eastAsia" w:ascii="宋体" w:hAnsi="Times New Roman" w:eastAsia="宋体" w:cs="Times New Roman"/>
                <w:color w:val="auto"/>
                <w:kern w:val="2"/>
                <w:sz w:val="21"/>
                <w:szCs w:val="21"/>
                <w:lang w:val="en-US" w:eastAsia="zh-CN"/>
              </w:rPr>
              <w:t>组织对</w:t>
            </w:r>
            <w:r>
              <w:rPr>
                <w:rFonts w:hint="eastAsia" w:ascii="宋体" w:hAnsi="Times New Roman" w:eastAsia="宋体" w:cs="Times New Roman"/>
                <w:color w:val="auto"/>
                <w:kern w:val="2"/>
                <w:sz w:val="21"/>
                <w:szCs w:val="21"/>
              </w:rPr>
              <w:t>广东省机场管理集团有限公司安全生产专项整治三年行动开展情况进行中期评估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restart"/>
            <w:noWrap w:val="0"/>
            <w:vAlign w:val="center"/>
          </w:tcPr>
          <w:p/>
          <w:p>
            <w:pPr>
              <w:pStyle w:val="5"/>
              <w:ind w:firstLine="0"/>
              <w:jc w:val="left"/>
              <w:rPr>
                <w:rFonts w:hint="eastAsia" w:ascii="宋体" w:hAnsi="宋体"/>
                <w:szCs w:val="21"/>
              </w:rPr>
            </w:pPr>
            <w:r>
              <w:rPr>
                <w:rFonts w:hint="eastAsia" w:ascii="宋体" w:hAnsi="宋体"/>
                <w:szCs w:val="21"/>
              </w:rPr>
              <w:t>人民币：</w:t>
            </w:r>
            <w:r>
              <w:rPr>
                <w:rFonts w:hint="eastAsia" w:ascii="宋体" w:hAnsi="宋体"/>
                <w:szCs w:val="21"/>
                <w:lang w:val="en-US" w:eastAsia="zh-CN"/>
              </w:rPr>
              <w:t>25</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1" w:type="dxa"/>
            <w:noWrap w:val="0"/>
            <w:vAlign w:val="center"/>
          </w:tcPr>
          <w:p>
            <w:pPr>
              <w:pStyle w:val="5"/>
              <w:ind w:firstLine="0"/>
              <w:jc w:val="center"/>
              <w:rPr>
                <w:rFonts w:hint="eastAsia" w:ascii="宋体" w:hAnsi="宋体"/>
                <w:szCs w:val="21"/>
              </w:rPr>
            </w:pPr>
            <w:r>
              <w:rPr>
                <w:rFonts w:hint="eastAsia" w:ascii="宋体" w:hAnsi="宋体"/>
                <w:szCs w:val="21"/>
              </w:rPr>
              <w:t>2</w:t>
            </w:r>
          </w:p>
        </w:tc>
        <w:tc>
          <w:tcPr>
            <w:tcW w:w="5528" w:type="dxa"/>
            <w:noWrap w:val="0"/>
            <w:vAlign w:val="center"/>
          </w:tcPr>
          <w:p>
            <w:pPr>
              <w:pStyle w:val="5"/>
              <w:ind w:firstLine="0" w:firstLineChars="0"/>
              <w:jc w:val="left"/>
              <w:rPr>
                <w:rFonts w:hint="eastAsia" w:ascii="宋体" w:hAnsi="宋体"/>
                <w:szCs w:val="21"/>
              </w:rPr>
            </w:pPr>
            <w:r>
              <w:rPr>
                <w:rFonts w:hint="eastAsia" w:ascii="宋体" w:hAnsi="Times New Roman" w:eastAsia="宋体" w:cs="Times New Roman"/>
                <w:color w:val="auto"/>
                <w:kern w:val="2"/>
                <w:sz w:val="21"/>
                <w:szCs w:val="21"/>
                <w:lang w:val="en-US" w:eastAsia="zh-CN"/>
              </w:rPr>
              <w:t>组织对</w:t>
            </w:r>
            <w:r>
              <w:rPr>
                <w:rFonts w:hint="eastAsia" w:ascii="宋体" w:hAnsi="Times New Roman" w:eastAsia="宋体" w:cs="Times New Roman"/>
                <w:color w:val="auto"/>
                <w:kern w:val="2"/>
                <w:sz w:val="21"/>
                <w:szCs w:val="21"/>
              </w:rPr>
              <w:t>广州白云国际机场股份有限公司安全生产专项整治三年行动开展情况进行中期评估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continue"/>
            <w:noWrap w:val="0"/>
            <w:vAlign w:val="center"/>
          </w:tcPr>
          <w:p>
            <w:pPr>
              <w:pStyle w:val="5"/>
              <w:ind w:firstLine="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41" w:type="dxa"/>
            <w:noWrap w:val="0"/>
            <w:vAlign w:val="center"/>
          </w:tcPr>
          <w:p>
            <w:pPr>
              <w:pStyle w:val="5"/>
              <w:ind w:firstLine="0"/>
              <w:jc w:val="center"/>
              <w:rPr>
                <w:rFonts w:hint="eastAsia" w:ascii="宋体" w:hAnsi="宋体"/>
                <w:szCs w:val="21"/>
              </w:rPr>
            </w:pPr>
            <w:r>
              <w:rPr>
                <w:rFonts w:hint="eastAsia" w:ascii="宋体" w:hAnsi="宋体"/>
                <w:szCs w:val="21"/>
              </w:rPr>
              <w:t>3</w:t>
            </w:r>
          </w:p>
        </w:tc>
        <w:tc>
          <w:tcPr>
            <w:tcW w:w="5528" w:type="dxa"/>
            <w:noWrap w:val="0"/>
            <w:vAlign w:val="center"/>
          </w:tcPr>
          <w:p>
            <w:pPr>
              <w:pStyle w:val="5"/>
              <w:ind w:firstLine="0" w:firstLineChars="0"/>
              <w:jc w:val="left"/>
              <w:rPr>
                <w:rFonts w:hint="eastAsia" w:ascii="宋体" w:hAnsi="宋体"/>
                <w:color w:val="FF0000"/>
                <w:szCs w:val="21"/>
              </w:rPr>
            </w:pPr>
            <w:r>
              <w:rPr>
                <w:rFonts w:hint="eastAsia" w:ascii="宋体" w:hAnsi="Times New Roman" w:eastAsia="宋体" w:cs="Times New Roman"/>
                <w:color w:val="auto"/>
                <w:kern w:val="2"/>
                <w:sz w:val="21"/>
                <w:szCs w:val="21"/>
                <w:lang w:val="en-US" w:eastAsia="zh-CN"/>
              </w:rPr>
              <w:t>组织对广东机场集团工程建设指挥部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continue"/>
            <w:noWrap w:val="0"/>
            <w:vAlign w:val="center"/>
          </w:tcPr>
          <w:p>
            <w:pPr>
              <w:pStyle w:val="5"/>
              <w:ind w:firstLine="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878" w:type="dxa"/>
            <w:gridSpan w:val="3"/>
            <w:noWrap w:val="0"/>
            <w:vAlign w:val="center"/>
          </w:tcPr>
          <w:p>
            <w:pPr>
              <w:pStyle w:val="5"/>
              <w:ind w:firstLine="0"/>
              <w:jc w:val="center"/>
              <w:rPr>
                <w:rFonts w:hint="eastAsia" w:ascii="宋体" w:hAnsi="宋体"/>
                <w:szCs w:val="21"/>
              </w:rPr>
            </w:pPr>
            <w:r>
              <w:rPr>
                <w:rFonts w:hint="eastAsia" w:ascii="宋体" w:hAnsi="宋体"/>
                <w:szCs w:val="21"/>
              </w:rPr>
              <w:t>合计</w:t>
            </w:r>
          </w:p>
        </w:tc>
        <w:tc>
          <w:tcPr>
            <w:tcW w:w="1843" w:type="dxa"/>
            <w:noWrap w:val="0"/>
            <w:vAlign w:val="center"/>
          </w:tcPr>
          <w:p>
            <w:pPr>
              <w:pStyle w:val="5"/>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25</w:t>
            </w:r>
            <w:r>
              <w:rPr>
                <w:rFonts w:hint="eastAsia" w:ascii="宋体" w:hAnsi="宋体"/>
                <w:szCs w:val="21"/>
              </w:rPr>
              <w:t>万元</w:t>
            </w:r>
          </w:p>
        </w:tc>
      </w:tr>
    </w:tbl>
    <w:p>
      <w:pPr>
        <w:numPr>
          <w:ilvl w:val="0"/>
          <w:numId w:val="3"/>
        </w:numPr>
        <w:spacing w:line="360" w:lineRule="auto"/>
        <w:ind w:left="990"/>
        <w:rPr>
          <w:rFonts w:hint="eastAsia"/>
          <w:szCs w:val="21"/>
        </w:rPr>
      </w:pPr>
      <w:r>
        <w:rPr>
          <w:rFonts w:hint="eastAsia"/>
          <w:szCs w:val="21"/>
        </w:rPr>
        <w:t>服务期限</w:t>
      </w:r>
      <w:r>
        <w:rPr>
          <w:rFonts w:hint="eastAsia"/>
          <w:szCs w:val="21"/>
          <w:highlight w:val="none"/>
        </w:rPr>
        <w:t>：合同签订生效之日起至</w:t>
      </w:r>
      <w:r>
        <w:rPr>
          <w:rFonts w:hint="eastAsia"/>
          <w:szCs w:val="21"/>
          <w:highlight w:val="none"/>
          <w:lang w:val="en-US" w:eastAsia="zh-CN"/>
        </w:rPr>
        <w:t>三个月</w:t>
      </w:r>
      <w:r>
        <w:rPr>
          <w:rFonts w:hint="eastAsia"/>
          <w:szCs w:val="21"/>
          <w:highlight w:val="none"/>
        </w:rPr>
        <w:t>。</w:t>
      </w:r>
    </w:p>
    <w:p>
      <w:pPr>
        <w:numPr>
          <w:ilvl w:val="0"/>
          <w:numId w:val="2"/>
        </w:numPr>
        <w:tabs>
          <w:tab w:val="left" w:pos="540"/>
        </w:tabs>
        <w:spacing w:line="360" w:lineRule="auto"/>
        <w:rPr>
          <w:rFonts w:hint="eastAsia" w:ascii="宋体"/>
          <w:b/>
          <w:bCs/>
          <w:szCs w:val="21"/>
        </w:rPr>
      </w:pPr>
      <w:r>
        <w:rPr>
          <w:rFonts w:hint="eastAsia" w:ascii="宋体"/>
          <w:b/>
          <w:bCs/>
          <w:szCs w:val="21"/>
        </w:rPr>
        <w:t>合格供应商资格条件：</w:t>
      </w:r>
    </w:p>
    <w:p>
      <w:pPr>
        <w:numPr>
          <w:ilvl w:val="0"/>
          <w:numId w:val="4"/>
        </w:numPr>
        <w:tabs>
          <w:tab w:val="clear" w:pos="420"/>
        </w:tabs>
        <w:spacing w:line="360" w:lineRule="auto"/>
        <w:ind w:left="851"/>
        <w:rPr>
          <w:rFonts w:hint="eastAsia" w:ascii="宋体"/>
          <w:color w:val="000000"/>
          <w:szCs w:val="21"/>
        </w:rPr>
      </w:pPr>
      <w:r>
        <w:rPr>
          <w:rFonts w:hint="eastAsia"/>
        </w:rPr>
        <w:t xml:space="preserve">★ </w:t>
      </w:r>
      <w:r>
        <w:rPr>
          <w:rFonts w:hint="eastAsia" w:ascii="宋体"/>
          <w:color w:val="000000"/>
          <w:szCs w:val="21"/>
        </w:rPr>
        <w:t>供应商必须为具备本项目履约能力的在中华人民共和国注册登记的企事业法人单位或分公司取得总公司授权，且自身具备相应履约能力的，持有效的法人营业执照或事业单位法人证书（需提供相应证明文件复印件</w:t>
      </w:r>
      <w:r>
        <w:rPr>
          <w:rFonts w:hint="eastAsia" w:ascii="宋体" w:hAnsi="宋体"/>
          <w:color w:val="000000"/>
        </w:rPr>
        <w:t>并加盖公章</w:t>
      </w:r>
      <w:r>
        <w:rPr>
          <w:rFonts w:hint="eastAsia" w:ascii="宋体"/>
          <w:color w:val="000000"/>
          <w:szCs w:val="21"/>
        </w:rPr>
        <w:t>）。</w:t>
      </w:r>
    </w:p>
    <w:p>
      <w:pPr>
        <w:numPr>
          <w:ilvl w:val="0"/>
          <w:numId w:val="4"/>
        </w:numPr>
        <w:tabs>
          <w:tab w:val="clear" w:pos="420"/>
        </w:tabs>
        <w:spacing w:line="360" w:lineRule="auto"/>
        <w:ind w:left="851"/>
        <w:rPr>
          <w:rFonts w:ascii="宋体"/>
          <w:szCs w:val="21"/>
          <w:highlight w:val="none"/>
        </w:rPr>
      </w:pPr>
      <w:r>
        <w:rPr>
          <w:rFonts w:hint="eastAsia"/>
          <w:highlight w:val="none"/>
        </w:rPr>
        <w:t>★</w:t>
      </w:r>
      <w:r>
        <w:rPr>
          <w:rFonts w:hint="eastAsia" w:ascii="宋体" w:hAnsi="宋体"/>
          <w:color w:val="auto"/>
          <w:szCs w:val="21"/>
        </w:rPr>
        <w:t>2016</w:t>
      </w:r>
      <w:r>
        <w:rPr>
          <w:rFonts w:hint="eastAsia" w:ascii="宋体" w:hAnsi="宋体"/>
          <w:szCs w:val="22"/>
        </w:rPr>
        <w:t>年</w:t>
      </w:r>
      <w:r>
        <w:rPr>
          <w:rFonts w:hint="eastAsia" w:ascii="宋体" w:hAnsi="宋体"/>
          <w:color w:val="auto"/>
          <w:szCs w:val="21"/>
        </w:rPr>
        <w:t>1</w:t>
      </w:r>
      <w:r>
        <w:rPr>
          <w:rFonts w:hint="eastAsia" w:ascii="宋体" w:hAnsi="宋体"/>
          <w:szCs w:val="22"/>
        </w:rPr>
        <w:t>月</w:t>
      </w:r>
      <w:r>
        <w:rPr>
          <w:rFonts w:hint="eastAsia" w:ascii="宋体" w:hAnsi="宋体"/>
          <w:color w:val="auto"/>
          <w:szCs w:val="21"/>
        </w:rPr>
        <w:t>1</w:t>
      </w:r>
      <w:r>
        <w:rPr>
          <w:rFonts w:hint="eastAsia" w:ascii="宋体" w:hAnsi="宋体"/>
          <w:szCs w:val="22"/>
        </w:rPr>
        <w:t>日</w:t>
      </w:r>
      <w:r>
        <w:rPr>
          <w:rFonts w:hint="eastAsia"/>
        </w:rPr>
        <w:t>至今</w:t>
      </w:r>
      <w:r>
        <w:rPr>
          <w:rFonts w:hint="eastAsia" w:hAnsi="Courier New" w:cs="Courier New"/>
          <w:color w:val="auto"/>
          <w:highlight w:val="none"/>
        </w:rPr>
        <w:t>，供应商具有完成</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务业绩（须提供反映上述要求的合同复印件和合同成果关键页复印件</w:t>
      </w:r>
      <w:r>
        <w:rPr>
          <w:rFonts w:hint="eastAsia" w:ascii="宋体" w:hAnsi="宋体"/>
          <w:color w:val="000000"/>
          <w:highlight w:val="none"/>
        </w:rPr>
        <w:t>并加盖公章</w:t>
      </w:r>
      <w:r>
        <w:rPr>
          <w:rFonts w:hint="eastAsia" w:hAnsi="Courier New" w:cs="Courier New"/>
          <w:color w:val="000000"/>
          <w:highlight w:val="none"/>
        </w:rPr>
        <w:t>）。</w:t>
      </w:r>
    </w:p>
    <w:p>
      <w:pPr>
        <w:numPr>
          <w:ilvl w:val="0"/>
          <w:numId w:val="4"/>
        </w:numPr>
        <w:tabs>
          <w:tab w:val="clear" w:pos="420"/>
        </w:tabs>
        <w:spacing w:line="360" w:lineRule="auto"/>
        <w:ind w:left="851"/>
        <w:rPr>
          <w:rFonts w:hint="eastAsia" w:ascii="宋体"/>
          <w:szCs w:val="21"/>
        </w:rPr>
      </w:pPr>
      <w:r>
        <w:rPr>
          <w:rFonts w:hint="eastAsia"/>
        </w:rPr>
        <w:t>★ 供应商需在广东省机场管理集团有限公司招标、采购管理平台(wz.gdairport.</w:t>
      </w:r>
      <w:r>
        <w:t>com</w:t>
      </w:r>
      <w:r>
        <w:rPr>
          <w:rFonts w:hint="eastAsia"/>
        </w:rPr>
        <w:t>)主页中“合作商注册”模块，按规定格式填写正确的供应商登记信息，登记为合格的候选供应商，已注册的除外。（须供应商登陆系统打印的合作商登记表并加盖公章）。</w:t>
      </w:r>
    </w:p>
    <w:p>
      <w:pPr>
        <w:numPr>
          <w:ilvl w:val="0"/>
          <w:numId w:val="4"/>
        </w:numPr>
        <w:tabs>
          <w:tab w:val="clear" w:pos="420"/>
        </w:tabs>
        <w:spacing w:line="360" w:lineRule="auto"/>
        <w:ind w:left="851"/>
        <w:rPr>
          <w:rFonts w:hint="eastAsia"/>
        </w:rPr>
      </w:pPr>
      <w:r>
        <w:rPr>
          <w:rFonts w:hint="eastAsia"/>
        </w:rPr>
        <w:t>★</w:t>
      </w:r>
      <w:r>
        <w:rPr>
          <w:rFonts w:hint="eastAsia" w:ascii="宋体" w:hAnsi="宋体"/>
          <w:color w:val="auto"/>
          <w:szCs w:val="21"/>
        </w:rPr>
        <w:t xml:space="preserve"> 2016</w:t>
      </w:r>
      <w:r>
        <w:rPr>
          <w:rFonts w:hint="eastAsia" w:ascii="宋体" w:hAnsi="宋体"/>
          <w:szCs w:val="22"/>
        </w:rPr>
        <w:t>年</w:t>
      </w:r>
      <w:r>
        <w:rPr>
          <w:rFonts w:hint="eastAsia" w:ascii="宋体" w:hAnsi="宋体"/>
          <w:color w:val="auto"/>
          <w:szCs w:val="21"/>
        </w:rPr>
        <w:t>1</w:t>
      </w:r>
      <w:r>
        <w:rPr>
          <w:rFonts w:hint="eastAsia" w:ascii="宋体" w:hAnsi="宋体"/>
          <w:szCs w:val="22"/>
        </w:rPr>
        <w:t>月</w:t>
      </w:r>
      <w:r>
        <w:rPr>
          <w:rFonts w:hint="eastAsia" w:ascii="宋体" w:hAnsi="宋体"/>
          <w:color w:val="auto"/>
          <w:szCs w:val="21"/>
        </w:rPr>
        <w:t>1</w:t>
      </w:r>
      <w:r>
        <w:rPr>
          <w:rFonts w:hint="eastAsia" w:ascii="宋体" w:hAnsi="宋体"/>
          <w:szCs w:val="22"/>
        </w:rPr>
        <w:t>日</w:t>
      </w:r>
      <w:r>
        <w:rPr>
          <w:rFonts w:hint="eastAsia"/>
        </w:rPr>
        <w:t>至今，供应商没有因腐败或欺诈行为而被政府或业主宣布取消投标资格；同时，2016年1月1日至今供应商（包括其关联公司</w:t>
      </w:r>
      <w:r>
        <w:rPr>
          <w:rFonts w:hint="eastAsia"/>
          <w:lang w:val="en-US" w:eastAsia="zh-CN"/>
        </w:rPr>
        <w:t>和法定代表人</w:t>
      </w:r>
      <w:r>
        <w:rPr>
          <w:rFonts w:hint="eastAsia"/>
        </w:rPr>
        <w:t>）与采购人未发生过各种诉讼、仲裁和不良投诉（须就此项内容提供承诺函并加盖供应商公章，承诺函格式详见附录3）；</w:t>
      </w:r>
    </w:p>
    <w:p>
      <w:pPr>
        <w:numPr>
          <w:ilvl w:val="0"/>
          <w:numId w:val="4"/>
        </w:numPr>
        <w:tabs>
          <w:tab w:val="clear" w:pos="420"/>
        </w:tabs>
        <w:spacing w:line="360" w:lineRule="auto"/>
        <w:ind w:left="851"/>
        <w:rPr>
          <w:rFonts w:hint="eastAsia"/>
        </w:rPr>
      </w:pPr>
      <w:r>
        <w:rPr>
          <w:rFonts w:hint="eastAsia"/>
        </w:rPr>
        <w:t>★</w:t>
      </w:r>
      <w:r>
        <w:rPr>
          <w:rFonts w:hint="eastAsia"/>
          <w:szCs w:val="22"/>
        </w:rPr>
        <w:t>供应商不得被列入“失信惩戒”名单，以</w:t>
      </w:r>
      <w:r>
        <w:rPr>
          <w:rFonts w:hint="eastAsia"/>
        </w:rPr>
        <w:t>“信用中国”网站（www.creditchina.gov.cn）查询为准，供应商需在采购公告发布后按采购文件给定的格式要求从“信用中国”网站截图并加盖公章（未按格式要求截图或截图信息不清晰将作废标处理），同时下载信用评估报告、打印并加盖公章后附在报价文件中（截图格式见附录</w:t>
      </w:r>
      <w:r>
        <w:t>8</w:t>
      </w:r>
      <w:r>
        <w:rPr>
          <w:rFonts w:hint="eastAsia"/>
        </w:rPr>
        <w:t>）；</w:t>
      </w:r>
    </w:p>
    <w:p>
      <w:pPr>
        <w:numPr>
          <w:ilvl w:val="0"/>
          <w:numId w:val="4"/>
        </w:numPr>
        <w:tabs>
          <w:tab w:val="clear" w:pos="420"/>
        </w:tabs>
        <w:spacing w:line="360" w:lineRule="auto"/>
        <w:ind w:left="851"/>
      </w:pPr>
      <w:r>
        <w:rPr>
          <w:rFonts w:hint="eastAsia"/>
        </w:rPr>
        <w:t>★供应商不得被列为严重违法失信企业名单，以“国家企业信用信息公示系统”网站（www.gsxt.gov.cn）查询为准，供应商需在采购公告发布后从“国家企业信用信息公示系统”网站截图并加盖公章（截图格式见附录</w:t>
      </w:r>
      <w:r>
        <w:t>9</w:t>
      </w:r>
      <w:r>
        <w:rPr>
          <w:rFonts w:hint="eastAsia"/>
        </w:rPr>
        <w:t>）；</w:t>
      </w:r>
    </w:p>
    <w:p>
      <w:pPr>
        <w:numPr>
          <w:ilvl w:val="0"/>
          <w:numId w:val="4"/>
        </w:numPr>
        <w:tabs>
          <w:tab w:val="clear" w:pos="420"/>
        </w:tabs>
        <w:spacing w:line="360" w:lineRule="auto"/>
        <w:ind w:left="851"/>
        <w:rPr>
          <w:rFonts w:hint="eastAsia"/>
        </w:rPr>
      </w:pPr>
      <w:r>
        <w:rPr>
          <w:rFonts w:hint="eastAsia"/>
        </w:rPr>
        <w:t>★供应商法定代表人为同一人的两个或两个以上法人，母公司、全资子公司及其控股公司，都不得在本项目中同时报价。</w:t>
      </w:r>
    </w:p>
    <w:p>
      <w:pPr>
        <w:numPr>
          <w:ilvl w:val="0"/>
          <w:numId w:val="4"/>
        </w:numPr>
        <w:tabs>
          <w:tab w:val="clear" w:pos="420"/>
        </w:tabs>
        <w:spacing w:line="360" w:lineRule="auto"/>
        <w:ind w:left="851" w:hanging="425"/>
        <w:rPr>
          <w:rFonts w:ascii="宋体"/>
          <w:szCs w:val="21"/>
        </w:rPr>
      </w:pPr>
      <w:r>
        <w:rPr>
          <w:rFonts w:hint="eastAsia"/>
        </w:rPr>
        <w:t>★</w:t>
      </w:r>
      <w:r>
        <w:rPr>
          <w:rFonts w:hint="eastAsia" w:ascii="宋体"/>
          <w:szCs w:val="21"/>
        </w:rPr>
        <w:t>本项目不接受联合体报价。</w:t>
      </w:r>
    </w:p>
    <w:p>
      <w:pPr>
        <w:numPr>
          <w:ilvl w:val="0"/>
          <w:numId w:val="4"/>
        </w:numPr>
        <w:tabs>
          <w:tab w:val="clear" w:pos="420"/>
        </w:tabs>
        <w:spacing w:line="360" w:lineRule="auto"/>
        <w:ind w:left="851" w:hanging="425"/>
        <w:rPr>
          <w:rFonts w:hint="eastAsia" w:ascii="宋体"/>
          <w:szCs w:val="21"/>
        </w:rPr>
      </w:pPr>
      <w:r>
        <w:rPr>
          <w:rFonts w:hint="eastAsia"/>
        </w:rPr>
        <w:t>★</w:t>
      </w:r>
      <w:r>
        <w:rPr>
          <w:rFonts w:hint="eastAsia" w:ascii="宋体"/>
          <w:szCs w:val="21"/>
        </w:rPr>
        <w:t>已登记为本项目供应商。</w:t>
      </w:r>
    </w:p>
    <w:p>
      <w:pPr>
        <w:tabs>
          <w:tab w:val="left" w:pos="2127"/>
        </w:tabs>
        <w:spacing w:line="360" w:lineRule="auto"/>
        <w:ind w:left="1136" w:leftChars="203" w:hanging="710" w:hangingChars="337"/>
        <w:rPr>
          <w:rFonts w:hint="eastAsia" w:ascii="宋体" w:hAnsi="宋体"/>
          <w:b/>
          <w:bCs/>
          <w:szCs w:val="21"/>
        </w:rPr>
      </w:pPr>
      <w:r>
        <w:rPr>
          <w:rFonts w:hint="eastAsia" w:ascii="宋体" w:hAnsi="宋体"/>
          <w:b/>
          <w:bCs/>
          <w:szCs w:val="21"/>
        </w:rPr>
        <w:t>事业单位不需要提供以上第（</w:t>
      </w:r>
      <w:r>
        <w:rPr>
          <w:rFonts w:hint="eastAsia" w:ascii="宋体" w:hAnsi="宋体"/>
          <w:b/>
          <w:bCs/>
          <w:szCs w:val="21"/>
          <w:lang w:val="en-US" w:eastAsia="zh-CN"/>
        </w:rPr>
        <w:t>6</w:t>
      </w:r>
      <w:r>
        <w:rPr>
          <w:rFonts w:hint="eastAsia" w:ascii="宋体" w:hAnsi="宋体"/>
          <w:b/>
          <w:bCs/>
          <w:szCs w:val="21"/>
        </w:rPr>
        <w:t>）项内容。</w:t>
      </w:r>
    </w:p>
    <w:p>
      <w:pPr>
        <w:numPr>
          <w:ilvl w:val="0"/>
          <w:numId w:val="2"/>
        </w:numPr>
        <w:tabs>
          <w:tab w:val="left" w:pos="540"/>
        </w:tabs>
        <w:spacing w:line="360" w:lineRule="auto"/>
        <w:rPr>
          <w:rFonts w:hint="eastAsia" w:ascii="宋体"/>
          <w:b/>
          <w:bCs/>
          <w:szCs w:val="21"/>
        </w:rPr>
      </w:pPr>
      <w:r>
        <w:rPr>
          <w:rFonts w:hint="eastAsia" w:ascii="宋体"/>
          <w:b/>
          <w:bCs/>
          <w:szCs w:val="21"/>
        </w:rPr>
        <w:t>报价文件的提交形式、地址和截止时间</w:t>
      </w:r>
    </w:p>
    <w:p>
      <w:pPr>
        <w:numPr>
          <w:ilvl w:val="0"/>
          <w:numId w:val="5"/>
        </w:numPr>
        <w:tabs>
          <w:tab w:val="clear" w:pos="420"/>
        </w:tabs>
        <w:spacing w:line="360" w:lineRule="auto"/>
        <w:ind w:left="826" w:hanging="400"/>
        <w:rPr>
          <w:rFonts w:ascii="宋体"/>
          <w:kern w:val="0"/>
          <w:szCs w:val="21"/>
        </w:rPr>
      </w:pPr>
      <w:r>
        <w:rPr>
          <w:rFonts w:hint="eastAsia" w:ascii="宋体" w:hAnsi="宋体"/>
          <w:szCs w:val="21"/>
        </w:rPr>
        <w:t>在规定的</w:t>
      </w:r>
      <w:r>
        <w:rPr>
          <w:rFonts w:hint="eastAsia" w:ascii="宋体" w:hAnsi="宋体"/>
          <w:szCs w:val="21"/>
          <w:lang w:eastAsia="zh-CN"/>
        </w:rPr>
        <w:t>报名截止时</w:t>
      </w:r>
      <w:r>
        <w:rPr>
          <w:rFonts w:hint="eastAsia" w:ascii="宋体" w:hAnsi="宋体"/>
          <w:szCs w:val="21"/>
        </w:rPr>
        <w:t>间，</w:t>
      </w:r>
      <w:r>
        <w:rPr>
          <w:rFonts w:hint="eastAsia" w:ascii="宋体" w:hAnsi="宋体"/>
          <w:szCs w:val="21"/>
          <w:lang w:eastAsia="zh-CN"/>
        </w:rPr>
        <w:t>报名</w:t>
      </w:r>
      <w:r>
        <w:rPr>
          <w:rFonts w:hint="eastAsia" w:ascii="宋体" w:hAnsi="宋体"/>
          <w:szCs w:val="21"/>
        </w:rPr>
        <w:t>的供应商不足3名时，采购人将发布公告延长接受</w:t>
      </w:r>
      <w:r>
        <w:rPr>
          <w:rFonts w:hint="eastAsia" w:ascii="宋体" w:hAnsi="宋体"/>
          <w:szCs w:val="21"/>
          <w:lang w:eastAsia="zh-CN"/>
        </w:rPr>
        <w:t>报名</w:t>
      </w:r>
      <w:r>
        <w:rPr>
          <w:rFonts w:hint="eastAsia" w:ascii="宋体" w:hAnsi="宋体"/>
          <w:szCs w:val="21"/>
        </w:rPr>
        <w:t>时间。在延期</w:t>
      </w:r>
      <w:r>
        <w:rPr>
          <w:rFonts w:hint="eastAsia" w:ascii="宋体" w:hAnsi="宋体"/>
          <w:szCs w:val="21"/>
          <w:lang w:eastAsia="zh-CN"/>
        </w:rPr>
        <w:t>报名</w:t>
      </w:r>
      <w:r>
        <w:rPr>
          <w:rFonts w:hint="eastAsia" w:ascii="宋体" w:hAnsi="宋体"/>
          <w:szCs w:val="21"/>
        </w:rPr>
        <w:t>时间内，已</w:t>
      </w:r>
      <w:r>
        <w:rPr>
          <w:rFonts w:hint="eastAsia" w:ascii="宋体" w:hAnsi="宋体"/>
          <w:szCs w:val="21"/>
          <w:lang w:eastAsia="zh-CN"/>
        </w:rPr>
        <w:t>报名</w:t>
      </w:r>
      <w:r>
        <w:rPr>
          <w:rFonts w:hint="eastAsia" w:ascii="宋体" w:hAnsi="宋体"/>
          <w:szCs w:val="21"/>
        </w:rPr>
        <w:t>供应商的资料仍有效并可自行补充资料，未</w:t>
      </w:r>
      <w:r>
        <w:rPr>
          <w:rFonts w:hint="eastAsia" w:ascii="宋体" w:hAnsi="宋体"/>
          <w:szCs w:val="21"/>
          <w:lang w:eastAsia="zh-CN"/>
        </w:rPr>
        <w:t>报名</w:t>
      </w:r>
      <w:r>
        <w:rPr>
          <w:rFonts w:hint="eastAsia" w:ascii="宋体" w:hAnsi="宋体"/>
          <w:szCs w:val="21"/>
        </w:rPr>
        <w:t>的申请单位可根据公告的约定参与</w:t>
      </w:r>
      <w:r>
        <w:rPr>
          <w:rFonts w:hint="eastAsia" w:ascii="宋体" w:hAnsi="宋体"/>
          <w:szCs w:val="21"/>
          <w:lang w:eastAsia="zh-CN"/>
        </w:rPr>
        <w:t>报名</w:t>
      </w:r>
      <w:r>
        <w:rPr>
          <w:rFonts w:hint="eastAsia" w:ascii="宋体" w:hAnsi="宋体"/>
          <w:szCs w:val="21"/>
        </w:rPr>
        <w:t>。</w:t>
      </w:r>
    </w:p>
    <w:p>
      <w:pPr>
        <w:numPr>
          <w:ilvl w:val="0"/>
          <w:numId w:val="5"/>
        </w:numPr>
        <w:tabs>
          <w:tab w:val="clear" w:pos="420"/>
        </w:tabs>
        <w:spacing w:line="360" w:lineRule="auto"/>
        <w:ind w:left="826" w:hanging="400"/>
        <w:rPr>
          <w:rFonts w:hint="eastAsia" w:ascii="宋体"/>
          <w:kern w:val="0"/>
          <w:szCs w:val="21"/>
        </w:rPr>
      </w:pPr>
      <w:r>
        <w:rPr>
          <w:rFonts w:hint="eastAsia" w:ascii="宋体" w:hAnsi="宋体"/>
          <w:szCs w:val="21"/>
        </w:rPr>
        <w:t>若延长</w:t>
      </w:r>
      <w:r>
        <w:rPr>
          <w:rFonts w:hint="eastAsia" w:ascii="宋体" w:hAnsi="宋体"/>
          <w:szCs w:val="21"/>
          <w:lang w:eastAsia="zh-CN"/>
        </w:rPr>
        <w:t>报名</w:t>
      </w:r>
      <w:r>
        <w:rPr>
          <w:rFonts w:hint="eastAsia" w:ascii="宋体" w:hAnsi="宋体"/>
          <w:szCs w:val="21"/>
        </w:rPr>
        <w:t>时间后，登记的供应商仍不足3名时，采购人将变更采购方式。</w:t>
      </w:r>
    </w:p>
    <w:p>
      <w:pPr>
        <w:numPr>
          <w:ilvl w:val="0"/>
          <w:numId w:val="5"/>
        </w:numPr>
        <w:tabs>
          <w:tab w:val="left" w:pos="360"/>
          <w:tab w:val="left" w:pos="780"/>
          <w:tab w:val="clear" w:pos="420"/>
        </w:tabs>
        <w:spacing w:line="360" w:lineRule="auto"/>
        <w:ind w:left="826" w:hanging="400"/>
        <w:rPr>
          <w:rFonts w:hint="eastAsia" w:ascii="宋体" w:hAnsi="宋体" w:eastAsia="宋体" w:cs="Times New Roman"/>
          <w:szCs w:val="21"/>
        </w:rPr>
      </w:pPr>
      <w:r>
        <w:rPr>
          <w:rFonts w:hint="eastAsia" w:ascii="宋体" w:hAnsi="宋体" w:eastAsia="宋体" w:cs="Times New Roman"/>
          <w:szCs w:val="21"/>
        </w:rPr>
        <w:t>供应商可通过现场递交和邮寄两种方式递交项目报价文件。</w:t>
      </w:r>
      <w:r>
        <w:rPr>
          <w:rFonts w:hint="eastAsia" w:ascii="宋体" w:hAnsi="宋体" w:eastAsia="宋体" w:cs="Times New Roman"/>
          <w:szCs w:val="21"/>
          <w:lang w:eastAsia="zh-CN"/>
        </w:rPr>
        <w:t>报价文件应密封，在密封处加盖公章、写明日期。</w:t>
      </w:r>
    </w:p>
    <w:p>
      <w:pPr>
        <w:numPr>
          <w:ilvl w:val="0"/>
          <w:numId w:val="5"/>
        </w:numPr>
        <w:tabs>
          <w:tab w:val="left" w:pos="360"/>
          <w:tab w:val="left" w:pos="780"/>
          <w:tab w:val="clear" w:pos="420"/>
        </w:tabs>
        <w:spacing w:line="360" w:lineRule="auto"/>
        <w:ind w:left="826" w:hanging="400"/>
        <w:rPr>
          <w:rFonts w:hint="eastAsia" w:ascii="宋体" w:hAnsi="宋体" w:eastAsia="宋体" w:cs="Times New Roman"/>
          <w:szCs w:val="21"/>
        </w:rPr>
      </w:pPr>
      <w:r>
        <w:rPr>
          <w:rFonts w:hint="eastAsia" w:ascii="宋体" w:hAnsi="宋体" w:eastAsia="宋体" w:cs="Times New Roman"/>
          <w:szCs w:val="21"/>
        </w:rPr>
        <w:t>报价文件递交地址为：广东省机场管理集团有限公司办公楼</w:t>
      </w:r>
      <w:r>
        <w:rPr>
          <w:rFonts w:hint="eastAsia" w:ascii="宋体" w:hAnsi="宋体" w:eastAsia="宋体" w:cs="Times New Roman"/>
          <w:szCs w:val="21"/>
          <w:lang w:val="en-US" w:eastAsia="zh-CN"/>
        </w:rPr>
        <w:t>713</w:t>
      </w:r>
      <w:r>
        <w:rPr>
          <w:rFonts w:hint="eastAsia" w:ascii="宋体" w:hAnsi="宋体" w:eastAsia="宋体" w:cs="Times New Roman"/>
          <w:szCs w:val="21"/>
        </w:rPr>
        <w:t>办公室，收件人：</w:t>
      </w:r>
      <w:r>
        <w:rPr>
          <w:rFonts w:hint="eastAsia" w:ascii="宋体" w:hAnsi="宋体" w:eastAsia="宋体" w:cs="Times New Roman"/>
          <w:color w:val="auto"/>
          <w:szCs w:val="21"/>
          <w:lang w:val="en-US" w:eastAsia="zh-CN"/>
        </w:rPr>
        <w:t>谭</w:t>
      </w:r>
      <w:r>
        <w:rPr>
          <w:rFonts w:hint="eastAsia" w:ascii="宋体" w:hAnsi="宋体" w:eastAsia="宋体" w:cs="Times New Roman"/>
          <w:color w:val="auto"/>
          <w:szCs w:val="21"/>
        </w:rPr>
        <w:t>先生</w:t>
      </w:r>
      <w:r>
        <w:rPr>
          <w:rFonts w:hint="eastAsia" w:ascii="宋体" w:hAnsi="宋体" w:eastAsia="宋体" w:cs="Times New Roman"/>
          <w:szCs w:val="21"/>
        </w:rPr>
        <w:t>，联系电话：020-</w:t>
      </w:r>
      <w:r>
        <w:rPr>
          <w:rFonts w:hint="eastAsia" w:ascii="宋体" w:hAnsi="宋体" w:eastAsia="宋体" w:cs="Times New Roman"/>
          <w:color w:val="auto"/>
          <w:szCs w:val="21"/>
        </w:rPr>
        <w:t>861</w:t>
      </w:r>
      <w:r>
        <w:rPr>
          <w:rFonts w:hint="eastAsia" w:ascii="宋体" w:hAnsi="宋体" w:cs="Times New Roman"/>
          <w:color w:val="auto"/>
          <w:szCs w:val="21"/>
          <w:lang w:val="en-US" w:eastAsia="zh-CN"/>
        </w:rPr>
        <w:t>29341</w:t>
      </w:r>
      <w:r>
        <w:rPr>
          <w:rFonts w:hint="eastAsia" w:ascii="宋体" w:hAnsi="宋体" w:eastAsia="宋体" w:cs="Times New Roman"/>
          <w:szCs w:val="21"/>
        </w:rPr>
        <w:t>。</w:t>
      </w:r>
    </w:p>
    <w:p>
      <w:pPr>
        <w:numPr>
          <w:ilvl w:val="0"/>
          <w:numId w:val="5"/>
        </w:numPr>
        <w:tabs>
          <w:tab w:val="left" w:pos="360"/>
          <w:tab w:val="left" w:pos="780"/>
          <w:tab w:val="clear" w:pos="420"/>
        </w:tabs>
        <w:spacing w:line="360" w:lineRule="auto"/>
        <w:ind w:left="826" w:hanging="400"/>
        <w:rPr>
          <w:rFonts w:hint="eastAsia" w:ascii="宋体" w:hAnsi="宋体" w:eastAsia="宋体" w:cs="Times New Roman"/>
          <w:szCs w:val="21"/>
        </w:rPr>
      </w:pPr>
      <w:r>
        <w:rPr>
          <w:rFonts w:hint="eastAsia" w:ascii="宋体" w:hAnsi="宋体" w:eastAsia="宋体" w:cs="Times New Roman"/>
          <w:szCs w:val="21"/>
        </w:rPr>
        <w:t>报价文件递交截止时间：</w:t>
      </w:r>
      <w:r>
        <w:rPr>
          <w:rFonts w:hint="eastAsia" w:ascii="宋体" w:hAnsi="宋体" w:eastAsia="宋体" w:cs="Times New Roman"/>
          <w:color w:val="auto"/>
          <w:szCs w:val="21"/>
        </w:rPr>
        <w:t>2021年</w:t>
      </w: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月</w:t>
      </w:r>
      <w:r>
        <w:rPr>
          <w:rFonts w:hint="eastAsia" w:ascii="宋体" w:hAnsi="宋体" w:cs="Times New Roman"/>
          <w:color w:val="auto"/>
          <w:szCs w:val="21"/>
          <w:lang w:val="en-US" w:eastAsia="zh-CN"/>
        </w:rPr>
        <w:t>16</w:t>
      </w:r>
      <w:r>
        <w:rPr>
          <w:rFonts w:hint="eastAsia" w:ascii="宋体" w:hAnsi="宋体" w:eastAsia="宋体" w:cs="Times New Roman"/>
          <w:color w:val="auto"/>
          <w:szCs w:val="21"/>
        </w:rPr>
        <w:t>日</w:t>
      </w:r>
      <w:r>
        <w:rPr>
          <w:rFonts w:hint="eastAsia" w:ascii="宋体" w:hAnsi="宋体" w:eastAsia="宋体" w:cs="Times New Roman"/>
          <w:szCs w:val="21"/>
        </w:rPr>
        <w:t>，</w:t>
      </w:r>
      <w:r>
        <w:rPr>
          <w:rFonts w:hint="eastAsia" w:ascii="宋体" w:hAnsi="宋体" w:cs="Times New Roman"/>
          <w:szCs w:val="21"/>
          <w:lang w:val="en-US" w:eastAsia="zh-CN"/>
        </w:rPr>
        <w:t>15</w:t>
      </w:r>
      <w:bookmarkStart w:id="154" w:name="_GoBack"/>
      <w:bookmarkEnd w:id="154"/>
      <w:r>
        <w:rPr>
          <w:rFonts w:hint="eastAsia" w:ascii="宋体" w:hAnsi="宋体" w:eastAsia="宋体" w:cs="Times New Roman"/>
          <w:szCs w:val="21"/>
        </w:rPr>
        <w:t>:</w:t>
      </w:r>
      <w:r>
        <w:rPr>
          <w:rFonts w:hint="eastAsia" w:ascii="宋体" w:hAnsi="宋体" w:cs="Times New Roman"/>
          <w:szCs w:val="21"/>
          <w:lang w:val="en-US" w:eastAsia="zh-CN"/>
        </w:rPr>
        <w:t>00</w:t>
      </w:r>
      <w:r>
        <w:rPr>
          <w:rFonts w:hint="eastAsia" w:ascii="宋体" w:hAnsi="宋体" w:eastAsia="宋体" w:cs="Times New Roman"/>
          <w:szCs w:val="21"/>
        </w:rPr>
        <w:t>。（邮寄方式递交的报价文件以文件寄出时间为准）</w:t>
      </w:r>
    </w:p>
    <w:p>
      <w:pPr>
        <w:numPr>
          <w:ilvl w:val="0"/>
          <w:numId w:val="5"/>
        </w:numPr>
        <w:tabs>
          <w:tab w:val="left" w:pos="360"/>
          <w:tab w:val="left" w:pos="780"/>
          <w:tab w:val="clear" w:pos="420"/>
        </w:tabs>
        <w:spacing w:line="360" w:lineRule="auto"/>
        <w:ind w:left="826" w:hanging="400"/>
        <w:rPr>
          <w:rFonts w:hint="eastAsia" w:ascii="宋体" w:hAnsi="宋体" w:eastAsia="宋体" w:cs="Times New Roman"/>
          <w:szCs w:val="21"/>
        </w:rPr>
      </w:pPr>
      <w:r>
        <w:rPr>
          <w:rFonts w:hint="eastAsia" w:ascii="宋体" w:hAnsi="宋体" w:eastAsia="宋体" w:cs="Times New Roman"/>
          <w:szCs w:val="21"/>
        </w:rPr>
        <w:t>报价文件按指定时间、地点送达，逾期递交的报价文件恕不接受。</w:t>
      </w:r>
    </w:p>
    <w:p>
      <w:pPr>
        <w:numPr>
          <w:ilvl w:val="0"/>
          <w:numId w:val="5"/>
        </w:numPr>
        <w:tabs>
          <w:tab w:val="left" w:pos="360"/>
          <w:tab w:val="left" w:pos="780"/>
          <w:tab w:val="clear" w:pos="420"/>
        </w:tabs>
        <w:spacing w:line="360" w:lineRule="auto"/>
        <w:ind w:left="826" w:hanging="400"/>
        <w:rPr>
          <w:rFonts w:hint="eastAsia" w:ascii="宋体" w:hAnsi="宋体" w:eastAsia="宋体" w:cs="Times New Roman"/>
          <w:szCs w:val="21"/>
        </w:rPr>
      </w:pPr>
      <w:r>
        <w:rPr>
          <w:rFonts w:hint="eastAsia" w:ascii="宋体" w:hAnsi="宋体" w:eastAsia="宋体" w:cs="Times New Roman"/>
          <w:color w:val="auto"/>
          <w:szCs w:val="21"/>
        </w:rPr>
        <w:t>采购人不接受以邮件、电话、传真等形式的报价。</w:t>
      </w:r>
    </w:p>
    <w:p>
      <w:pPr>
        <w:pStyle w:val="2"/>
        <w:rPr>
          <w:rFonts w:hint="eastAsia"/>
        </w:rPr>
      </w:pPr>
    </w:p>
    <w:p>
      <w:pPr>
        <w:numPr>
          <w:ilvl w:val="0"/>
          <w:numId w:val="2"/>
        </w:numPr>
        <w:tabs>
          <w:tab w:val="clear" w:pos="360"/>
        </w:tabs>
        <w:spacing w:line="360" w:lineRule="auto"/>
        <w:ind w:left="426" w:hanging="426" w:hangingChars="202"/>
        <w:rPr>
          <w:rFonts w:hint="eastAsia" w:ascii="宋体"/>
          <w:b/>
          <w:bCs/>
          <w:szCs w:val="21"/>
        </w:rPr>
      </w:pPr>
      <w:r>
        <w:rPr>
          <w:rFonts w:hint="eastAsia" w:ascii="宋体"/>
          <w:b/>
          <w:bCs/>
          <w:szCs w:val="21"/>
        </w:rPr>
        <w:t>本项目不设未成交供应商经济补偿，准备报价文件和递交报价文件所发生的任何成本或费用由供应商自理。</w:t>
      </w:r>
    </w:p>
    <w:p>
      <w:pPr>
        <w:numPr>
          <w:ilvl w:val="0"/>
          <w:numId w:val="2"/>
        </w:numPr>
        <w:tabs>
          <w:tab w:val="left" w:pos="540"/>
        </w:tabs>
        <w:spacing w:line="360" w:lineRule="auto"/>
        <w:rPr>
          <w:rFonts w:hint="eastAsia" w:ascii="宋体"/>
          <w:b/>
          <w:bCs/>
          <w:szCs w:val="21"/>
        </w:rPr>
      </w:pPr>
      <w:r>
        <w:rPr>
          <w:rFonts w:hint="eastAsia" w:ascii="宋体"/>
          <w:b/>
          <w:bCs/>
          <w:szCs w:val="21"/>
        </w:rPr>
        <w:t>有关此次采购之事宜，可按下列方式向采购人咨询：</w:t>
      </w:r>
    </w:p>
    <w:p>
      <w:pPr>
        <w:tabs>
          <w:tab w:val="left" w:pos="540"/>
        </w:tabs>
        <w:spacing w:line="360" w:lineRule="auto"/>
        <w:ind w:left="357" w:firstLine="67" w:firstLineChars="32"/>
        <w:rPr>
          <w:rFonts w:ascii="宋体"/>
          <w:szCs w:val="21"/>
        </w:rPr>
      </w:pPr>
      <w:r>
        <w:rPr>
          <w:rFonts w:hint="eastAsia" w:ascii="宋体"/>
          <w:szCs w:val="21"/>
        </w:rPr>
        <w:t>供应商可采用电话咨询、邮件咨询或者现场咨询等方式，了解本次采购有关事宜。</w:t>
      </w:r>
    </w:p>
    <w:p>
      <w:pPr>
        <w:tabs>
          <w:tab w:val="left" w:pos="540"/>
        </w:tabs>
        <w:spacing w:line="360" w:lineRule="auto"/>
        <w:ind w:left="357" w:firstLine="67" w:firstLineChars="32"/>
        <w:rPr>
          <w:rFonts w:hint="eastAsia" w:ascii="宋体"/>
          <w:szCs w:val="21"/>
        </w:rPr>
      </w:pPr>
      <w:r>
        <w:rPr>
          <w:rFonts w:hint="eastAsia" w:ascii="宋体"/>
          <w:szCs w:val="21"/>
        </w:rPr>
        <w:t>采购人：广东省机场管理集团有限公司</w:t>
      </w:r>
    </w:p>
    <w:p>
      <w:pPr>
        <w:tabs>
          <w:tab w:val="left" w:pos="2127"/>
        </w:tabs>
        <w:spacing w:line="360" w:lineRule="auto"/>
        <w:ind w:left="1274" w:leftChars="202" w:hanging="850" w:hangingChars="405"/>
        <w:rPr>
          <w:rFonts w:ascii="宋体"/>
          <w:szCs w:val="21"/>
        </w:rPr>
      </w:pPr>
      <w:r>
        <w:rPr>
          <w:rFonts w:hint="eastAsia" w:ascii="宋体"/>
          <w:szCs w:val="21"/>
        </w:rPr>
        <w:t>地  址：广东省广州市白云区机场路282号</w:t>
      </w:r>
    </w:p>
    <w:p>
      <w:pPr>
        <w:tabs>
          <w:tab w:val="left" w:pos="2127"/>
        </w:tabs>
        <w:spacing w:line="360" w:lineRule="auto"/>
        <w:ind w:left="1133" w:leftChars="203" w:hanging="707" w:hangingChars="337"/>
        <w:rPr>
          <w:rFonts w:hint="eastAsia" w:ascii="宋体" w:hAnsi="宋体"/>
          <w:szCs w:val="21"/>
        </w:rPr>
      </w:pPr>
      <w:r>
        <w:rPr>
          <w:rFonts w:hint="eastAsia" w:ascii="宋体" w:hAnsi="宋体"/>
          <w:szCs w:val="21"/>
        </w:rPr>
        <w:t>联系人：</w:t>
      </w:r>
      <w:r>
        <w:rPr>
          <w:rFonts w:hint="eastAsia" w:ascii="宋体" w:hAnsi="宋体"/>
          <w:szCs w:val="21"/>
          <w:lang w:eastAsia="zh-CN"/>
        </w:rPr>
        <w:t>谭</w:t>
      </w:r>
      <w:r>
        <w:rPr>
          <w:rFonts w:hint="eastAsia" w:ascii="宋体" w:hAnsi="宋体"/>
          <w:szCs w:val="21"/>
        </w:rPr>
        <w:t>先生</w:t>
      </w:r>
    </w:p>
    <w:p>
      <w:pPr>
        <w:tabs>
          <w:tab w:val="left" w:pos="2127"/>
        </w:tabs>
        <w:spacing w:line="360" w:lineRule="auto"/>
        <w:ind w:left="1133" w:leftChars="203" w:hanging="707" w:hangingChars="337"/>
        <w:rPr>
          <w:rFonts w:hint="default" w:ascii="宋体" w:hAnsi="宋体" w:eastAsia="宋体"/>
          <w:szCs w:val="21"/>
          <w:lang w:val="en-US" w:eastAsia="zh-CN"/>
        </w:rPr>
      </w:pPr>
      <w:r>
        <w:rPr>
          <w:rFonts w:hint="eastAsia" w:ascii="宋体" w:hAnsi="宋体"/>
          <w:szCs w:val="21"/>
        </w:rPr>
        <w:t>联系电话：</w:t>
      </w:r>
      <w:r>
        <w:rPr>
          <w:rFonts w:hint="eastAsia" w:ascii="宋体"/>
          <w:szCs w:val="21"/>
        </w:rPr>
        <w:t>020-</w:t>
      </w:r>
      <w:r>
        <w:rPr>
          <w:rFonts w:hint="eastAsia" w:ascii="宋体" w:hAnsi="宋体"/>
          <w:color w:val="auto"/>
          <w:szCs w:val="21"/>
        </w:rPr>
        <w:t>861</w:t>
      </w:r>
      <w:r>
        <w:rPr>
          <w:rFonts w:hint="eastAsia" w:ascii="宋体" w:hAnsi="宋体"/>
          <w:color w:val="auto"/>
          <w:szCs w:val="21"/>
          <w:lang w:val="en-US" w:eastAsia="zh-CN"/>
        </w:rPr>
        <w:t>29341</w:t>
      </w:r>
    </w:p>
    <w:p>
      <w:pPr>
        <w:numPr>
          <w:ilvl w:val="0"/>
          <w:numId w:val="2"/>
        </w:numPr>
        <w:tabs>
          <w:tab w:val="left" w:pos="540"/>
        </w:tabs>
        <w:spacing w:line="360" w:lineRule="auto"/>
        <w:rPr>
          <w:rFonts w:hint="eastAsia" w:ascii="宋体"/>
          <w:b/>
          <w:bCs/>
          <w:szCs w:val="21"/>
        </w:rPr>
      </w:pPr>
      <w:r>
        <w:rPr>
          <w:rFonts w:hint="eastAsia" w:ascii="宋体"/>
          <w:b/>
          <w:bCs/>
          <w:szCs w:val="21"/>
        </w:rPr>
        <w:t>投诉监督</w:t>
      </w:r>
    </w:p>
    <w:p>
      <w:pPr>
        <w:tabs>
          <w:tab w:val="left" w:pos="540"/>
        </w:tabs>
        <w:spacing w:line="360" w:lineRule="auto"/>
        <w:ind w:left="424" w:leftChars="202"/>
        <w:rPr>
          <w:rFonts w:hint="eastAsia" w:ascii="宋体"/>
          <w:szCs w:val="21"/>
        </w:rPr>
      </w:pPr>
      <w:r>
        <w:rPr>
          <w:rFonts w:hint="eastAsia" w:ascii="宋体"/>
          <w:szCs w:val="21"/>
        </w:rPr>
        <w:t>供应商可以对本次采购活动中的任何违法及不公平内容向广东省机场管理集团有限公司</w:t>
      </w:r>
      <w:r>
        <w:rPr>
          <w:rFonts w:hint="eastAsia" w:ascii="宋体" w:hAnsi="宋体"/>
          <w:color w:val="auto"/>
          <w:szCs w:val="21"/>
        </w:rPr>
        <w:t>建设管理部</w:t>
      </w:r>
      <w:r>
        <w:rPr>
          <w:rFonts w:hint="eastAsia" w:ascii="宋体"/>
          <w:szCs w:val="21"/>
        </w:rPr>
        <w:t>部</w:t>
      </w:r>
      <w:r>
        <w:rPr>
          <w:rFonts w:hint="eastAsia" w:ascii="宋体" w:hAnsi="宋体"/>
          <w:color w:val="auto"/>
          <w:szCs w:val="21"/>
        </w:rPr>
        <w:t>马小姐</w:t>
      </w:r>
      <w:r>
        <w:rPr>
          <w:rFonts w:hint="eastAsia" w:ascii="宋体"/>
          <w:szCs w:val="21"/>
        </w:rPr>
        <w:t>投诉。</w:t>
      </w:r>
    </w:p>
    <w:p>
      <w:pPr>
        <w:tabs>
          <w:tab w:val="left" w:pos="540"/>
        </w:tabs>
        <w:spacing w:line="360" w:lineRule="auto"/>
        <w:ind w:left="424" w:leftChars="202"/>
        <w:rPr>
          <w:rFonts w:ascii="宋体"/>
          <w:szCs w:val="21"/>
        </w:rPr>
      </w:pPr>
      <w:r>
        <w:rPr>
          <w:rFonts w:hint="eastAsia" w:ascii="宋体"/>
          <w:szCs w:val="21"/>
        </w:rPr>
        <w:t>联系电话：020-</w:t>
      </w:r>
      <w:r>
        <w:rPr>
          <w:rFonts w:hint="eastAsia" w:ascii="宋体" w:hAnsi="宋体"/>
          <w:color w:val="auto"/>
          <w:szCs w:val="21"/>
        </w:rPr>
        <w:t>86130371</w:t>
      </w:r>
    </w:p>
    <w:p>
      <w:pPr>
        <w:widowControl/>
        <w:tabs>
          <w:tab w:val="left" w:pos="720"/>
        </w:tabs>
        <w:autoSpaceDE w:val="0"/>
        <w:autoSpaceDN w:val="0"/>
        <w:spacing w:line="400" w:lineRule="exact"/>
        <w:textAlignment w:val="bottom"/>
        <w:rPr>
          <w:rFonts w:hint="eastAsia"/>
        </w:rPr>
      </w:pPr>
    </w:p>
    <w:p>
      <w:pPr>
        <w:widowControl/>
        <w:tabs>
          <w:tab w:val="left" w:pos="567"/>
        </w:tabs>
        <w:autoSpaceDE w:val="0"/>
        <w:autoSpaceDN w:val="0"/>
        <w:spacing w:line="360" w:lineRule="auto"/>
        <w:ind w:left="567" w:hanging="567"/>
        <w:jc w:val="left"/>
        <w:textAlignment w:val="bottom"/>
        <w:rPr>
          <w:rFonts w:hint="eastAsia"/>
        </w:rPr>
        <w:sectPr>
          <w:footerReference r:id="rId10" w:type="first"/>
          <w:footerReference r:id="rId9" w:type="default"/>
          <w:pgSz w:w="11906" w:h="16838"/>
          <w:pgMar w:top="1286" w:right="1616" w:bottom="1246" w:left="1701" w:header="737" w:footer="680" w:gutter="0"/>
          <w:cols w:space="720" w:num="1"/>
          <w:docGrid w:type="lines" w:linePitch="312" w:charSpace="0"/>
        </w:sect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hint="eastAsia" w:eastAsia="黑体"/>
        </w:rPr>
      </w:pPr>
    </w:p>
    <w:p>
      <w:pPr>
        <w:widowControl/>
        <w:tabs>
          <w:tab w:val="left" w:pos="567"/>
        </w:tabs>
        <w:autoSpaceDE w:val="0"/>
        <w:autoSpaceDN w:val="0"/>
        <w:ind w:left="567" w:hanging="567"/>
        <w:jc w:val="center"/>
        <w:textAlignment w:val="bottom"/>
        <w:rPr>
          <w:rFonts w:eastAsia="黑体"/>
          <w:b/>
          <w:sz w:val="44"/>
        </w:rPr>
      </w:pPr>
      <w:r>
        <w:rPr>
          <w:rFonts w:hint="eastAsia" w:eastAsia="黑体"/>
          <w:b/>
          <w:sz w:val="52"/>
        </w:rPr>
        <w:t>第二部分</w:t>
      </w: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hint="eastAsia" w:eastAsia="黑体"/>
          <w:b/>
          <w:sz w:val="44"/>
        </w:rPr>
      </w:pPr>
    </w:p>
    <w:p>
      <w:pPr>
        <w:widowControl/>
        <w:tabs>
          <w:tab w:val="left" w:pos="567"/>
        </w:tabs>
        <w:autoSpaceDE w:val="0"/>
        <w:autoSpaceDN w:val="0"/>
        <w:ind w:left="567" w:hanging="567"/>
        <w:jc w:val="center"/>
        <w:textAlignment w:val="bottom"/>
        <w:rPr>
          <w:rFonts w:eastAsia="黑体"/>
          <w:b/>
          <w:sz w:val="52"/>
        </w:rPr>
      </w:pPr>
      <w:r>
        <w:rPr>
          <w:rFonts w:hint="eastAsia" w:eastAsia="黑体"/>
          <w:b/>
          <w:sz w:val="52"/>
        </w:rPr>
        <w:t>供 应 商</w:t>
      </w:r>
      <w:r>
        <w:rPr>
          <w:rFonts w:eastAsia="黑体"/>
          <w:b/>
          <w:sz w:val="52"/>
        </w:rPr>
        <w:t xml:space="preserve"> </w:t>
      </w:r>
      <w:r>
        <w:rPr>
          <w:rFonts w:hint="eastAsia" w:eastAsia="黑体"/>
          <w:b/>
          <w:sz w:val="52"/>
        </w:rPr>
        <w:t>须</w:t>
      </w:r>
      <w:r>
        <w:rPr>
          <w:rFonts w:eastAsia="黑体"/>
          <w:b/>
          <w:sz w:val="52"/>
        </w:rPr>
        <w:t xml:space="preserve"> </w:t>
      </w:r>
      <w:r>
        <w:rPr>
          <w:rFonts w:hint="eastAsia" w:eastAsia="黑体"/>
          <w:b/>
          <w:sz w:val="52"/>
        </w:rPr>
        <w:t>知</w:t>
      </w:r>
    </w:p>
    <w:p>
      <w:pPr>
        <w:rPr>
          <w:rFonts w:hint="eastAsia" w:eastAsia="黑体"/>
        </w:rPr>
      </w:pPr>
    </w:p>
    <w:p>
      <w:pPr>
        <w:rPr>
          <w:rFonts w:hint="eastAsia" w:eastAsia="黑体"/>
        </w:rPr>
      </w:pPr>
    </w:p>
    <w:p>
      <w:pPr>
        <w:spacing w:line="312" w:lineRule="auto"/>
        <w:outlineLvl w:val="0"/>
        <w:rPr>
          <w:rFonts w:hint="eastAsia" w:eastAsia="黑体"/>
          <w:b/>
          <w:sz w:val="28"/>
          <w:szCs w:val="28"/>
        </w:rPr>
      </w:pPr>
    </w:p>
    <w:p>
      <w:pPr>
        <w:spacing w:line="360" w:lineRule="auto"/>
        <w:jc w:val="center"/>
        <w:outlineLvl w:val="0"/>
        <w:rPr>
          <w:rFonts w:hint="eastAsia" w:ascii="宋体" w:hAnsi="宋体"/>
          <w:b/>
          <w:sz w:val="24"/>
          <w:szCs w:val="24"/>
        </w:rPr>
      </w:pPr>
      <w:r>
        <w:rPr>
          <w:rFonts w:hint="eastAsia" w:ascii="宋体" w:hAnsi="宋体"/>
          <w:b/>
          <w:sz w:val="24"/>
          <w:szCs w:val="24"/>
        </w:rPr>
        <w:br w:type="page"/>
      </w:r>
      <w:r>
        <w:rPr>
          <w:rFonts w:hint="eastAsia" w:ascii="宋体" w:hAnsi="宋体"/>
          <w:b/>
          <w:sz w:val="24"/>
          <w:szCs w:val="24"/>
        </w:rPr>
        <w:t>目  录</w:t>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color w:val="auto"/>
          <w:sz w:val="24"/>
          <w:szCs w:val="24"/>
        </w:rPr>
        <w:instrText xml:space="preserve"> TOC \o "1-3" \h \z </w:instrText>
      </w:r>
      <w:r>
        <w:rPr>
          <w:rFonts w:ascii="黑体" w:hAnsi="黑体"/>
          <w:b w:val="0"/>
          <w:sz w:val="24"/>
          <w:szCs w:val="24"/>
        </w:rPr>
        <w:fldChar w:fldCharType="separate"/>
      </w: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"_Toc22149440"</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一、说   明</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_Toc22149440 \h </w:instrText>
      </w:r>
      <w:r>
        <w:rPr>
          <w:rFonts w:ascii="黑体" w:hAnsi="黑体"/>
          <w:b w:val="0"/>
          <w:sz w:val="24"/>
          <w:szCs w:val="24"/>
        </w:rPr>
        <w:fldChar w:fldCharType="separate"/>
      </w:r>
      <w:r>
        <w:rPr>
          <w:rFonts w:ascii="黑体" w:hAnsi="黑体"/>
          <w:b w:val="0"/>
          <w:sz w:val="24"/>
          <w:szCs w:val="24"/>
        </w:rPr>
        <w:t>10</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"_Toc22149441"</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项目说明</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_Toc22149441 \h </w:instrText>
      </w:r>
      <w:r>
        <w:rPr>
          <w:rFonts w:ascii="黑体" w:hAnsi="黑体" w:eastAsia="黑体"/>
          <w:b w:val="0"/>
          <w:bCs/>
          <w:sz w:val="24"/>
          <w:szCs w:val="24"/>
        </w:rPr>
        <w:fldChar w:fldCharType="separate"/>
      </w:r>
      <w:r>
        <w:rPr>
          <w:rFonts w:ascii="黑体" w:hAnsi="黑体" w:eastAsia="黑体"/>
          <w:b w:val="0"/>
          <w:bCs/>
          <w:sz w:val="24"/>
          <w:szCs w:val="24"/>
        </w:rPr>
        <w:t>10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"_Toc22149442"</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定义</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_Toc22149442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"_Toc22149443"</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合格的</w:t>
      </w:r>
      <w:r>
        <w:rPr>
          <w:rStyle w:val="18"/>
          <w:rFonts w:hint="eastAsia" w:ascii="黑体" w:hAnsi="黑体" w:eastAsia="黑体"/>
          <w:b w:val="0"/>
          <w:bCs/>
          <w:sz w:val="24"/>
          <w:szCs w:val="24"/>
          <w:lang w:val="en-US" w:eastAsia="zh-CN"/>
        </w:rPr>
        <w:t>供应商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_Toc22149443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"_Toc22149444"</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4</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合格的服务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_Toc22149444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"_Toc22149445"</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5</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报价费用</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_Toc22149445 \h </w:instrText>
      </w:r>
      <w:r>
        <w:rPr>
          <w:rFonts w:ascii="黑体" w:hAnsi="黑体" w:eastAsia="黑体"/>
          <w:b w:val="0"/>
          <w:bCs/>
          <w:sz w:val="24"/>
          <w:szCs w:val="24"/>
        </w:rPr>
        <w:fldChar w:fldCharType="separate"/>
      </w:r>
      <w:r>
        <w:rPr>
          <w:rFonts w:ascii="黑体" w:hAnsi="黑体" w:eastAsia="黑体"/>
          <w:b w:val="0"/>
          <w:bCs/>
          <w:sz w:val="24"/>
          <w:szCs w:val="24"/>
        </w:rPr>
        <w:t>11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"_Toc22149446"</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二、采购文件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_Toc22149446 \h </w:instrText>
      </w:r>
      <w:r>
        <w:rPr>
          <w:rFonts w:ascii="黑体" w:hAnsi="黑体"/>
          <w:b w:val="0"/>
          <w:sz w:val="24"/>
          <w:szCs w:val="24"/>
        </w:rPr>
        <w:fldChar w:fldCharType="separate"/>
      </w:r>
      <w:r>
        <w:rPr>
          <w:rFonts w:ascii="黑体" w:hAnsi="黑体"/>
          <w:b w:val="0"/>
          <w:sz w:val="24"/>
          <w:szCs w:val="24"/>
        </w:rPr>
        <w:t>12</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"_Toc22149447"</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6</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采购文件构成</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_Toc22149447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"_Toc22149448"</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7</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采购文件的澄清</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_Toc22149448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"_Toc22149449"</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8</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采购文件的修改</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_Toc22149449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"_Toc22149450"</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9</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采购语言及计量单位</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_Toc22149450 \h </w:instrText>
      </w:r>
      <w:r>
        <w:rPr>
          <w:rFonts w:ascii="黑体" w:hAnsi="黑体" w:eastAsia="黑体"/>
          <w:b w:val="0"/>
          <w:bCs/>
          <w:sz w:val="24"/>
          <w:szCs w:val="24"/>
        </w:rPr>
        <w:fldChar w:fldCharType="separate"/>
      </w:r>
      <w:r>
        <w:rPr>
          <w:rFonts w:ascii="黑体" w:hAnsi="黑体" w:eastAsia="黑体"/>
          <w:b w:val="0"/>
          <w:bCs/>
          <w:sz w:val="24"/>
          <w:szCs w:val="24"/>
        </w:rPr>
        <w:t>12</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"_Toc22149451"</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三、项目报价文件的编制</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_Toc22149451 \h </w:instrText>
      </w:r>
      <w:r>
        <w:rPr>
          <w:rFonts w:ascii="黑体" w:hAnsi="黑体"/>
          <w:b w:val="0"/>
          <w:sz w:val="24"/>
          <w:szCs w:val="24"/>
        </w:rPr>
        <w:fldChar w:fldCharType="separate"/>
      </w:r>
      <w:r>
        <w:rPr>
          <w:rFonts w:ascii="黑体" w:hAnsi="黑体"/>
          <w:b w:val="0"/>
          <w:sz w:val="24"/>
          <w:szCs w:val="24"/>
        </w:rPr>
        <w:t>13</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"_Toc22149452"</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10</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_Toc22149452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"_Toc22149453"</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11</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商务文件（含资格审查文件）编制要求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_Toc22149453 \h </w:instrText>
      </w:r>
      <w:r>
        <w:rPr>
          <w:rFonts w:ascii="黑体" w:hAnsi="黑体" w:eastAsia="黑体"/>
          <w:b w:val="0"/>
          <w:bCs/>
          <w:sz w:val="24"/>
          <w:szCs w:val="24"/>
        </w:rPr>
        <w:fldChar w:fldCharType="separate"/>
      </w:r>
      <w:r>
        <w:rPr>
          <w:rFonts w:ascii="黑体" w:hAnsi="黑体" w:eastAsia="黑体"/>
          <w:b w:val="0"/>
          <w:bCs/>
          <w:sz w:val="24"/>
          <w:szCs w:val="24"/>
        </w:rPr>
        <w:t>13</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"_Toc22149454"</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12</w:t>
      </w:r>
      <w:r>
        <w:rPr>
          <w:rFonts w:ascii="黑体" w:hAnsi="黑体" w:eastAsia="黑体"/>
          <w:b w:val="0"/>
          <w:bCs/>
          <w:smallCaps w:val="0"/>
          <w:color w:val="auto"/>
          <w:sz w:val="24"/>
          <w:szCs w:val="24"/>
          <w:lang w:val="en-US" w:eastAsia="zh-CN"/>
        </w:rPr>
        <w:tab/>
      </w:r>
      <w:r>
        <w:rPr>
          <w:rStyle w:val="18"/>
          <w:rFonts w:hint="eastAsia" w:ascii="黑体" w:hAnsi="黑体" w:eastAsia="黑体"/>
          <w:b w:val="0"/>
          <w:bCs/>
          <w:sz w:val="24"/>
          <w:szCs w:val="24"/>
          <w:lang w:eastAsia="zh-CN"/>
        </w:rPr>
        <w:t>服务文件</w:t>
      </w:r>
      <w:r>
        <w:rPr>
          <w:rStyle w:val="18"/>
          <w:rFonts w:ascii="黑体" w:hAnsi="黑体" w:eastAsia="黑体"/>
          <w:b w:val="0"/>
          <w:bCs/>
          <w:sz w:val="24"/>
          <w:szCs w:val="24"/>
        </w:rPr>
        <w:t>（服务方案）编制要求</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_Toc22149454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"_Toc22149455"</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13</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计算机文件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_Toc22149455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"_Toc22149456"</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14</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知识产权和专利权</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_Toc22149456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"_Toc22149457"</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15</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保密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_Toc22149457 \h </w:instrText>
      </w:r>
      <w:r>
        <w:rPr>
          <w:rFonts w:ascii="黑体" w:hAnsi="黑体" w:eastAsia="黑体"/>
          <w:b w:val="0"/>
          <w:bCs/>
          <w:sz w:val="24"/>
          <w:szCs w:val="24"/>
        </w:rPr>
        <w:fldChar w:fldCharType="separate"/>
      </w:r>
      <w:r>
        <w:rPr>
          <w:rFonts w:ascii="黑体" w:hAnsi="黑体" w:eastAsia="黑体"/>
          <w:b w:val="0"/>
          <w:bCs/>
          <w:sz w:val="24"/>
          <w:szCs w:val="24"/>
        </w:rPr>
        <w:t>14</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"_Toc22149458"</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16</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报价文件有效期</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_Toc22149458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"_Toc22149459"</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17</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不允许偏离的条款</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_Toc22149459 \h </w:instrText>
      </w:r>
      <w:r>
        <w:rPr>
          <w:rFonts w:ascii="黑体" w:hAnsi="黑体" w:eastAsia="黑体"/>
          <w:b w:val="0"/>
          <w:bCs/>
          <w:sz w:val="24"/>
          <w:szCs w:val="24"/>
        </w:rPr>
        <w:fldChar w:fldCharType="separate"/>
      </w:r>
      <w:r>
        <w:rPr>
          <w:rFonts w:ascii="黑体" w:hAnsi="黑体" w:eastAsia="黑体"/>
          <w:b w:val="0"/>
          <w:bCs/>
          <w:sz w:val="24"/>
          <w:szCs w:val="24"/>
        </w:rPr>
        <w:t>15</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"_Toc22149460"</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四、项目报价文件的递交</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_Toc22149460 \h </w:instrText>
      </w:r>
      <w:r>
        <w:rPr>
          <w:rFonts w:ascii="黑体" w:hAnsi="黑体"/>
          <w:b w:val="0"/>
          <w:sz w:val="24"/>
          <w:szCs w:val="24"/>
        </w:rPr>
        <w:fldChar w:fldCharType="separate"/>
      </w:r>
      <w:r>
        <w:rPr>
          <w:rFonts w:ascii="黑体" w:hAnsi="黑体"/>
          <w:b w:val="0"/>
          <w:sz w:val="24"/>
          <w:szCs w:val="24"/>
        </w:rPr>
        <w:t>16</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"_Toc22149461"</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18</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项目报价文件的密封和标记</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_Toc22149461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"_Toc22149462"</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19</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递交报价文件截止时间</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_Toc22149462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"_Toc22149463"</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20</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迟交的项目报价文件</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_Toc22149463 \h </w:instrText>
      </w:r>
      <w:r>
        <w:rPr>
          <w:rFonts w:ascii="黑体" w:hAnsi="黑体" w:eastAsia="黑体"/>
          <w:b w:val="0"/>
          <w:bCs/>
          <w:sz w:val="24"/>
          <w:szCs w:val="24"/>
        </w:rPr>
        <w:fldChar w:fldCharType="separate"/>
      </w:r>
      <w:r>
        <w:rPr>
          <w:rFonts w:ascii="黑体" w:hAnsi="黑体" w:eastAsia="黑体"/>
          <w:b w:val="0"/>
          <w:bCs/>
          <w:sz w:val="24"/>
          <w:szCs w:val="24"/>
        </w:rPr>
        <w:t>16</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"_Toc22149464"</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五、综合评审过程</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_Toc22149464 \h </w:instrText>
      </w:r>
      <w:r>
        <w:rPr>
          <w:rFonts w:ascii="黑体" w:hAnsi="黑体"/>
          <w:b w:val="0"/>
          <w:sz w:val="24"/>
          <w:szCs w:val="24"/>
        </w:rPr>
        <w:fldChar w:fldCharType="separate"/>
      </w:r>
      <w:r>
        <w:rPr>
          <w:rFonts w:ascii="黑体" w:hAnsi="黑体"/>
          <w:b w:val="0"/>
          <w:sz w:val="24"/>
          <w:szCs w:val="24"/>
        </w:rPr>
        <w:t>17</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"_Toc22149465"</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21</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报价文件的递交</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_Toc22149465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"_Toc22149466"</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22</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评审小组</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_Toc22149466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"_Toc22149467"</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23</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项目报价文件的评审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_Toc22149467 \h </w:instrText>
      </w:r>
      <w:r>
        <w:rPr>
          <w:rFonts w:ascii="黑体" w:hAnsi="黑体" w:eastAsia="黑体"/>
          <w:b w:val="0"/>
          <w:bCs/>
          <w:sz w:val="24"/>
          <w:szCs w:val="24"/>
        </w:rPr>
        <w:fldChar w:fldCharType="separate"/>
      </w:r>
      <w:r>
        <w:rPr>
          <w:rFonts w:ascii="黑体" w:hAnsi="黑体" w:eastAsia="黑体"/>
          <w:b w:val="0"/>
          <w:bCs/>
          <w:sz w:val="24"/>
          <w:szCs w:val="24"/>
        </w:rPr>
        <w:t>17</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"_Toc22149468"</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24</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报价文件的详细评审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_Toc22149468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"_Toc22149469"</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25</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综合得分计算</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_Toc22149469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"_Toc22149470"</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26</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成交</w:t>
      </w:r>
      <w:r>
        <w:rPr>
          <w:rStyle w:val="18"/>
          <w:rFonts w:hint="eastAsia" w:ascii="黑体" w:hAnsi="黑体" w:eastAsia="黑体"/>
          <w:b w:val="0"/>
          <w:bCs/>
          <w:sz w:val="24"/>
          <w:szCs w:val="24"/>
          <w:lang w:val="en-US" w:eastAsia="zh-CN"/>
        </w:rPr>
        <w:t>供应商</w:t>
      </w:r>
      <w:r>
        <w:rPr>
          <w:rStyle w:val="18"/>
          <w:rFonts w:ascii="黑体" w:hAnsi="黑体" w:eastAsia="黑体"/>
          <w:b w:val="0"/>
          <w:bCs/>
          <w:sz w:val="24"/>
          <w:szCs w:val="24"/>
        </w:rPr>
        <w:t>的确定</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_Toc22149470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"_Toc22149471"</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27</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与采购人的接触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_Toc22149471 \h </w:instrText>
      </w:r>
      <w:r>
        <w:rPr>
          <w:rFonts w:ascii="黑体" w:hAnsi="黑体" w:eastAsia="黑体"/>
          <w:b w:val="0"/>
          <w:bCs/>
          <w:sz w:val="24"/>
          <w:szCs w:val="24"/>
        </w:rPr>
        <w:fldChar w:fldCharType="separate"/>
      </w:r>
      <w:r>
        <w:rPr>
          <w:rFonts w:ascii="黑体" w:hAnsi="黑体" w:eastAsia="黑体"/>
          <w:b w:val="0"/>
          <w:bCs/>
          <w:sz w:val="24"/>
          <w:szCs w:val="24"/>
        </w:rPr>
        <w:t>18</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"_Toc22149472"</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六、授予合同</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_Toc22149472 \h </w:instrText>
      </w:r>
      <w:r>
        <w:rPr>
          <w:rFonts w:ascii="黑体" w:hAnsi="黑体"/>
          <w:b w:val="0"/>
          <w:sz w:val="24"/>
          <w:szCs w:val="24"/>
        </w:rPr>
        <w:fldChar w:fldCharType="separate"/>
      </w:r>
      <w:r>
        <w:rPr>
          <w:rFonts w:ascii="黑体" w:hAnsi="黑体"/>
          <w:b w:val="0"/>
          <w:sz w:val="24"/>
          <w:szCs w:val="24"/>
        </w:rPr>
        <w:t>20</w:t>
      </w:r>
      <w:r>
        <w:rPr>
          <w:rFonts w:ascii="黑体" w:hAnsi="黑体"/>
          <w:b w:val="0"/>
          <w:sz w:val="24"/>
          <w:szCs w:val="24"/>
        </w:rPr>
        <w:fldChar w:fldCharType="end"/>
      </w:r>
      <w:r>
        <w:rPr>
          <w:rFonts w:ascii="黑体" w:hAnsi="黑体"/>
          <w:b w:val="0"/>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"_Toc22149473"</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28</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资格后审</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_Toc22149473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"_Toc22149474"</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29</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合同授予标准</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_Toc22149474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"_Toc22149475"</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30</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授予合同时更改采购服务数量的权力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_Toc22149475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"_Toc22149476"</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31</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接受和拒绝任何或所有报价文件的权力</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_Toc22149476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"_Toc22149477"</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32</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成交通知书</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_Toc22149477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"_Toc22149478"</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33</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签订合同</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_Toc22149478 \h </w:instrText>
      </w:r>
      <w:r>
        <w:rPr>
          <w:rFonts w:ascii="黑体" w:hAnsi="黑体" w:eastAsia="黑体"/>
          <w:b w:val="0"/>
          <w:bCs/>
          <w:sz w:val="24"/>
          <w:szCs w:val="24"/>
        </w:rPr>
        <w:fldChar w:fldCharType="separate"/>
      </w:r>
      <w:r>
        <w:rPr>
          <w:rFonts w:ascii="黑体" w:hAnsi="黑体" w:eastAsia="黑体"/>
          <w:b w:val="0"/>
          <w:bCs/>
          <w:sz w:val="24"/>
          <w:szCs w:val="24"/>
        </w:rPr>
        <w:t>20</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3"/>
        <w:spacing w:line="440" w:lineRule="exact"/>
        <w:rPr>
          <w:rFonts w:ascii="黑体" w:hAnsi="黑体" w:eastAsia="黑体"/>
          <w:b w:val="0"/>
          <w:bCs/>
          <w:smallCaps w:val="0"/>
          <w:color w:val="auto"/>
          <w:sz w:val="24"/>
          <w:szCs w:val="24"/>
          <w:lang w:val="en-US" w:eastAsia="zh-CN"/>
        </w:rPr>
      </w:pPr>
      <w:r>
        <w:rPr>
          <w:rFonts w:ascii="黑体" w:hAnsi="黑体" w:eastAsia="黑体"/>
          <w:b w:val="0"/>
          <w:bCs/>
          <w:sz w:val="24"/>
          <w:szCs w:val="24"/>
        </w:rPr>
        <w:fldChar w:fldCharType="begin"/>
      </w:r>
      <w:r>
        <w:rPr>
          <w:rStyle w:val="18"/>
          <w:rFonts w:ascii="黑体" w:hAnsi="黑体" w:eastAsia="黑体"/>
          <w:b w:val="0"/>
          <w:bCs/>
          <w:sz w:val="24"/>
          <w:szCs w:val="24"/>
        </w:rPr>
        <w:instrText xml:space="preserve"> </w:instrText>
      </w:r>
      <w:r>
        <w:rPr>
          <w:rFonts w:ascii="黑体" w:hAnsi="黑体" w:eastAsia="黑体"/>
          <w:b w:val="0"/>
          <w:bCs/>
          <w:sz w:val="24"/>
          <w:szCs w:val="24"/>
        </w:rPr>
        <w:instrText xml:space="preserve">HYPERLINK \l "_Toc22149479"</w:instrText>
      </w:r>
      <w:r>
        <w:rPr>
          <w:rStyle w:val="18"/>
          <w:rFonts w:ascii="黑体" w:hAnsi="黑体" w:eastAsia="黑体"/>
          <w:b w:val="0"/>
          <w:bCs/>
          <w:sz w:val="24"/>
          <w:szCs w:val="24"/>
        </w:rPr>
        <w:instrText xml:space="preserve"> </w:instrText>
      </w:r>
      <w:r>
        <w:rPr>
          <w:rFonts w:ascii="黑体" w:hAnsi="黑体" w:eastAsia="黑体"/>
          <w:b w:val="0"/>
          <w:bCs/>
          <w:sz w:val="24"/>
          <w:szCs w:val="24"/>
        </w:rPr>
        <w:fldChar w:fldCharType="separate"/>
      </w:r>
      <w:r>
        <w:rPr>
          <w:rStyle w:val="18"/>
          <w:rFonts w:ascii="黑体" w:hAnsi="黑体" w:eastAsia="黑体"/>
          <w:b w:val="0"/>
          <w:bCs/>
          <w:sz w:val="24"/>
          <w:szCs w:val="24"/>
        </w:rPr>
        <w:t>34</w:t>
      </w:r>
      <w:r>
        <w:rPr>
          <w:rFonts w:ascii="黑体" w:hAnsi="黑体" w:eastAsia="黑体"/>
          <w:b w:val="0"/>
          <w:bCs/>
          <w:smallCaps w:val="0"/>
          <w:color w:val="auto"/>
          <w:sz w:val="24"/>
          <w:szCs w:val="24"/>
          <w:lang w:val="en-US" w:eastAsia="zh-CN"/>
        </w:rPr>
        <w:tab/>
      </w:r>
      <w:r>
        <w:rPr>
          <w:rStyle w:val="18"/>
          <w:rFonts w:ascii="黑体" w:hAnsi="黑体" w:eastAsia="黑体"/>
          <w:b w:val="0"/>
          <w:bCs/>
          <w:sz w:val="24"/>
          <w:szCs w:val="24"/>
        </w:rPr>
        <w:t>成交结果通知</w:t>
      </w:r>
      <w:r>
        <w:rPr>
          <w:rFonts w:ascii="黑体" w:hAnsi="黑体" w:eastAsia="黑体"/>
          <w:b w:val="0"/>
          <w:bCs/>
          <w:sz w:val="24"/>
          <w:szCs w:val="24"/>
        </w:rPr>
        <w:tab/>
      </w:r>
      <w:r>
        <w:rPr>
          <w:rFonts w:ascii="黑体" w:hAnsi="黑体" w:eastAsia="黑体"/>
          <w:b w:val="0"/>
          <w:bCs/>
          <w:sz w:val="24"/>
          <w:szCs w:val="24"/>
        </w:rPr>
        <w:fldChar w:fldCharType="begin"/>
      </w:r>
      <w:r>
        <w:rPr>
          <w:rFonts w:ascii="黑体" w:hAnsi="黑体" w:eastAsia="黑体"/>
          <w:b w:val="0"/>
          <w:bCs/>
          <w:sz w:val="24"/>
          <w:szCs w:val="24"/>
        </w:rPr>
        <w:instrText xml:space="preserve"> PAGEREF _Toc22149479 \h </w:instrText>
      </w:r>
      <w:r>
        <w:rPr>
          <w:rFonts w:ascii="黑体" w:hAnsi="黑体" w:eastAsia="黑体"/>
          <w:b w:val="0"/>
          <w:bCs/>
          <w:sz w:val="24"/>
          <w:szCs w:val="24"/>
        </w:rPr>
        <w:fldChar w:fldCharType="separate"/>
      </w:r>
      <w:r>
        <w:rPr>
          <w:rFonts w:ascii="黑体" w:hAnsi="黑体" w:eastAsia="黑体"/>
          <w:b w:val="0"/>
          <w:bCs/>
          <w:sz w:val="24"/>
          <w:szCs w:val="24"/>
        </w:rPr>
        <w:t>21</w:t>
      </w:r>
      <w:r>
        <w:rPr>
          <w:rFonts w:ascii="黑体" w:hAnsi="黑体" w:eastAsia="黑体"/>
          <w:b w:val="0"/>
          <w:bCs/>
          <w:sz w:val="24"/>
          <w:szCs w:val="24"/>
        </w:rPr>
        <w:fldChar w:fldCharType="end"/>
      </w:r>
      <w:r>
        <w:rPr>
          <w:rFonts w:ascii="黑体" w:hAnsi="黑体" w:eastAsia="黑体"/>
          <w:b w:val="0"/>
          <w:bCs/>
          <w:sz w:val="24"/>
          <w:szCs w:val="24"/>
        </w:rPr>
        <w:fldChar w:fldCharType="end"/>
      </w:r>
    </w:p>
    <w:p>
      <w:pPr>
        <w:pStyle w:val="12"/>
        <w:spacing w:line="440" w:lineRule="exact"/>
        <w:rPr>
          <w:rFonts w:ascii="黑体" w:hAnsi="黑体"/>
          <w:b w:val="0"/>
          <w:caps w:val="0"/>
          <w:sz w:val="24"/>
          <w:szCs w:val="24"/>
          <w:lang w:val="en-US" w:eastAsia="zh-CN"/>
        </w:rPr>
      </w:pPr>
      <w:r>
        <w:rPr>
          <w:rFonts w:ascii="黑体" w:hAnsi="黑体"/>
          <w:b w:val="0"/>
          <w:sz w:val="24"/>
          <w:szCs w:val="24"/>
        </w:rPr>
        <w:fldChar w:fldCharType="begin"/>
      </w:r>
      <w:r>
        <w:rPr>
          <w:rStyle w:val="18"/>
          <w:rFonts w:ascii="黑体" w:hAnsi="黑体"/>
          <w:b w:val="0"/>
          <w:sz w:val="24"/>
          <w:szCs w:val="24"/>
        </w:rPr>
        <w:instrText xml:space="preserve"> </w:instrText>
      </w:r>
      <w:r>
        <w:rPr>
          <w:rFonts w:ascii="黑体" w:hAnsi="黑体"/>
          <w:b w:val="0"/>
          <w:sz w:val="24"/>
          <w:szCs w:val="24"/>
        </w:rPr>
        <w:instrText xml:space="preserve">HYPERLINK \l "_Toc22149480"</w:instrText>
      </w:r>
      <w:r>
        <w:rPr>
          <w:rStyle w:val="18"/>
          <w:rFonts w:ascii="黑体" w:hAnsi="黑体"/>
          <w:b w:val="0"/>
          <w:sz w:val="24"/>
          <w:szCs w:val="24"/>
        </w:rPr>
        <w:instrText xml:space="preserve"> </w:instrText>
      </w:r>
      <w:r>
        <w:rPr>
          <w:rFonts w:ascii="黑体" w:hAnsi="黑体"/>
          <w:b w:val="0"/>
          <w:sz w:val="24"/>
          <w:szCs w:val="24"/>
        </w:rPr>
        <w:fldChar w:fldCharType="separate"/>
      </w:r>
      <w:r>
        <w:rPr>
          <w:rStyle w:val="18"/>
          <w:rFonts w:ascii="黑体" w:hAnsi="黑体"/>
          <w:b w:val="0"/>
          <w:sz w:val="24"/>
          <w:szCs w:val="24"/>
        </w:rPr>
        <w:t>附录</w:t>
      </w:r>
      <w:r>
        <w:rPr>
          <w:rFonts w:ascii="黑体" w:hAnsi="黑体"/>
          <w:b w:val="0"/>
          <w:sz w:val="24"/>
          <w:szCs w:val="24"/>
        </w:rPr>
        <w:tab/>
      </w:r>
      <w:r>
        <w:rPr>
          <w:rFonts w:ascii="黑体" w:hAnsi="黑体"/>
          <w:b w:val="0"/>
          <w:sz w:val="24"/>
          <w:szCs w:val="24"/>
        </w:rPr>
        <w:fldChar w:fldCharType="begin"/>
      </w:r>
      <w:r>
        <w:rPr>
          <w:rFonts w:ascii="黑体" w:hAnsi="黑体"/>
          <w:b w:val="0"/>
          <w:sz w:val="24"/>
          <w:szCs w:val="24"/>
        </w:rPr>
        <w:instrText xml:space="preserve"> PAGEREF _Toc22149480 \h </w:instrText>
      </w:r>
      <w:r>
        <w:rPr>
          <w:rFonts w:ascii="黑体" w:hAnsi="黑体"/>
          <w:b w:val="0"/>
          <w:sz w:val="24"/>
          <w:szCs w:val="24"/>
        </w:rPr>
        <w:fldChar w:fldCharType="separate"/>
      </w:r>
      <w:r>
        <w:rPr>
          <w:rFonts w:ascii="黑体" w:hAnsi="黑体"/>
          <w:b w:val="0"/>
          <w:sz w:val="24"/>
          <w:szCs w:val="24"/>
        </w:rPr>
        <w:t>24</w:t>
      </w:r>
      <w:r>
        <w:rPr>
          <w:rFonts w:ascii="黑体" w:hAnsi="黑体"/>
          <w:b w:val="0"/>
          <w:sz w:val="24"/>
          <w:szCs w:val="24"/>
        </w:rPr>
        <w:fldChar w:fldCharType="end"/>
      </w:r>
      <w:r>
        <w:rPr>
          <w:rFonts w:ascii="黑体" w:hAnsi="黑体"/>
          <w:b w:val="0"/>
          <w:sz w:val="24"/>
          <w:szCs w:val="24"/>
        </w:rPr>
        <w:fldChar w:fldCharType="end"/>
      </w:r>
    </w:p>
    <w:p>
      <w:pPr>
        <w:pStyle w:val="13"/>
        <w:snapToGrid w:val="0"/>
        <w:spacing w:line="440" w:lineRule="exact"/>
        <w:rPr>
          <w:rFonts w:hint="eastAsia"/>
          <w:color w:val="auto"/>
          <w:sz w:val="21"/>
          <w:szCs w:val="21"/>
        </w:rPr>
      </w:pPr>
      <w:r>
        <w:rPr>
          <w:rFonts w:ascii="黑体" w:hAnsi="黑体" w:eastAsia="黑体"/>
          <w:b w:val="0"/>
          <w:bCs/>
          <w:color w:val="auto"/>
          <w:sz w:val="24"/>
          <w:szCs w:val="24"/>
        </w:rPr>
        <w:fldChar w:fldCharType="end"/>
      </w:r>
    </w:p>
    <w:p>
      <w:pPr>
        <w:pStyle w:val="3"/>
        <w:numPr>
          <w:ilvl w:val="0"/>
          <w:numId w:val="6"/>
        </w:numPr>
        <w:jc w:val="center"/>
        <w:rPr>
          <w:rFonts w:hint="eastAsia" w:ascii="黑体" w:hAnsi="黑体" w:eastAsia="黑体"/>
        </w:rPr>
      </w:pPr>
      <w:bookmarkStart w:id="1" w:name="_Toc520146428"/>
      <w:bookmarkStart w:id="2" w:name="_Toc472608692"/>
      <w:bookmarkStart w:id="3" w:name="_Toc22149440"/>
      <w:r>
        <w:rPr>
          <w:rFonts w:hint="eastAsia" w:ascii="黑体" w:hAnsi="黑体" w:eastAsia="黑体"/>
        </w:rPr>
        <w:t>说   明</w:t>
      </w:r>
      <w:bookmarkEnd w:id="1"/>
      <w:bookmarkEnd w:id="2"/>
      <w:bookmarkEnd w:id="3"/>
    </w:p>
    <w:p>
      <w:pPr>
        <w:pStyle w:val="4"/>
        <w:numPr>
          <w:ilvl w:val="0"/>
          <w:numId w:val="0"/>
        </w:numPr>
        <w:tabs>
          <w:tab w:val="left" w:pos="840"/>
        </w:tabs>
        <w:ind w:left="840" w:hanging="840"/>
        <w:rPr>
          <w:rFonts w:hint="eastAsia" w:ascii="Times New Roman" w:hAnsi="Times New Roman"/>
        </w:rPr>
      </w:pPr>
      <w:bookmarkStart w:id="4" w:name="_Toc22149441"/>
      <w:r>
        <w:rPr>
          <w:rFonts w:ascii="Times New Roman" w:hAnsi="Times New Roman"/>
        </w:rPr>
        <w:t>1</w:t>
      </w:r>
      <w:r>
        <w:rPr>
          <w:rFonts w:hint="eastAsia" w:ascii="Times New Roman" w:hAnsi="Times New Roman"/>
        </w:rPr>
        <w:tab/>
      </w:r>
      <w:r>
        <w:rPr>
          <w:rFonts w:hint="eastAsia" w:ascii="Times New Roman" w:hAnsi="Times New Roman"/>
        </w:rPr>
        <w:t>项目说明</w:t>
      </w:r>
      <w:bookmarkEnd w:id="4"/>
    </w:p>
    <w:p>
      <w:pPr>
        <w:pStyle w:val="5"/>
        <w:numPr>
          <w:ilvl w:val="1"/>
          <w:numId w:val="7"/>
        </w:numPr>
        <w:spacing w:after="120" w:line="400" w:lineRule="exact"/>
        <w:ind w:left="839" w:hanging="839"/>
        <w:rPr>
          <w:rFonts w:hint="eastAsia"/>
        </w:rPr>
      </w:pPr>
      <w:r>
        <w:rPr>
          <w:rFonts w:hint="eastAsia"/>
        </w:rPr>
        <w:t>广东省机场管理集团有限公司</w:t>
      </w:r>
      <w:r>
        <w:rPr>
          <w:rFonts w:hint="eastAsia"/>
          <w:szCs w:val="22"/>
        </w:rPr>
        <w:t>拟就</w:t>
      </w:r>
      <w:r>
        <w:rPr>
          <w:rFonts w:hint="eastAsia" w:ascii="宋体" w:hAnsi="宋体"/>
          <w:color w:val="auto"/>
          <w:szCs w:val="21"/>
          <w:lang w:eastAsia="zh-CN"/>
        </w:rPr>
        <w:t>安全生产专项整治三年行动中期评估项目</w:t>
      </w:r>
      <w:r>
        <w:rPr>
          <w:rFonts w:hint="eastAsia"/>
          <w:szCs w:val="22"/>
        </w:rPr>
        <w:t>进行国内采购，本项目采用综合评审方式确定成交供应商，</w:t>
      </w:r>
      <w:r>
        <w:rPr>
          <w:rFonts w:hint="eastAsia"/>
        </w:rPr>
        <w:t>广东省机场管理集团有限公司组织综合评审工作。</w:t>
      </w:r>
    </w:p>
    <w:p>
      <w:pPr>
        <w:rPr>
          <w:rFonts w:hint="eastAsia"/>
          <w:b/>
        </w:rPr>
      </w:pPr>
    </w:p>
    <w:p>
      <w:pPr>
        <w:pStyle w:val="5"/>
        <w:numPr>
          <w:ilvl w:val="1"/>
          <w:numId w:val="7"/>
        </w:numPr>
        <w:spacing w:after="120"/>
        <w:ind w:left="839" w:hanging="839"/>
        <w:rPr>
          <w:rFonts w:hint="eastAsia"/>
        </w:rPr>
      </w:pPr>
      <w:r>
        <w:rPr>
          <w:rFonts w:hint="eastAsia"/>
        </w:rPr>
        <w:t>采购范围</w:t>
      </w:r>
    </w:p>
    <w:p>
      <w:pPr>
        <w:spacing w:line="400" w:lineRule="exact"/>
        <w:ind w:left="850" w:leftChars="405"/>
        <w:rPr>
          <w:rFonts w:hint="eastAsia"/>
        </w:rPr>
      </w:pPr>
      <w:r>
        <w:rPr>
          <w:rFonts w:hint="eastAsia"/>
        </w:rPr>
        <w:t>1）采购内容及限价：</w:t>
      </w:r>
    </w:p>
    <w:tbl>
      <w:tblPr>
        <w:tblStyle w:val="14"/>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528"/>
        <w:gridCol w:w="7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1" w:type="dxa"/>
            <w:noWrap w:val="0"/>
            <w:vAlign w:val="center"/>
          </w:tcPr>
          <w:p>
            <w:pPr>
              <w:jc w:val="center"/>
              <w:rPr>
                <w:rFonts w:hint="eastAsia" w:ascii="宋体" w:hAnsi="宋体"/>
                <w:b/>
                <w:szCs w:val="21"/>
              </w:rPr>
            </w:pPr>
            <w:r>
              <w:rPr>
                <w:rFonts w:hint="eastAsia" w:ascii="宋体" w:hAnsi="宋体"/>
                <w:b/>
                <w:szCs w:val="21"/>
              </w:rPr>
              <w:t>序号</w:t>
            </w:r>
          </w:p>
        </w:tc>
        <w:tc>
          <w:tcPr>
            <w:tcW w:w="5528" w:type="dxa"/>
            <w:noWrap w:val="0"/>
            <w:vAlign w:val="center"/>
          </w:tcPr>
          <w:p>
            <w:pPr>
              <w:jc w:val="center"/>
              <w:rPr>
                <w:rFonts w:hint="eastAsia" w:ascii="宋体" w:hAnsi="宋体"/>
                <w:b/>
                <w:szCs w:val="21"/>
              </w:rPr>
            </w:pPr>
            <w:r>
              <w:rPr>
                <w:rFonts w:hint="eastAsia" w:ascii="宋体" w:hAnsi="宋体"/>
                <w:b/>
                <w:szCs w:val="21"/>
              </w:rPr>
              <w:t>服务内容</w:t>
            </w:r>
          </w:p>
        </w:tc>
        <w:tc>
          <w:tcPr>
            <w:tcW w:w="709" w:type="dxa"/>
            <w:noWrap w:val="0"/>
            <w:vAlign w:val="center"/>
          </w:tcPr>
          <w:p>
            <w:pPr>
              <w:jc w:val="center"/>
              <w:rPr>
                <w:rFonts w:hint="eastAsia" w:ascii="宋体" w:hAnsi="宋体"/>
                <w:b/>
                <w:szCs w:val="21"/>
              </w:rPr>
            </w:pPr>
            <w:r>
              <w:rPr>
                <w:rFonts w:hint="eastAsia" w:ascii="宋体" w:hAnsi="宋体"/>
                <w:b/>
                <w:szCs w:val="21"/>
              </w:rPr>
              <w:t>数量</w:t>
            </w:r>
          </w:p>
        </w:tc>
        <w:tc>
          <w:tcPr>
            <w:tcW w:w="1843" w:type="dxa"/>
            <w:noWrap w:val="0"/>
            <w:vAlign w:val="center"/>
          </w:tcPr>
          <w:p>
            <w:pPr>
              <w:jc w:val="center"/>
              <w:rPr>
                <w:rFonts w:hint="eastAsia" w:ascii="宋体" w:hAnsi="宋体"/>
                <w:b/>
                <w:szCs w:val="21"/>
              </w:rPr>
            </w:pPr>
            <w:r>
              <w:rPr>
                <w:rFonts w:hint="eastAsia" w:ascii="宋体" w:hAnsi="宋体"/>
                <w:b/>
                <w:szCs w:val="21"/>
              </w:rPr>
              <w:t>采购最高限价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41" w:type="dxa"/>
            <w:noWrap w:val="0"/>
            <w:vAlign w:val="center"/>
          </w:tcPr>
          <w:p>
            <w:pPr>
              <w:pStyle w:val="5"/>
              <w:ind w:firstLine="0"/>
              <w:jc w:val="center"/>
              <w:rPr>
                <w:rFonts w:hint="eastAsia" w:ascii="宋体" w:hAnsi="宋体"/>
                <w:b w:val="0"/>
                <w:szCs w:val="21"/>
              </w:rPr>
            </w:pPr>
            <w:r>
              <w:rPr>
                <w:rFonts w:hint="eastAsia" w:ascii="宋体" w:hAnsi="宋体"/>
                <w:b w:val="0"/>
                <w:szCs w:val="21"/>
              </w:rPr>
              <w:t>1</w:t>
            </w:r>
          </w:p>
        </w:tc>
        <w:tc>
          <w:tcPr>
            <w:tcW w:w="5528" w:type="dxa"/>
            <w:noWrap w:val="0"/>
            <w:vAlign w:val="center"/>
          </w:tcPr>
          <w:p>
            <w:pPr>
              <w:pStyle w:val="5"/>
              <w:ind w:firstLine="0"/>
              <w:jc w:val="left"/>
              <w:rPr>
                <w:rFonts w:hint="eastAsia" w:ascii="宋体" w:hAnsi="宋体"/>
                <w:szCs w:val="21"/>
              </w:rPr>
            </w:pPr>
            <w:r>
              <w:rPr>
                <w:rFonts w:hint="eastAsia" w:ascii="宋体" w:hAnsi="Times New Roman" w:eastAsia="宋体" w:cs="Times New Roman"/>
                <w:color w:val="auto"/>
                <w:kern w:val="2"/>
                <w:sz w:val="21"/>
                <w:szCs w:val="21"/>
                <w:lang w:val="en-US" w:eastAsia="zh-CN"/>
              </w:rPr>
              <w:t>组织对</w:t>
            </w:r>
            <w:r>
              <w:rPr>
                <w:rFonts w:hint="eastAsia" w:ascii="宋体" w:hAnsi="Times New Roman" w:eastAsia="宋体" w:cs="Times New Roman"/>
                <w:color w:val="auto"/>
                <w:kern w:val="2"/>
                <w:sz w:val="21"/>
                <w:szCs w:val="21"/>
              </w:rPr>
              <w:t>广东省机场管理集团有限公司安全生产专项整治三年行动开展情况进行中期评估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restart"/>
            <w:noWrap w:val="0"/>
            <w:vAlign w:val="center"/>
          </w:tcPr>
          <w:p>
            <w:pPr>
              <w:pStyle w:val="5"/>
              <w:ind w:firstLine="0"/>
              <w:jc w:val="left"/>
              <w:rPr>
                <w:rFonts w:hint="eastAsia" w:ascii="宋体" w:hAnsi="宋体"/>
                <w:szCs w:val="21"/>
              </w:rPr>
            </w:pPr>
          </w:p>
          <w:p>
            <w:pPr>
              <w:pStyle w:val="5"/>
              <w:ind w:firstLine="0"/>
              <w:jc w:val="left"/>
              <w:rPr>
                <w:rFonts w:hint="eastAsia" w:ascii="宋体" w:hAnsi="宋体"/>
                <w:szCs w:val="21"/>
              </w:rPr>
            </w:pPr>
            <w:r>
              <w:rPr>
                <w:rFonts w:hint="eastAsia" w:ascii="宋体" w:hAnsi="宋体"/>
                <w:szCs w:val="21"/>
              </w:rPr>
              <w:t>人民币：</w:t>
            </w:r>
            <w:r>
              <w:rPr>
                <w:rFonts w:hint="eastAsia" w:ascii="宋体" w:hAnsi="宋体"/>
                <w:szCs w:val="21"/>
                <w:lang w:val="en-US" w:eastAsia="zh-CN"/>
              </w:rPr>
              <w:t>25</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41" w:type="dxa"/>
            <w:noWrap w:val="0"/>
            <w:vAlign w:val="center"/>
          </w:tcPr>
          <w:p>
            <w:pPr>
              <w:pStyle w:val="5"/>
              <w:ind w:firstLine="0"/>
              <w:jc w:val="center"/>
              <w:rPr>
                <w:rFonts w:hint="eastAsia" w:ascii="宋体" w:hAnsi="宋体"/>
                <w:szCs w:val="21"/>
              </w:rPr>
            </w:pPr>
            <w:r>
              <w:rPr>
                <w:rFonts w:hint="eastAsia" w:ascii="宋体" w:hAnsi="宋体"/>
                <w:szCs w:val="21"/>
              </w:rPr>
              <w:t>2</w:t>
            </w:r>
          </w:p>
        </w:tc>
        <w:tc>
          <w:tcPr>
            <w:tcW w:w="5528" w:type="dxa"/>
            <w:noWrap w:val="0"/>
            <w:vAlign w:val="center"/>
          </w:tcPr>
          <w:p>
            <w:pPr>
              <w:pStyle w:val="5"/>
              <w:ind w:firstLine="0"/>
              <w:jc w:val="left"/>
              <w:rPr>
                <w:rFonts w:hint="eastAsia" w:ascii="宋体" w:hAnsi="宋体"/>
                <w:szCs w:val="21"/>
              </w:rPr>
            </w:pPr>
            <w:r>
              <w:rPr>
                <w:rFonts w:hint="eastAsia" w:ascii="宋体" w:hAnsi="Times New Roman" w:eastAsia="宋体" w:cs="Times New Roman"/>
                <w:color w:val="auto"/>
                <w:kern w:val="2"/>
                <w:sz w:val="21"/>
                <w:szCs w:val="21"/>
                <w:lang w:val="en-US" w:eastAsia="zh-CN"/>
              </w:rPr>
              <w:t>组织对</w:t>
            </w:r>
            <w:r>
              <w:rPr>
                <w:rFonts w:hint="eastAsia" w:ascii="宋体" w:hAnsi="Times New Roman" w:eastAsia="宋体" w:cs="Times New Roman"/>
                <w:color w:val="auto"/>
                <w:kern w:val="2"/>
                <w:sz w:val="21"/>
                <w:szCs w:val="21"/>
              </w:rPr>
              <w:t>广州白云国际机场股份有限公司安全生产专项整治三年行动开展情况进行中期评估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continue"/>
            <w:noWrap w:val="0"/>
            <w:vAlign w:val="center"/>
          </w:tcPr>
          <w:p>
            <w:pPr>
              <w:pStyle w:val="5"/>
              <w:ind w:firstLine="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41" w:type="dxa"/>
            <w:noWrap w:val="0"/>
            <w:vAlign w:val="center"/>
          </w:tcPr>
          <w:p>
            <w:pPr>
              <w:pStyle w:val="5"/>
              <w:ind w:firstLine="0"/>
              <w:jc w:val="center"/>
              <w:rPr>
                <w:rFonts w:hint="eastAsia" w:ascii="宋体" w:hAnsi="宋体"/>
                <w:szCs w:val="21"/>
              </w:rPr>
            </w:pPr>
            <w:r>
              <w:rPr>
                <w:rFonts w:hint="eastAsia" w:ascii="宋体" w:hAnsi="宋体"/>
                <w:szCs w:val="21"/>
              </w:rPr>
              <w:t>3</w:t>
            </w:r>
          </w:p>
        </w:tc>
        <w:tc>
          <w:tcPr>
            <w:tcW w:w="5528" w:type="dxa"/>
            <w:noWrap w:val="0"/>
            <w:vAlign w:val="center"/>
          </w:tcPr>
          <w:p>
            <w:pPr>
              <w:pStyle w:val="5"/>
              <w:ind w:firstLine="0"/>
              <w:jc w:val="left"/>
              <w:rPr>
                <w:rFonts w:hint="default" w:ascii="宋体" w:hAnsi="宋体" w:eastAsia="宋体"/>
                <w:color w:val="FF0000"/>
                <w:szCs w:val="21"/>
                <w:lang w:val="en-US" w:eastAsia="zh-CN"/>
              </w:rPr>
            </w:pPr>
            <w:r>
              <w:rPr>
                <w:rFonts w:hint="eastAsia" w:ascii="宋体" w:hAnsi="Times New Roman" w:eastAsia="宋体" w:cs="Times New Roman"/>
                <w:color w:val="auto"/>
                <w:kern w:val="2"/>
                <w:sz w:val="21"/>
                <w:szCs w:val="21"/>
                <w:lang w:val="en-US" w:eastAsia="zh-CN"/>
              </w:rPr>
              <w:t>组织对广东机场集团工程建设指挥部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编制评估报告</w:t>
            </w:r>
          </w:p>
        </w:tc>
        <w:tc>
          <w:tcPr>
            <w:tcW w:w="709" w:type="dxa"/>
            <w:noWrap w:val="0"/>
            <w:vAlign w:val="center"/>
          </w:tcPr>
          <w:p>
            <w:pPr>
              <w:pStyle w:val="5"/>
              <w:ind w:firstLine="0"/>
              <w:jc w:val="center"/>
              <w:rPr>
                <w:rFonts w:hint="eastAsia" w:ascii="宋体" w:hAnsi="宋体"/>
                <w:szCs w:val="21"/>
              </w:rPr>
            </w:pPr>
            <w:r>
              <w:rPr>
                <w:rFonts w:hint="eastAsia" w:ascii="宋体" w:hAnsi="宋体"/>
                <w:szCs w:val="21"/>
              </w:rPr>
              <w:t>1项</w:t>
            </w:r>
          </w:p>
        </w:tc>
        <w:tc>
          <w:tcPr>
            <w:tcW w:w="1843" w:type="dxa"/>
            <w:vMerge w:val="continue"/>
            <w:noWrap w:val="0"/>
            <w:vAlign w:val="center"/>
          </w:tcPr>
          <w:p>
            <w:pPr>
              <w:pStyle w:val="5"/>
              <w:ind w:firstLine="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78" w:type="dxa"/>
            <w:gridSpan w:val="3"/>
            <w:noWrap w:val="0"/>
            <w:vAlign w:val="center"/>
          </w:tcPr>
          <w:p>
            <w:pPr>
              <w:pStyle w:val="5"/>
              <w:ind w:firstLine="0"/>
              <w:jc w:val="center"/>
              <w:rPr>
                <w:rFonts w:hint="eastAsia" w:ascii="宋体" w:hAnsi="宋体"/>
                <w:szCs w:val="21"/>
              </w:rPr>
            </w:pPr>
            <w:r>
              <w:rPr>
                <w:rFonts w:hint="eastAsia" w:ascii="宋体" w:hAnsi="宋体"/>
                <w:szCs w:val="21"/>
              </w:rPr>
              <w:t>合计</w:t>
            </w:r>
          </w:p>
        </w:tc>
        <w:tc>
          <w:tcPr>
            <w:tcW w:w="1843" w:type="dxa"/>
            <w:noWrap w:val="0"/>
            <w:vAlign w:val="center"/>
          </w:tcPr>
          <w:p>
            <w:pPr>
              <w:pStyle w:val="5"/>
              <w:ind w:firstLine="0"/>
              <w:jc w:val="center"/>
              <w:rPr>
                <w:rFonts w:hint="eastAsia" w:ascii="宋体" w:hAnsi="宋体"/>
                <w:szCs w:val="21"/>
              </w:rPr>
            </w:pPr>
            <w:r>
              <w:rPr>
                <w:rFonts w:hint="eastAsia" w:ascii="宋体" w:hAnsi="宋体"/>
                <w:szCs w:val="21"/>
              </w:rPr>
              <w:t>人民币：</w:t>
            </w:r>
            <w:r>
              <w:rPr>
                <w:rFonts w:hint="eastAsia" w:ascii="宋体" w:hAnsi="宋体"/>
                <w:szCs w:val="21"/>
                <w:lang w:val="en-US" w:eastAsia="zh-CN"/>
              </w:rPr>
              <w:t>25</w:t>
            </w:r>
            <w:r>
              <w:rPr>
                <w:rFonts w:hint="eastAsia" w:ascii="宋体" w:hAnsi="宋体"/>
                <w:szCs w:val="21"/>
              </w:rPr>
              <w:t>万元</w:t>
            </w:r>
          </w:p>
        </w:tc>
      </w:tr>
    </w:tbl>
    <w:p>
      <w:pPr>
        <w:spacing w:line="400" w:lineRule="exact"/>
        <w:ind w:left="0" w:leftChars="0" w:firstLine="420" w:firstLineChars="200"/>
        <w:rPr>
          <w:rFonts w:hint="eastAsia"/>
        </w:rPr>
      </w:pPr>
      <w:r>
        <w:rPr>
          <w:rFonts w:hint="eastAsia"/>
        </w:rPr>
        <w:t>2）服务内容：</w:t>
      </w:r>
    </w:p>
    <w:p>
      <w:pPr>
        <w:pStyle w:val="19"/>
        <w:spacing w:line="360" w:lineRule="auto"/>
        <w:ind w:firstLine="420" w:firstLineChars="200"/>
        <w:jc w:val="both"/>
        <w:rPr>
          <w:rFonts w:hint="eastAsia" w:ascii="宋体" w:hAnsi="Times New Roman" w:eastAsia="宋体" w:cs="Times New Roman"/>
          <w:color w:val="auto"/>
          <w:kern w:val="2"/>
          <w:sz w:val="21"/>
          <w:szCs w:val="21"/>
          <w:lang w:val="en-US" w:eastAsia="zh-CN"/>
        </w:rPr>
      </w:pPr>
      <w:r>
        <w:rPr>
          <w:rFonts w:hint="eastAsia" w:ascii="宋体" w:hAnsi="Times New Roman" w:eastAsia="宋体" w:cs="Times New Roman"/>
          <w:color w:val="auto"/>
          <w:kern w:val="2"/>
          <w:sz w:val="21"/>
          <w:szCs w:val="21"/>
          <w:lang w:eastAsia="zh-CN"/>
        </w:rPr>
        <w:t>（1）</w:t>
      </w:r>
      <w:r>
        <w:rPr>
          <w:rFonts w:hint="eastAsia" w:ascii="宋体" w:hAnsi="Times New Roman" w:eastAsia="宋体" w:cs="Times New Roman"/>
          <w:color w:val="auto"/>
          <w:kern w:val="2"/>
          <w:sz w:val="21"/>
          <w:szCs w:val="21"/>
          <w:lang w:val="en-US" w:eastAsia="zh-CN"/>
        </w:rPr>
        <w:t>编制《安全生产专项整治三年行动实施方案中期评估表》。</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2</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rPr>
        <w:t>实地对广东省机场管理集团有限公司、广州白云国际机场股份有限公司、</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（3）</w:t>
      </w:r>
      <w:r>
        <w:rPr>
          <w:rFonts w:hint="eastAsia" w:ascii="宋体" w:hAnsi="Times New Roman" w:eastAsia="宋体" w:cs="Times New Roman"/>
          <w:color w:val="auto"/>
          <w:kern w:val="2"/>
          <w:sz w:val="21"/>
          <w:szCs w:val="21"/>
        </w:rPr>
        <w:t>编制《广东省机场管理集团有限公司安全生产专项整治三年行动中期评估报告》</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rPr>
        <w:t>广州白云国际机场股份有限公司安全生产专项整治三年行动中期评估</w:t>
      </w:r>
      <w:r>
        <w:rPr>
          <w:rFonts w:hint="eastAsia" w:ascii="宋体" w:hAnsi="Times New Roman" w:eastAsia="宋体" w:cs="Times New Roman"/>
          <w:color w:val="auto"/>
          <w:kern w:val="2"/>
          <w:sz w:val="21"/>
          <w:szCs w:val="21"/>
          <w:lang w:val="en-US" w:eastAsia="zh-CN"/>
        </w:rPr>
        <w:t>报告</w:t>
      </w:r>
      <w:r>
        <w:rPr>
          <w:rFonts w:hint="eastAsia" w:ascii="宋体" w:hAnsi="Times New Roman" w:eastAsia="宋体" w:cs="Times New Roman"/>
          <w:color w:val="auto"/>
          <w:kern w:val="2"/>
          <w:sz w:val="21"/>
          <w:szCs w:val="21"/>
          <w:lang w:eastAsia="zh-CN"/>
        </w:rPr>
        <w:t>》《</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安全生产专项整治三年行动中期评估</w:t>
      </w:r>
      <w:r>
        <w:rPr>
          <w:rFonts w:hint="eastAsia" w:ascii="宋体" w:hAnsi="Times New Roman" w:eastAsia="宋体" w:cs="Times New Roman"/>
          <w:color w:val="auto"/>
          <w:kern w:val="2"/>
          <w:sz w:val="21"/>
          <w:szCs w:val="21"/>
          <w:lang w:val="en-US" w:eastAsia="zh-CN"/>
        </w:rPr>
        <w:t>报告</w:t>
      </w:r>
      <w:r>
        <w:rPr>
          <w:rFonts w:hint="eastAsia" w:ascii="宋体" w:hAnsi="Times New Roman" w:eastAsia="宋体" w:cs="Times New Roman"/>
          <w:color w:val="auto"/>
          <w:kern w:val="2"/>
          <w:sz w:val="21"/>
          <w:szCs w:val="21"/>
          <w:lang w:eastAsia="zh-CN"/>
        </w:rPr>
        <w:t>》。</w:t>
      </w:r>
    </w:p>
    <w:p>
      <w:pPr>
        <w:pStyle w:val="20"/>
        <w:widowControl/>
        <w:tabs>
          <w:tab w:val="left" w:pos="540"/>
        </w:tabs>
        <w:spacing w:line="360" w:lineRule="auto"/>
        <w:ind w:left="0" w:firstLine="420" w:firstLineChars="200"/>
        <w:rPr>
          <w:rFonts w:hint="eastAsia" w:ascii="宋体"/>
          <w:szCs w:val="21"/>
        </w:rPr>
      </w:pPr>
      <w:r>
        <w:rPr>
          <w:rFonts w:hint="eastAsia" w:ascii="宋体" w:hAnsi="Times New Roman" w:eastAsia="宋体" w:cs="Times New Roman"/>
          <w:color w:val="auto"/>
          <w:sz w:val="21"/>
          <w:szCs w:val="21"/>
          <w:lang w:val="en-US" w:eastAsia="zh-CN"/>
        </w:rPr>
        <w:t>（4）</w:t>
      </w:r>
      <w:r>
        <w:rPr>
          <w:rFonts w:hint="eastAsia" w:ascii="宋体" w:hAnsi="Times New Roman" w:eastAsia="宋体" w:cs="Times New Roman"/>
          <w:color w:val="auto"/>
          <w:sz w:val="21"/>
          <w:szCs w:val="21"/>
        </w:rPr>
        <w:t>协助采购人抓好安全生产专项整治三年行动中期评估情况的问题整改工作。</w:t>
      </w:r>
    </w:p>
    <w:p>
      <w:pPr>
        <w:spacing w:after="240" w:line="400" w:lineRule="exact"/>
        <w:ind w:left="850" w:leftChars="405"/>
        <w:rPr>
          <w:rFonts w:hint="eastAsia"/>
          <w:szCs w:val="21"/>
        </w:rPr>
      </w:pPr>
      <w:r>
        <w:rPr>
          <w:rFonts w:hint="eastAsia" w:ascii="宋体" w:hAnsi="宋体"/>
          <w:szCs w:val="21"/>
        </w:rPr>
        <w:t>注：供应商必须对全部服务内容进行报价，报价应包含服务费、所有税费。</w:t>
      </w:r>
    </w:p>
    <w:p>
      <w:pPr>
        <w:pStyle w:val="5"/>
        <w:numPr>
          <w:ilvl w:val="1"/>
          <w:numId w:val="7"/>
        </w:numPr>
        <w:spacing w:after="240" w:line="400" w:lineRule="exact"/>
        <w:ind w:left="839" w:hanging="839"/>
      </w:pPr>
      <w:r>
        <w:rPr>
          <w:rFonts w:hint="eastAsia"/>
        </w:rPr>
        <w:t>采购要求</w:t>
      </w:r>
    </w:p>
    <w:p>
      <w:pPr>
        <w:pStyle w:val="2"/>
        <w:spacing w:line="360" w:lineRule="auto"/>
        <w:ind w:left="0" w:firstLine="420" w:firstLineChars="200"/>
      </w:pPr>
      <w:r>
        <w:rPr>
          <w:rFonts w:hint="eastAsia"/>
          <w:szCs w:val="21"/>
          <w:lang w:eastAsia="zh-CN"/>
        </w:rPr>
        <w:t>服务期限：</w:t>
      </w:r>
      <w:r>
        <w:rPr>
          <w:rFonts w:hint="eastAsia"/>
          <w:szCs w:val="21"/>
        </w:rPr>
        <w:t>合同签订生效之日起</w:t>
      </w:r>
      <w:r>
        <w:rPr>
          <w:rFonts w:hint="eastAsia"/>
          <w:szCs w:val="21"/>
          <w:lang w:val="en-US" w:eastAsia="zh-CN"/>
        </w:rPr>
        <w:t>三</w:t>
      </w:r>
      <w:r>
        <w:rPr>
          <w:rFonts w:hint="eastAsia"/>
          <w:szCs w:val="21"/>
        </w:rPr>
        <w:t>个月。</w:t>
      </w:r>
    </w:p>
    <w:p>
      <w:pPr>
        <w:pStyle w:val="2"/>
        <w:spacing w:line="360" w:lineRule="auto"/>
        <w:ind w:left="0" w:firstLine="420" w:firstLineChars="200"/>
        <w:rPr>
          <w:rFonts w:hint="eastAsia" w:ascii="宋体" w:hAnsi="Times New Roman" w:eastAsia="宋体" w:cs="Times New Roman"/>
          <w:color w:val="auto"/>
          <w:kern w:val="2"/>
          <w:sz w:val="21"/>
          <w:szCs w:val="21"/>
          <w:lang w:val="en-US" w:eastAsia="zh-CN" w:bidi="ar-SA"/>
        </w:rPr>
      </w:pPr>
      <w:r>
        <w:rPr>
          <w:rFonts w:hint="eastAsia" w:asciiTheme="minorEastAsia" w:hAnsiTheme="minorEastAsia" w:eastAsiaTheme="minorEastAsia" w:cstheme="minorEastAsia"/>
          <w:szCs w:val="21"/>
          <w:lang w:val="en-US" w:eastAsia="zh-CN"/>
        </w:rPr>
        <w:t>中选供应商</w:t>
      </w:r>
      <w:r>
        <w:rPr>
          <w:rFonts w:hint="eastAsia" w:asciiTheme="minorEastAsia" w:hAnsiTheme="minorEastAsia" w:eastAsiaTheme="minorEastAsia" w:cstheme="minorEastAsia"/>
          <w:szCs w:val="21"/>
        </w:rPr>
        <w:t>应在合同签订</w:t>
      </w:r>
      <w:r>
        <w:rPr>
          <w:rFonts w:hint="eastAsia" w:asciiTheme="minorEastAsia" w:hAnsiTheme="minorEastAsia" w:eastAsiaTheme="minorEastAsia" w:cstheme="minorEastAsia"/>
          <w:szCs w:val="21"/>
          <w:lang w:val="en-US" w:eastAsia="zh-CN"/>
        </w:rPr>
        <w:t>之日起15</w:t>
      </w:r>
      <w:r>
        <w:rPr>
          <w:rFonts w:hint="eastAsia" w:asciiTheme="minorEastAsia" w:hAnsiTheme="minorEastAsia" w:eastAsiaTheme="minorEastAsia" w:cstheme="minorEastAsia"/>
          <w:szCs w:val="21"/>
        </w:rPr>
        <w:t>个工作日内，完成安全生产专项整治三年行动中期评估单编制及现场评估工作；</w:t>
      </w:r>
      <w:r>
        <w:rPr>
          <w:rFonts w:hint="eastAsia" w:asciiTheme="minorEastAsia" w:hAnsiTheme="minorEastAsia" w:eastAsiaTheme="minorEastAsia" w:cstheme="minorEastAsia"/>
          <w:szCs w:val="21"/>
          <w:lang w:val="en-US" w:eastAsia="zh-CN"/>
        </w:rPr>
        <w:t>中选供应商</w:t>
      </w:r>
      <w:r>
        <w:rPr>
          <w:rFonts w:hint="eastAsia" w:asciiTheme="minorEastAsia" w:hAnsiTheme="minorEastAsia" w:eastAsiaTheme="minorEastAsia" w:cstheme="minorEastAsia"/>
          <w:szCs w:val="21"/>
        </w:rPr>
        <w:t>应在合同签订后</w:t>
      </w:r>
      <w:r>
        <w:rPr>
          <w:rFonts w:hint="eastAsia" w:asciiTheme="minorEastAsia" w:hAnsiTheme="minorEastAsia" w:eastAsiaTheme="minorEastAsia" w:cstheme="minorEastAsia"/>
          <w:szCs w:val="21"/>
          <w:lang w:val="en-US" w:eastAsia="zh-CN"/>
        </w:rPr>
        <w:t>15</w:t>
      </w:r>
      <w:r>
        <w:rPr>
          <w:rFonts w:hint="eastAsia" w:asciiTheme="minorEastAsia" w:hAnsiTheme="minorEastAsia" w:eastAsiaTheme="minorEastAsia" w:cstheme="minorEastAsia"/>
          <w:szCs w:val="21"/>
        </w:rPr>
        <w:t>个工作日内，提交《广东省机场管理集团有限公司安全生产专项整治三年行动评估报告》《广州白云国际机场股份有限公司安全生产专项整治三年行动评估报告》《广东机场集团工程建设指挥部安全生产专项整治三年行动评估报告》初稿；根据</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rPr>
        <w:t>的修改意见，5个工作日内完成评估报告修改工作并向</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rPr>
        <w:t>提交正式（加盖公章、评估组签字）的《广东省机场管理集团有限公司安全生产专项整治三年行动评估报告》《广州白云国际机场股份有限公司安全生产专项整治三年行动评估报告》《广东机场集团工程建设指挥部安全生产专项整治三年行动评估报告》；</w:t>
      </w:r>
      <w:r>
        <w:rPr>
          <w:rFonts w:hint="eastAsia" w:asciiTheme="minorEastAsia" w:hAnsiTheme="minorEastAsia" w:eastAsiaTheme="minorEastAsia" w:cstheme="minorEastAsia"/>
          <w:szCs w:val="21"/>
          <w:lang w:val="en-US" w:eastAsia="zh-CN"/>
        </w:rPr>
        <w:t>采购人</w:t>
      </w:r>
      <w:r>
        <w:rPr>
          <w:rFonts w:hint="eastAsia" w:asciiTheme="minorEastAsia" w:hAnsiTheme="minorEastAsia" w:eastAsiaTheme="minorEastAsia" w:cstheme="minorEastAsia"/>
          <w:szCs w:val="21"/>
        </w:rPr>
        <w:t>将正式的《广东省机场管理集团有限公司安全生产专项整治三年行动评估报告》上报广东省人民政府国有资产监督管理委员会</w:t>
      </w:r>
      <w:r>
        <w:rPr>
          <w:rFonts w:hint="eastAsia" w:asciiTheme="minorEastAsia" w:hAnsiTheme="minorEastAsia" w:eastAsiaTheme="minorEastAsia" w:cstheme="minorEastAsia"/>
          <w:szCs w:val="21"/>
          <w:lang w:val="en-US" w:eastAsia="zh-CN"/>
        </w:rPr>
        <w:t>过程中，中选供应商应按照要求对报告进行修订完善</w:t>
      </w:r>
      <w:r>
        <w:rPr>
          <w:rFonts w:hint="eastAsia" w:asciiTheme="minorEastAsia" w:hAnsiTheme="minorEastAsia" w:eastAsiaTheme="minorEastAsia" w:cstheme="minorEastAsia"/>
          <w:szCs w:val="21"/>
        </w:rPr>
        <w:t>。</w:t>
      </w:r>
    </w:p>
    <w:p>
      <w:pPr>
        <w:numPr>
          <w:ilvl w:val="2"/>
          <w:numId w:val="7"/>
        </w:numPr>
        <w:spacing w:after="240"/>
        <w:rPr>
          <w:rFonts w:hint="eastAsia"/>
        </w:rPr>
      </w:pPr>
      <w:r>
        <w:rPr>
          <w:rFonts w:hint="eastAsia"/>
        </w:rPr>
        <w:t>供应商所提供的</w:t>
      </w:r>
      <w:r>
        <w:rPr>
          <w:rFonts w:hint="eastAsia"/>
          <w:lang w:eastAsia="zh-CN"/>
        </w:rPr>
        <w:t>评估表</w:t>
      </w:r>
      <w:r>
        <w:rPr>
          <w:rFonts w:hint="eastAsia"/>
        </w:rPr>
        <w:t>必须详细、完整、可靠、具备可行性。</w:t>
      </w:r>
    </w:p>
    <w:p>
      <w:pPr>
        <w:numPr>
          <w:ilvl w:val="2"/>
          <w:numId w:val="7"/>
        </w:numPr>
        <w:spacing w:after="240"/>
        <w:rPr>
          <w:rFonts w:hint="eastAsia"/>
        </w:rPr>
      </w:pPr>
      <w:r>
        <w:rPr>
          <w:rFonts w:hint="eastAsia"/>
        </w:rPr>
        <w:t>供应商报价中的服务费应是供应商为完成本项目的总服务费，包括但不限于“服务内容”中所列项目的费用。</w:t>
      </w:r>
    </w:p>
    <w:p>
      <w:pPr>
        <w:numPr>
          <w:ilvl w:val="2"/>
          <w:numId w:val="7"/>
        </w:numPr>
        <w:spacing w:after="240"/>
        <w:rPr>
          <w:rFonts w:hint="eastAsia"/>
        </w:rPr>
      </w:pPr>
      <w:r>
        <w:rPr>
          <w:rFonts w:hint="eastAsia"/>
        </w:rPr>
        <w:t>★ 供应商必须提交对采购文件及提供的合同内容实质性响应的项目报价文件。</w:t>
      </w:r>
    </w:p>
    <w:p>
      <w:pPr>
        <w:numPr>
          <w:ilvl w:val="1"/>
          <w:numId w:val="7"/>
        </w:numPr>
        <w:spacing w:after="240"/>
        <w:rPr>
          <w:rFonts w:hint="eastAsia"/>
        </w:rPr>
      </w:pPr>
      <w:r>
        <w:rPr>
          <w:rFonts w:hint="eastAsia"/>
        </w:rPr>
        <w:t>现场</w:t>
      </w:r>
      <w:r>
        <w:rPr>
          <w:rFonts w:hint="eastAsia"/>
          <w:lang w:eastAsia="zh-CN"/>
        </w:rPr>
        <w:t>评估</w:t>
      </w:r>
    </w:p>
    <w:p>
      <w:pPr>
        <w:numPr>
          <w:ilvl w:val="2"/>
          <w:numId w:val="7"/>
        </w:numPr>
        <w:spacing w:after="240"/>
        <w:rPr>
          <w:rFonts w:hint="eastAsia"/>
        </w:rPr>
      </w:pPr>
      <w:r>
        <w:rPr>
          <w:rFonts w:hint="eastAsia"/>
          <w:lang w:val="en-US" w:eastAsia="zh-CN"/>
        </w:rPr>
        <w:t>供应商</w:t>
      </w:r>
      <w:r>
        <w:rPr>
          <w:rFonts w:hint="eastAsia"/>
        </w:rPr>
        <w:t>统一安排</w:t>
      </w:r>
      <w:r>
        <w:rPr>
          <w:rFonts w:hint="eastAsia"/>
          <w:lang w:eastAsia="zh-CN"/>
        </w:rPr>
        <w:t>开展安全生产专项整治三年行动现场评估工作，</w:t>
      </w:r>
      <w:r>
        <w:rPr>
          <w:rFonts w:hint="eastAsia"/>
          <w:lang w:val="en-US" w:eastAsia="zh-CN"/>
        </w:rPr>
        <w:t>采购人做好现场评估的配合工作</w:t>
      </w:r>
      <w:r>
        <w:rPr>
          <w:rFonts w:hint="eastAsia"/>
        </w:rPr>
        <w:t>。</w:t>
      </w:r>
    </w:p>
    <w:p>
      <w:pPr>
        <w:pStyle w:val="4"/>
        <w:numPr>
          <w:ilvl w:val="0"/>
          <w:numId w:val="0"/>
        </w:numPr>
        <w:tabs>
          <w:tab w:val="left" w:pos="780"/>
          <w:tab w:val="left" w:pos="840"/>
        </w:tabs>
        <w:ind w:left="840" w:hanging="840"/>
        <w:rPr>
          <w:rFonts w:hint="eastAsia" w:ascii="Times New Roman" w:hAnsi="Times New Roman"/>
        </w:rPr>
      </w:pPr>
      <w:bookmarkStart w:id="5" w:name="_Toc22149442"/>
      <w:r>
        <w:rPr>
          <w:rFonts w:ascii="Times New Roman" w:hAnsi="Times New Roman"/>
        </w:rPr>
        <w:t>2</w:t>
      </w:r>
      <w:r>
        <w:rPr>
          <w:rFonts w:hint="eastAsia" w:ascii="Times New Roman" w:hAnsi="Times New Roman"/>
        </w:rPr>
        <w:tab/>
      </w:r>
      <w:r>
        <w:rPr>
          <w:rFonts w:hint="eastAsia" w:ascii="Times New Roman" w:hAnsi="Times New Roman"/>
        </w:rPr>
        <w:t>定义</w:t>
      </w:r>
      <w:bookmarkEnd w:id="5"/>
    </w:p>
    <w:p>
      <w:pPr>
        <w:pStyle w:val="5"/>
        <w:numPr>
          <w:ilvl w:val="1"/>
          <w:numId w:val="8"/>
        </w:numPr>
        <w:spacing w:after="240"/>
        <w:rPr>
          <w:rFonts w:hint="eastAsia"/>
        </w:rPr>
      </w:pPr>
      <w:r>
        <w:rPr>
          <w:rFonts w:hint="eastAsia"/>
        </w:rPr>
        <w:t>本文件中下列术语定义为：</w:t>
      </w:r>
    </w:p>
    <w:p>
      <w:pPr>
        <w:spacing w:after="240"/>
        <w:ind w:left="2096" w:hanging="1196"/>
        <w:rPr>
          <w:rFonts w:hint="eastAsia"/>
          <w:szCs w:val="22"/>
        </w:rPr>
      </w:pPr>
      <w:r>
        <w:rPr>
          <w:rFonts w:hint="eastAsia"/>
          <w:b/>
        </w:rPr>
        <w:t>服务：</w:t>
      </w:r>
      <w:r>
        <w:rPr>
          <w:rFonts w:hint="eastAsia"/>
          <w:b/>
        </w:rPr>
        <w:tab/>
      </w:r>
      <w:r>
        <w:rPr>
          <w:rFonts w:hint="eastAsia"/>
          <w:szCs w:val="22"/>
        </w:rPr>
        <w:tab/>
      </w:r>
      <w:r>
        <w:rPr>
          <w:rFonts w:hint="eastAsia"/>
          <w:szCs w:val="22"/>
        </w:rPr>
        <w:t>指供应商按采购文件规定，须承担并向采购人提交</w:t>
      </w:r>
      <w:r>
        <w:rPr>
          <w:rFonts w:hint="eastAsia"/>
          <w:szCs w:val="22"/>
          <w:lang w:eastAsia="zh-CN"/>
        </w:rPr>
        <w:t>评估单、评估报告、改进意见</w:t>
      </w:r>
      <w:r>
        <w:rPr>
          <w:rFonts w:hint="eastAsia"/>
          <w:szCs w:val="22"/>
        </w:rPr>
        <w:t>等成果。</w:t>
      </w:r>
    </w:p>
    <w:p>
      <w:pPr>
        <w:spacing w:after="240"/>
        <w:ind w:left="2096" w:hanging="1196"/>
        <w:rPr>
          <w:rFonts w:hint="eastAsia"/>
        </w:rPr>
      </w:pPr>
      <w:r>
        <w:rPr>
          <w:rFonts w:hint="eastAsia"/>
          <w:b/>
        </w:rPr>
        <w:t>供应商：</w:t>
      </w:r>
      <w:r>
        <w:rPr>
          <w:rFonts w:hint="eastAsia"/>
          <w:b/>
        </w:rPr>
        <w:tab/>
      </w:r>
      <w:r>
        <w:rPr>
          <w:rFonts w:hint="eastAsia"/>
          <w:b/>
        </w:rPr>
        <w:tab/>
      </w:r>
      <w:r>
        <w:rPr>
          <w:rFonts w:hint="eastAsia"/>
        </w:rPr>
        <w:t>指与第3条规定的要求一致的、响应公告、参加报价的独立法人。【注：如允许</w:t>
      </w:r>
      <w:r>
        <w:rPr>
          <w:rFonts w:hint="eastAsia" w:ascii="宋体" w:hAnsi="宋体"/>
          <w:color w:val="000000"/>
        </w:rPr>
        <w:t>如为分公司或者分支机构、合伙企业，则其不具备独立法人资格，此处需修改为，</w:t>
      </w:r>
      <w:r>
        <w:rPr>
          <w:rFonts w:hint="eastAsia"/>
        </w:rPr>
        <w:t>指与第3条规定的要求一致的、响应公告、参加报价的机构。】</w:t>
      </w:r>
    </w:p>
    <w:p>
      <w:pPr>
        <w:spacing w:after="240"/>
        <w:ind w:left="2098" w:hanging="1196"/>
        <w:rPr>
          <w:rFonts w:hint="eastAsia"/>
          <w:b/>
        </w:rPr>
      </w:pPr>
      <w:r>
        <w:rPr>
          <w:rFonts w:hint="eastAsia"/>
          <w:b/>
        </w:rPr>
        <w:t>采购人：</w:t>
      </w:r>
      <w:r>
        <w:rPr>
          <w:rFonts w:hint="eastAsia"/>
          <w:b/>
        </w:rPr>
        <w:tab/>
      </w:r>
      <w:r>
        <w:rPr>
          <w:rFonts w:hint="eastAsia"/>
        </w:rPr>
        <w:t>广东省机场管理集团有限公司，负责项目的整体规划，作为合同采购方（用户）的主体承担质疑回复、履行合同、验收与评价等义务。</w:t>
      </w:r>
    </w:p>
    <w:p>
      <w:pPr>
        <w:spacing w:after="240"/>
        <w:ind w:left="2096" w:hanging="1196"/>
        <w:rPr>
          <w:rFonts w:hint="eastAsia"/>
          <w:b/>
        </w:rPr>
      </w:pPr>
      <w:r>
        <w:rPr>
          <w:rFonts w:hint="eastAsia"/>
          <w:b/>
        </w:rPr>
        <w:t>日期、天数、时间：</w:t>
      </w:r>
      <w:r>
        <w:rPr>
          <w:rFonts w:hint="eastAsia"/>
        </w:rPr>
        <w:t>未有特别说明时，均为公历日（天）及北京时间。</w:t>
      </w:r>
    </w:p>
    <w:p>
      <w:pPr>
        <w:spacing w:after="240"/>
        <w:ind w:left="2096" w:hanging="1196"/>
        <w:rPr>
          <w:rFonts w:hint="eastAsia"/>
        </w:rPr>
      </w:pPr>
      <w:r>
        <w:rPr>
          <w:rFonts w:hint="eastAsia"/>
          <w:b/>
        </w:rPr>
        <w:t>采购信息发布网站：</w:t>
      </w:r>
      <w:r>
        <w:rPr>
          <w:rFonts w:hint="eastAsia"/>
        </w:rPr>
        <w:t>采购人招标、采购管理平台(wz.gdairport.com)网站。</w:t>
      </w:r>
    </w:p>
    <w:p>
      <w:pPr>
        <w:spacing w:after="240"/>
        <w:ind w:left="2096" w:hanging="1196"/>
        <w:rPr>
          <w:rFonts w:hint="eastAsia"/>
        </w:rPr>
      </w:pPr>
      <w:r>
        <w:rPr>
          <w:rFonts w:hint="eastAsia"/>
          <w:b/>
        </w:rPr>
        <w:t>合同：</w:t>
      </w:r>
      <w:r>
        <w:rPr>
          <w:rFonts w:hint="eastAsia"/>
          <w:b/>
        </w:rPr>
        <w:tab/>
      </w:r>
      <w:r>
        <w:rPr>
          <w:rFonts w:hint="eastAsia"/>
          <w:b/>
        </w:rPr>
        <w:tab/>
      </w:r>
      <w:r>
        <w:rPr>
          <w:rFonts w:hint="eastAsia"/>
        </w:rPr>
        <w:t>指由采购所产生的合同或合约文件。合同由广东省机场管理集团有限公司与成交供应商签订。</w:t>
      </w:r>
    </w:p>
    <w:p>
      <w:pPr>
        <w:pStyle w:val="2"/>
        <w:rPr>
          <w:rFonts w:hint="default" w:eastAsia="宋体"/>
          <w:b w:val="0"/>
          <w:bCs/>
          <w:lang w:val="en-US" w:eastAsia="zh-CN"/>
        </w:rPr>
      </w:pPr>
      <w:r>
        <w:rPr>
          <w:rFonts w:hint="eastAsia"/>
          <w:lang w:val="en-US" w:eastAsia="zh-CN"/>
        </w:rPr>
        <w:t xml:space="preserve">         </w:t>
      </w:r>
      <w:r>
        <w:rPr>
          <w:rFonts w:hint="eastAsia" w:ascii="Times New Roman" w:hAnsi="Times New Roman" w:eastAsia="宋体" w:cs="Times New Roman"/>
          <w:b/>
          <w:color w:val="auto"/>
          <w:szCs w:val="20"/>
          <w:lang w:val="en-US" w:eastAsia="zh-CN"/>
        </w:rPr>
        <w:t>关联公司：</w:t>
      </w:r>
      <w:r>
        <w:rPr>
          <w:rFonts w:hint="eastAsia" w:ascii="Times New Roman" w:hAnsi="Times New Roman" w:cs="Times New Roman"/>
          <w:b/>
          <w:color w:val="auto"/>
          <w:szCs w:val="20"/>
          <w:lang w:val="en-US" w:eastAsia="zh-CN"/>
        </w:rPr>
        <w:t xml:space="preserve"> </w:t>
      </w:r>
      <w:r>
        <w:rPr>
          <w:rFonts w:hint="eastAsia" w:ascii="Times New Roman" w:hAnsi="Times New Roman" w:eastAsia="宋体" w:cs="Times New Roman"/>
          <w:b w:val="0"/>
          <w:bCs/>
          <w:color w:val="auto"/>
          <w:szCs w:val="20"/>
          <w:lang w:val="en-US" w:eastAsia="zh-CN"/>
        </w:rPr>
        <w:t>是指与其他企业相互之间持有的股份占公司股本总额50%以上;或者持有股份的比例虽然不足50%，但依其持有的股份所享有的表决权已足以对公司决策机构的决议产生重大影响；或者通过实际支配公司股份表决权能够决定公司董事会半数以上成员选任的企业。</w:t>
      </w:r>
    </w:p>
    <w:p>
      <w:pPr>
        <w:spacing w:after="240"/>
        <w:ind w:left="2096" w:hanging="1196"/>
        <w:rPr>
          <w:rFonts w:hint="eastAsia"/>
        </w:rPr>
      </w:pPr>
    </w:p>
    <w:p>
      <w:pPr>
        <w:pStyle w:val="4"/>
        <w:numPr>
          <w:ilvl w:val="0"/>
          <w:numId w:val="0"/>
        </w:numPr>
        <w:tabs>
          <w:tab w:val="left" w:pos="780"/>
          <w:tab w:val="left" w:pos="840"/>
        </w:tabs>
        <w:ind w:left="840" w:hanging="840"/>
        <w:rPr>
          <w:rFonts w:hint="eastAsia" w:ascii="Times New Roman" w:hAnsi="Times New Roman"/>
        </w:rPr>
      </w:pPr>
      <w:bookmarkStart w:id="6" w:name="_Toc22149443"/>
      <w:r>
        <w:rPr>
          <w:rFonts w:ascii="Times New Roman" w:hAnsi="Times New Roman"/>
        </w:rPr>
        <w:t>3</w:t>
      </w:r>
      <w:r>
        <w:rPr>
          <w:rFonts w:hint="eastAsia" w:ascii="Times New Roman" w:hAnsi="Times New Roman"/>
        </w:rPr>
        <w:tab/>
      </w:r>
      <w:r>
        <w:rPr>
          <w:rFonts w:hint="eastAsia" w:ascii="Times New Roman" w:hAnsi="Times New Roman"/>
        </w:rPr>
        <w:t>合格的</w:t>
      </w:r>
      <w:bookmarkEnd w:id="6"/>
      <w:r>
        <w:rPr>
          <w:rFonts w:hint="eastAsia" w:ascii="Times New Roman" w:hAnsi="Times New Roman"/>
        </w:rPr>
        <w:t>供应商</w:t>
      </w:r>
    </w:p>
    <w:p>
      <w:pPr>
        <w:numPr>
          <w:ilvl w:val="1"/>
          <w:numId w:val="9"/>
        </w:numPr>
        <w:tabs>
          <w:tab w:val="left" w:pos="1140"/>
        </w:tabs>
        <w:rPr>
          <w:rFonts w:hint="eastAsia"/>
        </w:rPr>
      </w:pPr>
      <w:r>
        <w:t xml:space="preserve">         </w:t>
      </w:r>
      <w:r>
        <w:rPr>
          <w:rFonts w:hint="eastAsia"/>
        </w:rPr>
        <w:t>合格的供应商要求见公告中的第3点。</w:t>
      </w:r>
    </w:p>
    <w:p>
      <w:pPr>
        <w:pStyle w:val="4"/>
        <w:numPr>
          <w:ilvl w:val="0"/>
          <w:numId w:val="9"/>
        </w:numPr>
        <w:rPr>
          <w:rFonts w:hint="eastAsia" w:ascii="Times New Roman" w:hAnsi="Times New Roman"/>
        </w:rPr>
      </w:pPr>
      <w:r>
        <w:rPr>
          <w:rFonts w:hint="eastAsia" w:ascii="Times New Roman" w:hAnsi="Times New Roman"/>
        </w:rPr>
        <w:tab/>
      </w:r>
      <w:r>
        <w:rPr>
          <w:rFonts w:ascii="Times New Roman" w:hAnsi="Times New Roman"/>
        </w:rPr>
        <w:t xml:space="preserve"> </w:t>
      </w:r>
      <w:r>
        <w:rPr>
          <w:rFonts w:hint="eastAsia" w:ascii="Times New Roman" w:hAnsi="Times New Roman"/>
        </w:rPr>
        <w:t xml:space="preserve">     </w:t>
      </w:r>
      <w:bookmarkStart w:id="7" w:name="_Toc22149444"/>
      <w:r>
        <w:rPr>
          <w:rFonts w:hint="eastAsia" w:ascii="Times New Roman" w:hAnsi="Times New Roman"/>
        </w:rPr>
        <w:t>合格的服务</w:t>
      </w:r>
      <w:bookmarkEnd w:id="7"/>
    </w:p>
    <w:p>
      <w:pPr>
        <w:pStyle w:val="5"/>
        <w:numPr>
          <w:ilvl w:val="1"/>
          <w:numId w:val="9"/>
        </w:numPr>
        <w:tabs>
          <w:tab w:val="left" w:pos="1140"/>
        </w:tabs>
        <w:spacing w:after="120"/>
        <w:ind w:left="840" w:hanging="840"/>
        <w:rPr>
          <w:rFonts w:hint="eastAsia"/>
        </w:rPr>
      </w:pPr>
      <w:r>
        <w:t xml:space="preserve">         </w:t>
      </w:r>
      <w:r>
        <w:rPr>
          <w:rFonts w:hint="eastAsia"/>
        </w:rPr>
        <w:t>合同中提供的所有服务，均应来自中华人民共和国或与之有正常合作关系的国家和地区，符合采购要求。</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8" w:name="_Toc22149445"/>
      <w:r>
        <w:rPr>
          <w:rFonts w:hint="eastAsia" w:ascii="Times New Roman" w:hAnsi="Times New Roman"/>
        </w:rPr>
        <w:t>报价费用</w:t>
      </w:r>
      <w:bookmarkEnd w:id="8"/>
    </w:p>
    <w:p>
      <w:pPr>
        <w:pStyle w:val="8"/>
        <w:ind w:left="851"/>
        <w:rPr>
          <w:rFonts w:hint="eastAsia"/>
        </w:rPr>
      </w:pPr>
      <w:r>
        <w:rPr>
          <w:rFonts w:hint="eastAsia"/>
        </w:rPr>
        <w:t>供应商应承担所有编写项目报价文件和参加报价的所有费用，不论是否中选，采购人在任何情况下均无义务和责任承担这些费用。</w:t>
      </w:r>
    </w:p>
    <w:p>
      <w:pPr>
        <w:pStyle w:val="3"/>
        <w:jc w:val="center"/>
        <w:rPr>
          <w:rFonts w:hint="eastAsia" w:eastAsia="黑体"/>
        </w:rPr>
      </w:pPr>
      <w:bookmarkStart w:id="9" w:name="_Toc472608693"/>
      <w:bookmarkStart w:id="10" w:name="_Toc22149446"/>
      <w:bookmarkStart w:id="11" w:name="_Toc520146435"/>
      <w:r>
        <w:rPr>
          <w:rFonts w:hint="eastAsia" w:eastAsia="黑体"/>
        </w:rPr>
        <w:t>二、采购文件</w:t>
      </w:r>
      <w:bookmarkEnd w:id="9"/>
      <w:bookmarkEnd w:id="10"/>
      <w:bookmarkEnd w:id="11"/>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2" w:name="_Toc22149447"/>
      <w:r>
        <w:rPr>
          <w:rFonts w:hint="eastAsia" w:ascii="Times New Roman" w:hAnsi="Times New Roman"/>
        </w:rPr>
        <w:t>采购文件构成</w:t>
      </w:r>
      <w:bookmarkEnd w:id="12"/>
    </w:p>
    <w:p>
      <w:pPr>
        <w:numPr>
          <w:ilvl w:val="1"/>
          <w:numId w:val="9"/>
        </w:numPr>
        <w:tabs>
          <w:tab w:val="left" w:pos="993"/>
          <w:tab w:val="left" w:pos="1140"/>
        </w:tabs>
        <w:spacing w:after="120"/>
        <w:ind w:left="839" w:hanging="839"/>
        <w:rPr>
          <w:rFonts w:hint="eastAsia"/>
        </w:rPr>
      </w:pPr>
      <w:r>
        <w:t xml:space="preserve">         </w:t>
      </w:r>
      <w:r>
        <w:rPr>
          <w:rFonts w:hint="eastAsia"/>
        </w:rPr>
        <w:t>要求提供的服务、评审过程和合同条件在采购文件中均有说明。采购文件包括：</w:t>
      </w:r>
    </w:p>
    <w:p>
      <w:pPr>
        <w:ind w:left="1275" w:firstLine="405"/>
        <w:rPr>
          <w:rFonts w:hint="eastAsia"/>
        </w:rPr>
      </w:pPr>
      <w:r>
        <w:rPr>
          <w:rFonts w:hint="eastAsia"/>
        </w:rPr>
        <w:t>第一部分</w:t>
      </w:r>
      <w:r>
        <w:t xml:space="preserve">   </w:t>
      </w:r>
      <w:r>
        <w:rPr>
          <w:rFonts w:hint="eastAsia"/>
        </w:rPr>
        <w:tab/>
      </w:r>
      <w:r>
        <w:rPr>
          <w:rFonts w:hint="eastAsia"/>
        </w:rPr>
        <w:t xml:space="preserve">公告 </w:t>
      </w:r>
    </w:p>
    <w:p>
      <w:pPr>
        <w:ind w:left="1275" w:firstLine="405"/>
      </w:pPr>
      <w:r>
        <w:rPr>
          <w:rFonts w:hint="eastAsia"/>
        </w:rPr>
        <w:t xml:space="preserve">第二部分   </w:t>
      </w:r>
      <w:r>
        <w:rPr>
          <w:rFonts w:hint="eastAsia"/>
        </w:rPr>
        <w:tab/>
      </w:r>
      <w:r>
        <w:rPr>
          <w:rFonts w:hint="eastAsia"/>
        </w:rPr>
        <w:t>供应商须知</w:t>
      </w:r>
    </w:p>
    <w:p>
      <w:pPr>
        <w:ind w:left="1275" w:firstLine="405"/>
        <w:rPr>
          <w:rFonts w:hint="eastAsia"/>
        </w:rPr>
      </w:pPr>
      <w:r>
        <w:rPr>
          <w:rFonts w:hint="eastAsia"/>
        </w:rPr>
        <w:t>第三部分</w:t>
      </w:r>
      <w:r>
        <w:t xml:space="preserve">  </w:t>
      </w:r>
      <w:r>
        <w:rPr>
          <w:rFonts w:hint="eastAsia"/>
        </w:rPr>
        <w:t xml:space="preserve"> </w:t>
      </w:r>
      <w:r>
        <w:rPr>
          <w:rFonts w:hint="eastAsia"/>
        </w:rPr>
        <w:tab/>
      </w:r>
      <w:r>
        <w:rPr>
          <w:rFonts w:hint="eastAsia"/>
        </w:rPr>
        <w:t>合同条款</w:t>
      </w:r>
    </w:p>
    <w:p>
      <w:pPr>
        <w:ind w:left="1275" w:firstLine="405"/>
      </w:pPr>
      <w:r>
        <w:rPr>
          <w:rFonts w:hint="eastAsia"/>
        </w:rPr>
        <w:t xml:space="preserve">第四部分   </w:t>
      </w:r>
      <w:r>
        <w:rPr>
          <w:rFonts w:hint="eastAsia"/>
        </w:rPr>
        <w:tab/>
      </w:r>
      <w:r>
        <w:rPr>
          <w:rFonts w:hint="eastAsia"/>
        </w:rPr>
        <w:t>项目报价文件格式</w:t>
      </w:r>
    </w:p>
    <w:p>
      <w:pPr>
        <w:ind w:left="1275" w:firstLine="405"/>
        <w:rPr>
          <w:rFonts w:hint="eastAsia"/>
        </w:rPr>
      </w:pPr>
      <w:r>
        <w:rPr>
          <w:rFonts w:hint="eastAsia"/>
        </w:rPr>
        <w:t xml:space="preserve">第五部分  </w:t>
      </w:r>
      <w:r>
        <w:rPr>
          <w:rFonts w:hint="eastAsia"/>
        </w:rPr>
        <w:tab/>
      </w:r>
      <w:r>
        <w:rPr>
          <w:rFonts w:hint="eastAsia"/>
        </w:rPr>
        <w:t>用户需求书</w:t>
      </w:r>
    </w:p>
    <w:p>
      <w:pPr>
        <w:rPr>
          <w:rFonts w:hint="eastAsia"/>
        </w:rPr>
      </w:pPr>
    </w:p>
    <w:p>
      <w:pPr>
        <w:numPr>
          <w:ilvl w:val="1"/>
          <w:numId w:val="9"/>
        </w:numPr>
        <w:tabs>
          <w:tab w:val="left" w:pos="1140"/>
        </w:tabs>
        <w:spacing w:after="120"/>
        <w:ind w:left="839" w:hanging="839"/>
        <w:rPr>
          <w:rFonts w:hint="eastAsia"/>
        </w:rPr>
      </w:pPr>
      <w:r>
        <w:t xml:space="preserve">         </w:t>
      </w:r>
      <w:r>
        <w:rPr>
          <w:rFonts w:hint="eastAsia"/>
        </w:rPr>
        <w:t>供应商应认真阅读采购文件中所有的事项、格式、条款和规范等要求。供应商没有按照采购文件要求提交全部资料，或者项目报价文件没有对采购文件各方面都做出实质性响应的供应商的项目报价文件将被拒绝。</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3" w:name="_Toc22149448"/>
      <w:r>
        <w:rPr>
          <w:rFonts w:hint="eastAsia" w:ascii="Times New Roman" w:hAnsi="Times New Roman"/>
        </w:rPr>
        <w:t>采购文件的澄清</w:t>
      </w:r>
      <w:bookmarkEnd w:id="13"/>
      <w:r>
        <w:rPr>
          <w:rFonts w:hint="eastAsia" w:ascii="Times New Roman" w:hAnsi="Times New Roman"/>
        </w:rPr>
        <w:t>和修改</w:t>
      </w:r>
    </w:p>
    <w:p>
      <w:pPr>
        <w:numPr>
          <w:ilvl w:val="1"/>
          <w:numId w:val="9"/>
        </w:numPr>
        <w:tabs>
          <w:tab w:val="left" w:pos="1140"/>
        </w:tabs>
        <w:spacing w:after="240"/>
        <w:ind w:left="840" w:hanging="840"/>
        <w:rPr>
          <w:rFonts w:hint="eastAsia"/>
        </w:rPr>
      </w:pPr>
      <w:r>
        <w:t xml:space="preserve">         </w:t>
      </w:r>
      <w:r>
        <w:rPr>
          <w:rFonts w:hint="eastAsia"/>
        </w:rPr>
        <w:t>任何要求对采购文件进行澄清的供应商，均应以书面形式通知采购人。</w:t>
      </w:r>
    </w:p>
    <w:p>
      <w:pPr>
        <w:numPr>
          <w:ilvl w:val="1"/>
          <w:numId w:val="9"/>
        </w:numPr>
        <w:tabs>
          <w:tab w:val="left" w:pos="851"/>
          <w:tab w:val="clear" w:pos="360"/>
        </w:tabs>
        <w:spacing w:after="240"/>
        <w:ind w:left="851" w:hanging="851"/>
        <w:rPr>
          <w:rFonts w:hint="eastAsia"/>
        </w:rPr>
      </w:pPr>
      <w:r>
        <w:rPr>
          <w:rFonts w:hint="eastAsia"/>
        </w:rPr>
        <w:t>采购人将通过广东省机场管理集团有限公司招标、采购管理平台(wz.</w:t>
      </w:r>
      <w:r>
        <w:t>gdairport.com</w:t>
      </w:r>
      <w:r>
        <w:rPr>
          <w:rFonts w:hint="eastAsia"/>
        </w:rPr>
        <w:t>)以补充公告的形式或电子邮件方式对采购文件进行澄清。澄清或者修改的内容可能影响报价文件编制的，更正公告在报价截止时间至少5日前发出；不足5日的，交易中心顺延提交报价文件截止时间。</w:t>
      </w:r>
    </w:p>
    <w:p>
      <w:pPr>
        <w:numPr>
          <w:ilvl w:val="1"/>
          <w:numId w:val="9"/>
        </w:numPr>
        <w:tabs>
          <w:tab w:val="left" w:pos="1140"/>
        </w:tabs>
        <w:spacing w:after="240"/>
        <w:ind w:left="840" w:hanging="840"/>
        <w:rPr>
          <w:rFonts w:hint="eastAsia"/>
        </w:rPr>
      </w:pPr>
      <w:r>
        <w:t xml:space="preserve">         </w:t>
      </w:r>
      <w:r>
        <w:rPr>
          <w:rFonts w:hint="eastAsia"/>
        </w:rPr>
        <w:t>在规定的递交报价文件截止日期前的任何时候，无论出于何种原因，采购人可主动或在解答供应商提出的需澄清问题时以修改书的方式对采购文件进行修改。</w:t>
      </w:r>
    </w:p>
    <w:p>
      <w:pPr>
        <w:numPr>
          <w:ilvl w:val="1"/>
          <w:numId w:val="9"/>
        </w:numPr>
        <w:tabs>
          <w:tab w:val="left" w:pos="1140"/>
        </w:tabs>
        <w:spacing w:after="240"/>
        <w:ind w:left="840" w:hanging="840"/>
        <w:rPr>
          <w:rFonts w:hint="eastAsia"/>
        </w:rPr>
      </w:pPr>
      <w:r>
        <w:t xml:space="preserve">         </w:t>
      </w:r>
      <w:r>
        <w:rPr>
          <w:rFonts w:hint="eastAsia"/>
        </w:rPr>
        <w:t>修改书是采购文件的组成部分，对所有参与供应商均有约束力。供应商在收到采购文件的修改书应书面通知（包括电子邮件）采购人。</w:t>
      </w:r>
    </w:p>
    <w:p>
      <w:pPr>
        <w:numPr>
          <w:ilvl w:val="1"/>
          <w:numId w:val="9"/>
        </w:numPr>
        <w:tabs>
          <w:tab w:val="left" w:pos="1140"/>
        </w:tabs>
        <w:spacing w:after="240"/>
        <w:ind w:left="840" w:hanging="840"/>
        <w:rPr>
          <w:rFonts w:hint="eastAsia"/>
        </w:rPr>
      </w:pPr>
      <w:r>
        <w:t xml:space="preserve">         </w:t>
      </w:r>
      <w:r>
        <w:rPr>
          <w:rFonts w:hint="eastAsia"/>
        </w:rPr>
        <w:t>为使供应商编写报价文件时，有充分时间对采购文件的修改部分进行研究，采购人可自行决定，酌情延长报价文件递交截止日期。</w:t>
      </w:r>
    </w:p>
    <w:p>
      <w:pPr>
        <w:numPr>
          <w:ilvl w:val="1"/>
          <w:numId w:val="9"/>
        </w:numPr>
        <w:tabs>
          <w:tab w:val="left" w:pos="1140"/>
        </w:tabs>
        <w:spacing w:after="240"/>
        <w:ind w:left="840" w:hanging="840"/>
      </w:pPr>
      <w:r>
        <w:rPr>
          <w:rFonts w:hint="eastAsia"/>
        </w:rPr>
        <w:t xml:space="preserve">         </w:t>
      </w:r>
      <w:r>
        <w:t>供应商在规定的时间内未对采购文件提出疑问、质疑或要求澄清的，将视其为无异议。对采购文件中描述有歧义或前后不一致的地方，评审小组有权进行评判，但对同一条款的评判应适用于每个供应商。</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 xml:space="preserve">      </w:t>
      </w:r>
      <w:bookmarkStart w:id="14" w:name="_Toc22149450"/>
      <w:r>
        <w:rPr>
          <w:rFonts w:hint="eastAsia" w:ascii="Times New Roman" w:hAnsi="Times New Roman"/>
        </w:rPr>
        <w:t>采购语言及计量单位</w:t>
      </w:r>
      <w:bookmarkEnd w:id="14"/>
    </w:p>
    <w:p>
      <w:pPr>
        <w:numPr>
          <w:ilvl w:val="1"/>
          <w:numId w:val="9"/>
        </w:numPr>
        <w:tabs>
          <w:tab w:val="left" w:pos="1140"/>
        </w:tabs>
        <w:ind w:left="840" w:hanging="840"/>
      </w:pPr>
      <w:r>
        <w:rPr>
          <w:rFonts w:hint="eastAsia"/>
        </w:rPr>
        <w:t xml:space="preserve">         采购方发出的采购文件采用中文。</w:t>
      </w:r>
    </w:p>
    <w:p>
      <w:pPr>
        <w:tabs>
          <w:tab w:val="left" w:pos="0"/>
        </w:tabs>
        <w:rPr>
          <w:rFonts w:hint="eastAsia"/>
          <w:b/>
        </w:rPr>
      </w:pPr>
    </w:p>
    <w:p>
      <w:pPr>
        <w:numPr>
          <w:ilvl w:val="1"/>
          <w:numId w:val="9"/>
        </w:numPr>
        <w:tabs>
          <w:tab w:val="left" w:pos="1140"/>
        </w:tabs>
        <w:ind w:left="840" w:hanging="840"/>
        <w:rPr>
          <w:rFonts w:hint="eastAsia"/>
        </w:rPr>
      </w:pPr>
      <w:r>
        <w:rPr>
          <w:rFonts w:hint="eastAsia"/>
        </w:rPr>
        <w:t xml:space="preserve">         采购文件中使用的计量单位都是公制系统。</w:t>
      </w:r>
    </w:p>
    <w:p>
      <w:pPr>
        <w:pStyle w:val="3"/>
        <w:jc w:val="center"/>
        <w:rPr>
          <w:rFonts w:hint="eastAsia" w:eastAsia="黑体"/>
        </w:rPr>
      </w:pPr>
      <w:bookmarkStart w:id="15" w:name="_Toc22149451"/>
      <w:r>
        <w:rPr>
          <w:rFonts w:hint="eastAsia" w:eastAsia="黑体"/>
        </w:rPr>
        <w:t>三、项目报价文件的编制</w:t>
      </w:r>
      <w:bookmarkEnd w:id="15"/>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16" w:name="_Toc22149452"/>
      <w:r>
        <w:rPr>
          <w:rFonts w:hint="eastAsia" w:ascii="Times New Roman" w:hAnsi="Times New Roman"/>
        </w:rPr>
        <w:t>项目报价文件</w:t>
      </w:r>
      <w:bookmarkEnd w:id="16"/>
    </w:p>
    <w:p>
      <w:pPr>
        <w:numPr>
          <w:ilvl w:val="1"/>
          <w:numId w:val="9"/>
        </w:numPr>
        <w:tabs>
          <w:tab w:val="left" w:pos="851"/>
          <w:tab w:val="clear" w:pos="360"/>
        </w:tabs>
        <w:spacing w:after="240"/>
        <w:ind w:left="851" w:hanging="851"/>
        <w:rPr>
          <w:rFonts w:hint="eastAsia"/>
        </w:rPr>
      </w:pPr>
      <w:r>
        <w:rPr>
          <w:rFonts w:hint="eastAsia"/>
        </w:rPr>
        <w:t>报价文件由商务文件和服务文件两部分组成。各部分文件应分别编制，有关文件应按照第四部分项目报价文件格式进行准备，并密封包装。</w:t>
      </w:r>
    </w:p>
    <w:p>
      <w:pPr>
        <w:numPr>
          <w:ilvl w:val="1"/>
          <w:numId w:val="9"/>
        </w:numPr>
        <w:tabs>
          <w:tab w:val="left" w:pos="851"/>
          <w:tab w:val="clear" w:pos="360"/>
        </w:tabs>
        <w:spacing w:after="240"/>
        <w:ind w:left="840" w:hanging="840"/>
        <w:rPr>
          <w:rFonts w:hint="eastAsia"/>
        </w:rPr>
      </w:pPr>
      <w:r>
        <w:rPr>
          <w:rFonts w:hint="eastAsia" w:ascii="宋体" w:hAnsi="宋体"/>
        </w:rPr>
        <w:t>报价文件的签署要求：报价文件所有需盖章或签字的部分均需供应商法定代表人或法定代表人授权代表盖章或签字，否则将被视为无效报价文件。</w:t>
      </w:r>
    </w:p>
    <w:p>
      <w:pPr>
        <w:numPr>
          <w:ilvl w:val="1"/>
          <w:numId w:val="9"/>
        </w:numPr>
        <w:tabs>
          <w:tab w:val="left" w:pos="851"/>
        </w:tabs>
        <w:spacing w:after="240"/>
        <w:ind w:left="851" w:hanging="851"/>
        <w:rPr>
          <w:rFonts w:hint="eastAsia"/>
        </w:rPr>
      </w:pPr>
      <w:r>
        <w:rPr>
          <w:rFonts w:hint="eastAsia"/>
        </w:rPr>
        <w:t xml:space="preserve">     报价文件包括纸质文件一式</w:t>
      </w:r>
      <w:r>
        <w:t>5</w:t>
      </w:r>
      <w:r>
        <w:rPr>
          <w:rFonts w:hint="eastAsia"/>
          <w:szCs w:val="22"/>
        </w:rPr>
        <w:t>份。纸质版正本1份，封面标注“正本”字样，副本4份，封面标注“副本”字样。正本与副本不</w:t>
      </w:r>
      <w:r>
        <w:rPr>
          <w:rFonts w:hint="eastAsia"/>
        </w:rPr>
        <w:t>符的内容，以正本为准。</w:t>
      </w:r>
    </w:p>
    <w:p>
      <w:pPr>
        <w:numPr>
          <w:ilvl w:val="1"/>
          <w:numId w:val="9"/>
        </w:numPr>
        <w:tabs>
          <w:tab w:val="left" w:pos="840"/>
          <w:tab w:val="clear" w:pos="360"/>
        </w:tabs>
        <w:spacing w:after="240"/>
        <w:ind w:left="851" w:hanging="851"/>
        <w:rPr>
          <w:rFonts w:hint="eastAsia"/>
        </w:rPr>
      </w:pPr>
      <w:r>
        <w:rPr>
          <w:rFonts w:hint="eastAsia"/>
        </w:rPr>
        <w:t>报价文件应做到清晰、完整，文本、图纸规格应当尽量统一。除非另有规定，否则报价文件的计量单位宜采用国际标准计量单位，尺寸齐全、准确，所有文字说明和文字标注以中文为准，报价均为人民币，时间均为北京时间。</w:t>
      </w:r>
    </w:p>
    <w:p>
      <w:pPr>
        <w:pStyle w:val="2"/>
      </w:pPr>
      <w:r>
        <w:rPr>
          <w:rFonts w:hint="eastAsia"/>
        </w:rPr>
        <w:t>注：上述报价文件份数有调整需求的，可自行调整，但是副本的份数应不低于3份。</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17" w:name="_Toc22149453"/>
      <w:r>
        <w:rPr>
          <w:rFonts w:hint="eastAsia" w:ascii="Times New Roman" w:hAnsi="Times New Roman"/>
        </w:rPr>
        <w:t>商务文件（含资格审查文件）编制要求</w:t>
      </w:r>
      <w:bookmarkEnd w:id="17"/>
    </w:p>
    <w:p>
      <w:pPr>
        <w:numPr>
          <w:ilvl w:val="1"/>
          <w:numId w:val="9"/>
        </w:numPr>
        <w:tabs>
          <w:tab w:val="left" w:pos="840"/>
        </w:tabs>
        <w:rPr>
          <w:rFonts w:hint="eastAsia" w:ascii="宋体" w:hAnsi="宋体"/>
        </w:rPr>
      </w:pPr>
      <w:r>
        <w:rPr>
          <w:rFonts w:hint="eastAsia" w:ascii="宋体" w:hAnsi="宋体"/>
        </w:rPr>
        <w:t>商务文件由下列资料组成：</w:t>
      </w:r>
    </w:p>
    <w:p>
      <w:pPr>
        <w:numPr>
          <w:ilvl w:val="3"/>
          <w:numId w:val="10"/>
        </w:numPr>
        <w:tabs>
          <w:tab w:val="left" w:pos="851"/>
        </w:tabs>
        <w:ind w:left="851" w:hanging="2"/>
        <w:rPr>
          <w:rFonts w:hint="eastAsia" w:ascii="宋体" w:hAnsi="宋体"/>
        </w:rPr>
      </w:pPr>
      <w:r>
        <w:rPr>
          <w:rFonts w:hint="eastAsia" w:ascii="宋体" w:hAnsi="宋体"/>
        </w:rPr>
        <w:t>封面：写明项目名称、商务文件、</w:t>
      </w:r>
      <w:r>
        <w:rPr>
          <w:rFonts w:hint="eastAsia"/>
        </w:rPr>
        <w:t>供应商名称</w:t>
      </w:r>
      <w:r>
        <w:rPr>
          <w:rFonts w:hint="eastAsia" w:ascii="宋体" w:hAnsi="宋体"/>
        </w:rPr>
        <w:t>及年月日；加盖供应商公章。</w:t>
      </w:r>
    </w:p>
    <w:p>
      <w:pPr>
        <w:numPr>
          <w:ilvl w:val="3"/>
          <w:numId w:val="10"/>
        </w:numPr>
        <w:tabs>
          <w:tab w:val="left" w:pos="851"/>
        </w:tabs>
        <w:ind w:left="851" w:hanging="2"/>
        <w:rPr>
          <w:rFonts w:hint="eastAsia" w:ascii="宋体" w:hAnsi="宋体"/>
        </w:rPr>
      </w:pPr>
      <w:r>
        <w:rPr>
          <w:rFonts w:hint="eastAsia" w:ascii="宋体" w:hAnsi="宋体"/>
        </w:rPr>
        <w:t>目录。</w:t>
      </w:r>
    </w:p>
    <w:p>
      <w:pPr>
        <w:numPr>
          <w:ilvl w:val="3"/>
          <w:numId w:val="10"/>
        </w:numPr>
        <w:tabs>
          <w:tab w:val="left" w:pos="851"/>
        </w:tabs>
        <w:ind w:left="1276" w:hanging="427"/>
        <w:rPr>
          <w:rFonts w:hint="eastAsia" w:ascii="宋体" w:hAnsi="宋体"/>
        </w:rPr>
      </w:pPr>
      <w:r>
        <w:rPr>
          <w:rFonts w:hint="eastAsia"/>
        </w:rPr>
        <w:t>填妥并盖章的报价函（格式见附录2）。</w:t>
      </w:r>
    </w:p>
    <w:p>
      <w:pPr>
        <w:numPr>
          <w:ilvl w:val="3"/>
          <w:numId w:val="10"/>
        </w:numPr>
        <w:tabs>
          <w:tab w:val="left" w:pos="851"/>
        </w:tabs>
        <w:ind w:left="1276" w:hanging="427"/>
        <w:rPr>
          <w:rFonts w:hint="eastAsia"/>
          <w:szCs w:val="22"/>
        </w:rPr>
      </w:pPr>
      <w:r>
        <w:rPr>
          <w:rFonts w:hint="eastAsia"/>
          <w:szCs w:val="22"/>
        </w:rPr>
        <w:t>企业营业执照或事业单位法人证书复印件（盖公章）。</w:t>
      </w:r>
    </w:p>
    <w:p>
      <w:pPr>
        <w:numPr>
          <w:ilvl w:val="3"/>
          <w:numId w:val="10"/>
        </w:numPr>
        <w:tabs>
          <w:tab w:val="left" w:pos="851"/>
        </w:tabs>
        <w:ind w:left="1276" w:hanging="427"/>
        <w:rPr>
          <w:rFonts w:hint="eastAsia"/>
          <w:szCs w:val="22"/>
        </w:rPr>
      </w:pPr>
      <w:r>
        <w:rPr>
          <w:rFonts w:hint="eastAsia"/>
          <w:szCs w:val="22"/>
        </w:rPr>
        <w:t>法定代表人证明书及法定代表人授权书（格式见附录4）【注：如为分支机构或分公司，则需要总公司的授权书。】</w:t>
      </w:r>
    </w:p>
    <w:p>
      <w:pPr>
        <w:numPr>
          <w:ilvl w:val="3"/>
          <w:numId w:val="10"/>
        </w:numPr>
        <w:tabs>
          <w:tab w:val="left" w:pos="851"/>
        </w:tabs>
        <w:ind w:left="851" w:hanging="2"/>
        <w:rPr>
          <w:rFonts w:hint="eastAsia" w:ascii="宋体" w:hAnsi="宋体"/>
        </w:rPr>
      </w:pPr>
      <w:r>
        <w:rPr>
          <w:rFonts w:hint="eastAsia" w:ascii="宋体" w:hAnsi="宋体" w:eastAsia="宋体" w:cs="Courier New"/>
          <w:color w:val="auto"/>
          <w:sz w:val="21"/>
          <w:szCs w:val="21"/>
          <w:highlight w:val="none"/>
        </w:rPr>
        <w:t>高级工程师</w:t>
      </w:r>
      <w:r>
        <w:rPr>
          <w:rFonts w:hint="eastAsia" w:ascii="宋体" w:hAnsi="宋体" w:cs="Courier New"/>
          <w:color w:val="auto"/>
          <w:sz w:val="21"/>
          <w:szCs w:val="21"/>
          <w:highlight w:val="none"/>
          <w:lang w:val="en-US" w:eastAsia="zh-CN"/>
        </w:rPr>
        <w:t>或</w:t>
      </w:r>
      <w:r>
        <w:rPr>
          <w:rFonts w:hint="eastAsia" w:ascii="宋体" w:hAnsi="宋体" w:eastAsia="宋体" w:cs="Courier New"/>
          <w:color w:val="auto"/>
          <w:sz w:val="21"/>
          <w:szCs w:val="21"/>
          <w:highlight w:val="none"/>
        </w:rPr>
        <w:t>注册安全工程师</w:t>
      </w:r>
      <w:r>
        <w:rPr>
          <w:rFonts w:hint="eastAsia" w:ascii="宋体" w:hAnsi="宋体" w:cs="Courier New"/>
          <w:color w:val="auto"/>
          <w:sz w:val="21"/>
          <w:szCs w:val="21"/>
          <w:highlight w:val="none"/>
          <w:lang w:val="en-US" w:eastAsia="zh-CN"/>
        </w:rPr>
        <w:t>或安全评价师</w:t>
      </w:r>
      <w:r>
        <w:rPr>
          <w:rFonts w:hint="eastAsia" w:ascii="宋体" w:hAnsi="宋体" w:eastAsia="宋体" w:cs="Courier New"/>
          <w:color w:val="auto"/>
          <w:sz w:val="21"/>
          <w:szCs w:val="21"/>
          <w:highlight w:val="none"/>
        </w:rPr>
        <w:t>资格</w:t>
      </w:r>
      <w:r>
        <w:rPr>
          <w:rFonts w:hint="eastAsia" w:ascii="宋体" w:hAnsi="宋体" w:eastAsia="宋体" w:cs="Courier New"/>
          <w:color w:val="auto"/>
          <w:sz w:val="21"/>
          <w:szCs w:val="21"/>
          <w:highlight w:val="none"/>
          <w:lang w:eastAsia="zh-CN"/>
        </w:rPr>
        <w:t>复印件（盖公章）。</w:t>
      </w:r>
    </w:p>
    <w:p>
      <w:pPr>
        <w:numPr>
          <w:ilvl w:val="3"/>
          <w:numId w:val="10"/>
        </w:numPr>
        <w:tabs>
          <w:tab w:val="left" w:pos="851"/>
        </w:tabs>
        <w:ind w:left="851" w:hanging="2"/>
        <w:rPr>
          <w:rFonts w:hint="eastAsia" w:ascii="宋体" w:hAnsi="宋体"/>
        </w:rPr>
      </w:pPr>
      <w:r>
        <w:rPr>
          <w:rFonts w:hint="eastAsia"/>
        </w:rPr>
        <w:t>广东省机场管理集团有限公司招标、采购管理平台合作商登记表</w:t>
      </w:r>
      <w:r>
        <w:rPr>
          <w:rFonts w:hint="eastAsia" w:ascii="宋体" w:hAnsi="宋体"/>
        </w:rPr>
        <w:t>（盖公章）</w:t>
      </w:r>
      <w:r>
        <w:rPr>
          <w:rFonts w:hint="eastAsia"/>
        </w:rPr>
        <w:t>。</w:t>
      </w:r>
    </w:p>
    <w:p>
      <w:pPr>
        <w:numPr>
          <w:ilvl w:val="3"/>
          <w:numId w:val="10"/>
        </w:numPr>
        <w:tabs>
          <w:tab w:val="left" w:pos="851"/>
        </w:tabs>
        <w:ind w:left="851" w:hanging="2"/>
        <w:rPr>
          <w:rFonts w:ascii="宋体" w:hAnsi="宋体"/>
        </w:rPr>
      </w:pPr>
      <w:r>
        <w:rPr>
          <w:rFonts w:hint="eastAsia" w:ascii="宋体" w:hAnsi="宋体"/>
        </w:rPr>
        <w:t>供应商没有因腐败或欺诈行为，与采购人无发生各种诉讼、仲裁和不良投诉的承诺函（盖公章）。</w:t>
      </w:r>
    </w:p>
    <w:p>
      <w:pPr>
        <w:numPr>
          <w:ilvl w:val="3"/>
          <w:numId w:val="10"/>
        </w:numPr>
        <w:tabs>
          <w:tab w:val="left" w:pos="851"/>
        </w:tabs>
        <w:ind w:left="851" w:hanging="2"/>
        <w:rPr>
          <w:rFonts w:ascii="宋体" w:hAnsi="宋体"/>
        </w:rPr>
      </w:pPr>
      <w:r>
        <w:rPr>
          <w:rFonts w:hint="eastAsia" w:ascii="宋体" w:hAnsi="宋体"/>
        </w:rPr>
        <w:t>“信用中国”网站（www.creditchina.gov.cn）下载的信用评估报告（盖公章）。</w:t>
      </w:r>
    </w:p>
    <w:p>
      <w:pPr>
        <w:numPr>
          <w:ilvl w:val="3"/>
          <w:numId w:val="10"/>
        </w:numPr>
        <w:tabs>
          <w:tab w:val="left" w:pos="851"/>
        </w:tabs>
        <w:ind w:left="851" w:hanging="2"/>
        <w:rPr>
          <w:rFonts w:ascii="宋体" w:hAnsi="宋体"/>
        </w:rPr>
      </w:pPr>
      <w:r>
        <w:rPr>
          <w:rFonts w:hint="eastAsia" w:ascii="宋体" w:hAnsi="宋体"/>
        </w:rPr>
        <w:t>“国家企业信用信息公示系统”网站（www.gsxt.gov.cn）查询截图（盖公章）。</w:t>
      </w:r>
    </w:p>
    <w:p>
      <w:pPr>
        <w:numPr>
          <w:ilvl w:val="3"/>
          <w:numId w:val="10"/>
        </w:numPr>
        <w:tabs>
          <w:tab w:val="left" w:pos="851"/>
        </w:tabs>
        <w:ind w:left="851" w:hanging="2"/>
        <w:rPr>
          <w:rFonts w:hint="eastAsia" w:ascii="宋体" w:hAnsi="宋体"/>
        </w:rPr>
      </w:pPr>
      <w:r>
        <w:rPr>
          <w:rFonts w:hint="eastAsia"/>
        </w:rPr>
        <w:t>“中国执行信息公开网”网站截图并加盖公章。</w:t>
      </w:r>
    </w:p>
    <w:p>
      <w:pPr>
        <w:tabs>
          <w:tab w:val="left" w:pos="851"/>
        </w:tabs>
        <w:ind w:left="849"/>
        <w:rPr>
          <w:rFonts w:hint="eastAsia" w:ascii="宋体" w:hAnsi="宋体"/>
        </w:rPr>
      </w:pPr>
      <w:r>
        <w:rPr>
          <w:rFonts w:hint="eastAsia" w:ascii="宋体" w:hAnsi="宋体"/>
          <w:szCs w:val="22"/>
        </w:rPr>
        <w:t>事业单位不需要提供以上第</w:t>
      </w:r>
      <w:r>
        <w:rPr>
          <w:rFonts w:hint="eastAsia" w:ascii="宋体" w:hAnsi="宋体"/>
          <w:szCs w:val="22"/>
          <w:lang w:val="en-US" w:eastAsia="zh-CN"/>
        </w:rPr>
        <w:t>9</w:t>
      </w:r>
      <w:r>
        <w:rPr>
          <w:rFonts w:hint="eastAsia" w:ascii="宋体" w:hAnsi="宋体"/>
          <w:szCs w:val="22"/>
        </w:rPr>
        <w:t>）、</w:t>
      </w:r>
      <w:r>
        <w:rPr>
          <w:rFonts w:hint="eastAsia" w:ascii="宋体" w:hAnsi="宋体"/>
          <w:szCs w:val="22"/>
          <w:lang w:val="en-US" w:eastAsia="zh-CN"/>
        </w:rPr>
        <w:t>10</w:t>
      </w:r>
      <w:r>
        <w:rPr>
          <w:rFonts w:hint="eastAsia" w:ascii="宋体" w:hAnsi="宋体"/>
          <w:szCs w:val="22"/>
        </w:rPr>
        <w:t>）、1</w:t>
      </w:r>
      <w:r>
        <w:rPr>
          <w:rFonts w:hint="eastAsia" w:ascii="宋体" w:hAnsi="宋体"/>
          <w:szCs w:val="22"/>
          <w:lang w:val="en-US" w:eastAsia="zh-CN"/>
        </w:rPr>
        <w:t>1</w:t>
      </w:r>
      <w:r>
        <w:rPr>
          <w:rFonts w:hint="eastAsia" w:ascii="宋体" w:hAnsi="宋体"/>
          <w:szCs w:val="22"/>
        </w:rPr>
        <w:t>）项内容。</w:t>
      </w:r>
    </w:p>
    <w:p>
      <w:pPr>
        <w:tabs>
          <w:tab w:val="left" w:pos="851"/>
        </w:tabs>
        <w:spacing w:after="240"/>
        <w:rPr>
          <w:rFonts w:hint="eastAsia" w:ascii="宋体" w:hAnsi="宋体"/>
        </w:rPr>
      </w:pPr>
    </w:p>
    <w:p>
      <w:pPr>
        <w:numPr>
          <w:ilvl w:val="1"/>
          <w:numId w:val="9"/>
        </w:numPr>
        <w:tabs>
          <w:tab w:val="left" w:pos="851"/>
          <w:tab w:val="clear" w:pos="360"/>
        </w:tabs>
        <w:spacing w:after="240"/>
        <w:ind w:left="851" w:hanging="851"/>
        <w:rPr>
          <w:rFonts w:hint="eastAsia" w:ascii="宋体" w:hAnsi="宋体"/>
        </w:rPr>
      </w:pPr>
      <w:r>
        <w:rPr>
          <w:rFonts w:hint="eastAsia" w:ascii="宋体" w:hAnsi="宋体"/>
        </w:rPr>
        <w:t>商务文件的密封要求：</w:t>
      </w:r>
      <w:bookmarkStart w:id="18" w:name="OLE_LINK9"/>
      <w:r>
        <w:rPr>
          <w:rFonts w:hint="eastAsia" w:ascii="宋体" w:hAnsi="宋体"/>
        </w:rPr>
        <w:t>供应商应确保商务文件密闭封装，外面标注“项目名称”、“供应商名称”及“商务文件”字样。外包装材料不应留有可在包封后添加或抽取报价文件的空隙</w:t>
      </w:r>
      <w:bookmarkEnd w:id="18"/>
      <w:r>
        <w:rPr>
          <w:rFonts w:hint="eastAsia" w:ascii="宋体" w:hAnsi="宋体"/>
        </w:rPr>
        <w:t>，并在封口处加盖供应商公章。</w:t>
      </w:r>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19" w:name="_Toc22149454"/>
      <w:r>
        <w:rPr>
          <w:rFonts w:hint="eastAsia"/>
        </w:rPr>
        <w:t>服务文件（服务方案）编制要求</w:t>
      </w:r>
      <w:bookmarkEnd w:id="19"/>
    </w:p>
    <w:p>
      <w:pPr>
        <w:numPr>
          <w:ilvl w:val="1"/>
          <w:numId w:val="9"/>
        </w:numPr>
        <w:tabs>
          <w:tab w:val="left" w:pos="851"/>
          <w:tab w:val="clear" w:pos="360"/>
        </w:tabs>
        <w:spacing w:after="240"/>
        <w:ind w:left="851" w:hanging="851"/>
        <w:rPr>
          <w:rFonts w:hint="eastAsia" w:ascii="宋体" w:hAnsi="宋体"/>
          <w:szCs w:val="22"/>
        </w:rPr>
      </w:pPr>
      <w:r>
        <w:rPr>
          <w:rFonts w:hint="eastAsia" w:ascii="宋体" w:hAnsi="宋体"/>
          <w:szCs w:val="22"/>
        </w:rPr>
        <w:t>“服务文件”是供应商根据第五部分用户需求书要求，并结合《商务评分表》的内容，充分发挥供应商自身优势和对项目的理解，提出的完成本项目的“服务方案”，内容包括但不限于：</w:t>
      </w:r>
    </w:p>
    <w:p>
      <w:pPr>
        <w:numPr>
          <w:ilvl w:val="0"/>
          <w:numId w:val="11"/>
        </w:numPr>
        <w:tabs>
          <w:tab w:val="left" w:pos="1276"/>
        </w:tabs>
        <w:ind w:left="1196" w:hanging="357"/>
        <w:rPr>
          <w:rFonts w:hint="eastAsia" w:ascii="宋体" w:hAnsi="宋体"/>
        </w:rPr>
      </w:pPr>
      <w:r>
        <w:rPr>
          <w:rFonts w:hint="eastAsia" w:ascii="宋体" w:hAnsi="宋体"/>
        </w:rPr>
        <w:t>目录。</w:t>
      </w:r>
    </w:p>
    <w:p>
      <w:pPr>
        <w:numPr>
          <w:ilvl w:val="0"/>
          <w:numId w:val="11"/>
        </w:numPr>
        <w:tabs>
          <w:tab w:val="left" w:pos="1276"/>
        </w:tabs>
        <w:ind w:left="1276" w:hanging="425"/>
        <w:rPr>
          <w:rFonts w:hint="eastAsia" w:ascii="宋体" w:hAnsi="宋体"/>
          <w:szCs w:val="22"/>
        </w:rPr>
      </w:pPr>
      <w:r>
        <w:rPr>
          <w:rFonts w:hint="eastAsia" w:ascii="宋体" w:hAnsi="宋体" w:cs="宋体"/>
          <w:szCs w:val="21"/>
        </w:rPr>
        <w:t>成功案例。</w:t>
      </w:r>
    </w:p>
    <w:p>
      <w:pPr>
        <w:tabs>
          <w:tab w:val="left" w:pos="1276"/>
        </w:tabs>
        <w:ind w:left="1270" w:leftChars="605"/>
        <w:rPr>
          <w:rFonts w:hint="eastAsia" w:ascii="宋体" w:hAnsi="宋体"/>
          <w:szCs w:val="22"/>
        </w:rPr>
      </w:pPr>
      <w:r>
        <w:rPr>
          <w:rFonts w:hint="eastAsia" w:ascii="宋体" w:hAnsi="宋体" w:cs="宋体"/>
          <w:szCs w:val="21"/>
        </w:rPr>
        <w:t>提供与本项目类似的成功案例。</w:t>
      </w:r>
    </w:p>
    <w:p>
      <w:pPr>
        <w:numPr>
          <w:ilvl w:val="0"/>
          <w:numId w:val="11"/>
        </w:numPr>
        <w:tabs>
          <w:tab w:val="left" w:pos="1276"/>
        </w:tabs>
        <w:ind w:left="1276" w:hanging="425"/>
        <w:rPr>
          <w:rFonts w:hint="eastAsia" w:ascii="宋体" w:hAnsi="宋体"/>
          <w:szCs w:val="22"/>
        </w:rPr>
      </w:pPr>
      <w:r>
        <w:rPr>
          <w:rFonts w:hint="eastAsia" w:ascii="宋体" w:hAnsi="宋体"/>
          <w:szCs w:val="22"/>
        </w:rPr>
        <w:t>项目说明书。</w:t>
      </w:r>
    </w:p>
    <w:p>
      <w:pPr>
        <w:tabs>
          <w:tab w:val="left" w:pos="1276"/>
        </w:tabs>
        <w:ind w:left="1270" w:leftChars="605"/>
        <w:rPr>
          <w:rFonts w:hint="eastAsia" w:ascii="宋体" w:hAnsi="宋体" w:cs="宋体"/>
          <w:szCs w:val="21"/>
        </w:rPr>
      </w:pPr>
      <w:r>
        <w:rPr>
          <w:rFonts w:hint="eastAsia" w:ascii="宋体" w:hAnsi="宋体" w:cs="宋体"/>
          <w:szCs w:val="21"/>
        </w:rPr>
        <w:t>详细说明其对采购人关于服务范围的理解和内容大纲的分析，简要</w:t>
      </w:r>
      <w:r>
        <w:rPr>
          <w:rFonts w:hint="eastAsia" w:ascii="宋体" w:hAnsi="宋体" w:cs="宋体"/>
          <w:szCs w:val="21"/>
          <w:lang w:eastAsia="zh-CN"/>
        </w:rPr>
        <w:t>说明评估方式、评估单内容和评估报告编制架构</w:t>
      </w:r>
      <w:r>
        <w:rPr>
          <w:rFonts w:hint="eastAsia" w:ascii="宋体" w:hAnsi="宋体" w:cs="宋体"/>
          <w:szCs w:val="21"/>
        </w:rPr>
        <w:t>。</w:t>
      </w:r>
    </w:p>
    <w:p>
      <w:pPr>
        <w:numPr>
          <w:ilvl w:val="0"/>
          <w:numId w:val="11"/>
        </w:numPr>
        <w:tabs>
          <w:tab w:val="left" w:pos="1276"/>
        </w:tabs>
        <w:ind w:left="1276" w:hanging="425"/>
        <w:rPr>
          <w:rFonts w:hint="eastAsia" w:ascii="宋体" w:hAnsi="宋体"/>
          <w:szCs w:val="22"/>
        </w:rPr>
      </w:pPr>
      <w:r>
        <w:rPr>
          <w:rFonts w:hint="eastAsia" w:ascii="宋体" w:hAnsi="宋体"/>
          <w:szCs w:val="22"/>
        </w:rPr>
        <w:t>项目工作方案。</w:t>
      </w:r>
    </w:p>
    <w:p>
      <w:pPr>
        <w:tabs>
          <w:tab w:val="left" w:pos="1276"/>
        </w:tabs>
        <w:ind w:left="1270" w:leftChars="605"/>
        <w:rPr>
          <w:rFonts w:hint="eastAsia" w:ascii="宋体" w:hAnsi="宋体" w:cs="宋体"/>
          <w:szCs w:val="21"/>
        </w:rPr>
      </w:pPr>
      <w:r>
        <w:rPr>
          <w:rFonts w:hint="eastAsia" w:ascii="宋体" w:hAnsi="宋体" w:cs="宋体"/>
          <w:szCs w:val="21"/>
        </w:rPr>
        <w:t>包括完成本项目工作的具体举措，拟投入的设备设施、人员情况；本项目的组织与配合计划，包括对本项目的管理方法、项目组的内部组织和安排、与采购人领导和项目组的工作配合计划等；本项目</w:t>
      </w:r>
      <w:r>
        <w:rPr>
          <w:rFonts w:hint="eastAsia" w:ascii="宋体" w:hAnsi="宋体" w:cs="宋体"/>
          <w:szCs w:val="21"/>
          <w:lang w:val="el-GR"/>
        </w:rPr>
        <w:t>宣讲和培训计划，包括每次宣讲和培训的主要内容、宣讲人、宣讲对象和大体日程等。</w:t>
      </w:r>
    </w:p>
    <w:p>
      <w:pPr>
        <w:numPr>
          <w:ilvl w:val="0"/>
          <w:numId w:val="11"/>
        </w:numPr>
        <w:tabs>
          <w:tab w:val="left" w:pos="1276"/>
        </w:tabs>
        <w:ind w:left="1276" w:hanging="425"/>
        <w:rPr>
          <w:rFonts w:hint="eastAsia" w:ascii="宋体" w:hAnsi="宋体"/>
          <w:szCs w:val="22"/>
        </w:rPr>
      </w:pPr>
      <w:r>
        <w:rPr>
          <w:rFonts w:hint="eastAsia" w:ascii="宋体" w:hAnsi="宋体"/>
          <w:szCs w:val="22"/>
        </w:rPr>
        <w:t>项目</w:t>
      </w:r>
      <w:r>
        <w:rPr>
          <w:rFonts w:hint="eastAsia" w:ascii="宋体" w:hAnsi="宋体"/>
          <w:szCs w:val="22"/>
          <w:lang w:eastAsia="zh-CN"/>
        </w:rPr>
        <w:t>评估</w:t>
      </w:r>
      <w:r>
        <w:rPr>
          <w:rFonts w:hint="eastAsia" w:ascii="宋体" w:hAnsi="宋体"/>
          <w:szCs w:val="22"/>
        </w:rPr>
        <w:t>计划。</w:t>
      </w:r>
    </w:p>
    <w:p>
      <w:pPr>
        <w:numPr>
          <w:ilvl w:val="0"/>
          <w:numId w:val="11"/>
        </w:numPr>
        <w:tabs>
          <w:tab w:val="left" w:pos="1276"/>
        </w:tabs>
        <w:ind w:left="1276" w:hanging="425"/>
        <w:rPr>
          <w:rFonts w:hint="eastAsia" w:ascii="宋体" w:hAnsi="宋体"/>
          <w:szCs w:val="22"/>
        </w:rPr>
      </w:pPr>
      <w:r>
        <w:rPr>
          <w:rFonts w:hint="eastAsia" w:ascii="宋体" w:hAnsi="宋体"/>
          <w:szCs w:val="22"/>
        </w:rPr>
        <w:t>本项目组织机构和人员（</w:t>
      </w:r>
      <w:r>
        <w:rPr>
          <w:rFonts w:hint="eastAsia"/>
          <w:szCs w:val="22"/>
        </w:rPr>
        <w:t>格式</w:t>
      </w:r>
      <w:r>
        <w:rPr>
          <w:rFonts w:hint="eastAsia" w:ascii="宋体" w:hAnsi="宋体"/>
          <w:szCs w:val="22"/>
        </w:rPr>
        <w:t>见附录5）</w:t>
      </w:r>
    </w:p>
    <w:p>
      <w:pPr>
        <w:numPr>
          <w:ilvl w:val="0"/>
          <w:numId w:val="11"/>
        </w:numPr>
        <w:tabs>
          <w:tab w:val="left" w:pos="1276"/>
        </w:tabs>
        <w:ind w:left="1276" w:hanging="425"/>
        <w:rPr>
          <w:rFonts w:hint="eastAsia" w:ascii="宋体" w:hAnsi="宋体"/>
          <w:szCs w:val="22"/>
        </w:rPr>
      </w:pPr>
      <w:r>
        <w:rPr>
          <w:rFonts w:hint="eastAsia" w:ascii="宋体" w:hAnsi="宋体"/>
          <w:szCs w:val="22"/>
        </w:rPr>
        <w:t>供应商2016年1月1日至今，具有完成</w:t>
      </w:r>
      <w:r>
        <w:rPr>
          <w:rFonts w:hint="eastAsia" w:ascii="宋体" w:hAnsi="宋体"/>
          <w:szCs w:val="22"/>
          <w:lang w:val="en-US" w:eastAsia="zh-CN"/>
        </w:rPr>
        <w:t>政府部门或企事业单位</w:t>
      </w:r>
      <w:r>
        <w:rPr>
          <w:rFonts w:hint="eastAsia" w:ascii="宋体" w:hAnsi="宋体"/>
          <w:szCs w:val="22"/>
        </w:rPr>
        <w:t>安全生产相关服务业绩</w:t>
      </w:r>
      <w:r>
        <w:rPr>
          <w:rFonts w:hint="eastAsia" w:ascii="宋体" w:hAnsi="宋体"/>
          <w:szCs w:val="22"/>
          <w:lang w:eastAsia="zh-CN"/>
        </w:rPr>
        <w:t>一览表</w:t>
      </w:r>
      <w:r>
        <w:rPr>
          <w:rFonts w:hint="eastAsia" w:ascii="宋体" w:hAnsi="宋体"/>
          <w:szCs w:val="22"/>
        </w:rPr>
        <w:t>（</w:t>
      </w:r>
      <w:r>
        <w:rPr>
          <w:rFonts w:hint="eastAsia"/>
          <w:szCs w:val="22"/>
        </w:rPr>
        <w:t>格式</w:t>
      </w:r>
      <w:r>
        <w:rPr>
          <w:rFonts w:hint="eastAsia" w:ascii="宋体" w:hAnsi="宋体"/>
          <w:szCs w:val="22"/>
        </w:rPr>
        <w:t>见附录6）</w:t>
      </w:r>
    </w:p>
    <w:p>
      <w:pPr>
        <w:numPr>
          <w:ilvl w:val="0"/>
          <w:numId w:val="11"/>
        </w:numPr>
        <w:tabs>
          <w:tab w:val="left" w:pos="1276"/>
        </w:tabs>
        <w:ind w:left="1276" w:hanging="425"/>
        <w:rPr>
          <w:rFonts w:hint="eastAsia" w:ascii="宋体" w:hAnsi="宋体"/>
          <w:szCs w:val="22"/>
        </w:rPr>
      </w:pPr>
      <w:r>
        <w:rPr>
          <w:rFonts w:hint="eastAsia" w:ascii="宋体" w:hAnsi="宋体"/>
          <w:szCs w:val="22"/>
        </w:rPr>
        <w:t>供应商认为有必要提供的其他资料。</w:t>
      </w:r>
    </w:p>
    <w:p>
      <w:pPr>
        <w:pStyle w:val="2"/>
      </w:pPr>
      <w:r>
        <w:rPr>
          <w:rFonts w:hint="eastAsia" w:ascii="宋体" w:hAnsi="宋体"/>
          <w:szCs w:val="22"/>
        </w:rPr>
        <w:t>注：上述目录排序以及内容，可视项目实际需要进行调整，但需要注意与评审要求保持一致。</w:t>
      </w:r>
    </w:p>
    <w:p>
      <w:pPr>
        <w:spacing w:line="400" w:lineRule="exact"/>
        <w:ind w:firstLine="420" w:firstLineChars="200"/>
        <w:rPr>
          <w:rFonts w:hint="eastAsia" w:ascii="宋体" w:hAnsi="宋体" w:cs="宋体"/>
          <w:szCs w:val="21"/>
        </w:rPr>
      </w:pPr>
    </w:p>
    <w:p>
      <w:pPr>
        <w:numPr>
          <w:ilvl w:val="1"/>
          <w:numId w:val="9"/>
        </w:numPr>
        <w:tabs>
          <w:tab w:val="left" w:pos="851"/>
          <w:tab w:val="clear" w:pos="360"/>
        </w:tabs>
        <w:spacing w:after="240"/>
        <w:ind w:left="851" w:hanging="851"/>
        <w:rPr>
          <w:rFonts w:hint="eastAsia"/>
        </w:rPr>
      </w:pPr>
      <w:r>
        <w:rPr>
          <w:rFonts w:hint="eastAsia"/>
        </w:rPr>
        <w:t>服务文件用不透明包装物包装密封，外面标注“项目名称”、</w:t>
      </w:r>
      <w:r>
        <w:rPr>
          <w:rFonts w:hint="eastAsia" w:ascii="宋体" w:hAnsi="宋体"/>
        </w:rPr>
        <w:t>“供应商名称”</w:t>
      </w:r>
      <w:r>
        <w:rPr>
          <w:rFonts w:hint="eastAsia"/>
        </w:rPr>
        <w:t>及“服务文件”字样，外包装材料不应留有可在包封后添加或抽取报价文件的空隙，并在封口处加盖供应商公章。</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20" w:name="_Toc22149456"/>
      <w:r>
        <w:rPr>
          <w:rFonts w:hint="eastAsia" w:ascii="Times New Roman" w:hAnsi="Times New Roman"/>
        </w:rPr>
        <w:t>关于分支机构报价</w:t>
      </w:r>
    </w:p>
    <w:p>
      <w:pPr>
        <w:numPr>
          <w:ilvl w:val="1"/>
          <w:numId w:val="9"/>
        </w:numPr>
        <w:tabs>
          <w:tab w:val="left" w:pos="851"/>
          <w:tab w:val="clear" w:pos="360"/>
        </w:tabs>
        <w:spacing w:after="240"/>
        <w:ind w:left="851" w:hanging="851"/>
        <w:rPr>
          <w:rFonts w:hint="eastAsia"/>
        </w:rPr>
      </w:pPr>
      <w:r>
        <w:rPr>
          <w:rFonts w:hint="eastAsia"/>
        </w:rPr>
        <w:t>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w:t>
      </w:r>
    </w:p>
    <w:p>
      <w:pPr>
        <w:pStyle w:val="4"/>
        <w:numPr>
          <w:ilvl w:val="0"/>
          <w:numId w:val="9"/>
        </w:numPr>
        <w:rPr>
          <w:rFonts w:hint="eastAsia" w:ascii="Times New Roman" w:hAnsi="Times New Roman"/>
        </w:rPr>
      </w:pPr>
      <w:r>
        <w:rPr>
          <w:rFonts w:hint="eastAsia" w:ascii="Times New Roman" w:hAnsi="Times New Roman"/>
        </w:rPr>
        <w:t xml:space="preserve">      关于联合体报价</w:t>
      </w:r>
    </w:p>
    <w:p>
      <w:pPr>
        <w:numPr>
          <w:ilvl w:val="1"/>
          <w:numId w:val="9"/>
        </w:numPr>
        <w:tabs>
          <w:tab w:val="left" w:pos="851"/>
          <w:tab w:val="clear" w:pos="360"/>
        </w:tabs>
        <w:spacing w:after="240"/>
        <w:ind w:left="851" w:hanging="851"/>
        <w:rPr>
          <w:rFonts w:hint="eastAsia"/>
        </w:rPr>
      </w:pPr>
      <w:r>
        <w:rPr>
          <w:rFonts w:hint="eastAsia"/>
        </w:rPr>
        <w:t>本项目不接受联合体报价。</w:t>
      </w:r>
    </w:p>
    <w:p>
      <w:pPr>
        <w:pStyle w:val="2"/>
        <w:tabs>
          <w:tab w:val="left" w:pos="360"/>
          <w:tab w:val="left" w:pos="425"/>
        </w:tabs>
        <w:rPr>
          <w:rFonts w:hint="eastAsia"/>
        </w:rPr>
      </w:pPr>
    </w:p>
    <w:p>
      <w:pPr>
        <w:tabs>
          <w:tab w:val="left" w:pos="425"/>
        </w:tabs>
      </w:pPr>
      <w:r>
        <w:rPr>
          <w:rFonts w:hint="eastAsia" w:ascii="Arial" w:hAnsi="Arial"/>
        </w:rPr>
        <w:t>注：第12-13项的报价要求，请依据采购要求是否同意分支机构、联合体报名而决定使用与否。</w:t>
      </w:r>
    </w:p>
    <w:p>
      <w:pPr>
        <w:pStyle w:val="2"/>
        <w:tabs>
          <w:tab w:val="left" w:pos="360"/>
          <w:tab w:val="left" w:pos="425"/>
        </w:tabs>
      </w:pPr>
    </w:p>
    <w:p>
      <w:pPr>
        <w:pStyle w:val="4"/>
        <w:numPr>
          <w:ilvl w:val="0"/>
          <w:numId w:val="9"/>
        </w:numPr>
        <w:rPr>
          <w:rFonts w:hint="eastAsia" w:ascii="Times New Roman" w:hAnsi="Times New Roman"/>
        </w:rPr>
      </w:pPr>
      <w:r>
        <w:rPr>
          <w:rFonts w:hint="eastAsia" w:ascii="Times New Roman" w:hAnsi="Times New Roman"/>
        </w:rPr>
        <w:t xml:space="preserve">     关于关联企业</w:t>
      </w:r>
    </w:p>
    <w:p>
      <w:pPr>
        <w:numPr>
          <w:ilvl w:val="1"/>
          <w:numId w:val="9"/>
        </w:numPr>
        <w:tabs>
          <w:tab w:val="left" w:pos="851"/>
          <w:tab w:val="clear" w:pos="360"/>
        </w:tabs>
        <w:spacing w:after="240"/>
        <w:ind w:left="851" w:hanging="851"/>
        <w:rPr>
          <w:rFonts w:hint="eastAsia"/>
        </w:rPr>
      </w:pPr>
      <w:r>
        <w:rPr>
          <w:rFonts w:hint="eastAsia"/>
        </w:rPr>
        <w:t>法定代表人或单位负责人为同一个人或者存在直接控股、管理关系的不同供应商，不得同时参加同一项目或同一子项目的报价。如同时参加，则评审时将同时被拒绝。</w:t>
      </w:r>
    </w:p>
    <w:p>
      <w:pPr>
        <w:pStyle w:val="2"/>
        <w:tabs>
          <w:tab w:val="left" w:pos="360"/>
          <w:tab w:val="left" w:pos="425"/>
        </w:tabs>
        <w:rPr>
          <w:rFonts w:hint="eastAsia"/>
        </w:rPr>
      </w:pPr>
    </w:p>
    <w:p>
      <w:pPr>
        <w:pStyle w:val="4"/>
        <w:numPr>
          <w:ilvl w:val="0"/>
          <w:numId w:val="9"/>
        </w:numPr>
        <w:rPr>
          <w:rFonts w:hint="eastAsia" w:ascii="Times New Roman" w:hAnsi="Times New Roman"/>
        </w:rPr>
      </w:pPr>
      <w:r>
        <w:rPr>
          <w:rFonts w:hint="eastAsia" w:ascii="Times New Roman" w:hAnsi="Times New Roman"/>
        </w:rPr>
        <w:t xml:space="preserve">        知识产权和专利权</w:t>
      </w:r>
      <w:bookmarkEnd w:id="20"/>
    </w:p>
    <w:p>
      <w:pPr>
        <w:numPr>
          <w:ilvl w:val="1"/>
          <w:numId w:val="9"/>
        </w:numPr>
        <w:tabs>
          <w:tab w:val="left" w:pos="851"/>
          <w:tab w:val="clear" w:pos="360"/>
        </w:tabs>
        <w:spacing w:after="240"/>
        <w:ind w:left="851" w:hanging="851"/>
        <w:rPr>
          <w:rFonts w:hint="eastAsia"/>
        </w:rPr>
      </w:pPr>
      <w:r>
        <w:rPr>
          <w:rFonts w:hint="eastAsia"/>
        </w:rPr>
        <w:t xml:space="preserve"> 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p>
    <w:p>
      <w:pPr>
        <w:numPr>
          <w:ilvl w:val="1"/>
          <w:numId w:val="9"/>
        </w:numPr>
        <w:tabs>
          <w:tab w:val="left" w:pos="851"/>
          <w:tab w:val="clear" w:pos="360"/>
        </w:tabs>
        <w:spacing w:after="240"/>
        <w:ind w:left="851" w:hanging="851"/>
        <w:rPr>
          <w:rFonts w:hint="eastAsia"/>
        </w:rPr>
      </w:pPr>
      <w:r>
        <w:rPr>
          <w:rFonts w:hint="eastAsia"/>
        </w:rPr>
        <w:t>报价应包含所有应向所有权人支付的专利权、商标权或其它知识产权的一切相关费用。</w:t>
      </w:r>
    </w:p>
    <w:p>
      <w:pPr>
        <w:numPr>
          <w:ilvl w:val="1"/>
          <w:numId w:val="9"/>
        </w:numPr>
        <w:tabs>
          <w:tab w:val="left" w:pos="851"/>
          <w:tab w:val="clear" w:pos="360"/>
        </w:tabs>
        <w:spacing w:after="240"/>
        <w:ind w:left="851" w:hanging="851"/>
        <w:rPr>
          <w:rFonts w:hint="eastAsia"/>
        </w:rPr>
      </w:pPr>
      <w:r>
        <w:rPr>
          <w:rFonts w:hint="eastAsia"/>
        </w:rPr>
        <w:t xml:space="preserve"> 系统软件、通用软件必须是具有在中国境内的合法使用权或版权的正版软件，涉及到第三方提出侵权或知识产权的起诉及支付版税等费用由供应商承担所有责任及费用。</w:t>
      </w:r>
    </w:p>
    <w:p>
      <w:pPr>
        <w:numPr>
          <w:ilvl w:val="1"/>
          <w:numId w:val="9"/>
        </w:numPr>
        <w:tabs>
          <w:tab w:val="left" w:pos="851"/>
          <w:tab w:val="clear" w:pos="360"/>
        </w:tabs>
        <w:spacing w:after="240"/>
        <w:ind w:left="851" w:hanging="851"/>
        <w:rPr>
          <w:rFonts w:hint="eastAsia"/>
        </w:rPr>
      </w:pPr>
      <w:r>
        <w:rPr>
          <w:rFonts w:hint="eastAsia"/>
        </w:rPr>
        <w:t xml:space="preserve"> 成交供应商需对所有成果、产品的知识产权负有瑕疵担保责任，因使用未被授权使用的技术、系统软件</w:t>
      </w:r>
      <w:r>
        <w:rPr>
          <w:rFonts w:hint="eastAsia"/>
          <w:lang w:eastAsia="zh-CN"/>
        </w:rPr>
        <w:t>、评估文件</w:t>
      </w:r>
      <w:r>
        <w:rPr>
          <w:rFonts w:hint="eastAsia"/>
        </w:rPr>
        <w:t>等知识产权问题引起的纠纷所产生的所有责任及费用由成交供应商自行承担。</w:t>
      </w:r>
    </w:p>
    <w:p>
      <w:pPr>
        <w:numPr>
          <w:ilvl w:val="1"/>
          <w:numId w:val="9"/>
        </w:numPr>
        <w:tabs>
          <w:tab w:val="left" w:pos="851"/>
          <w:tab w:val="clear" w:pos="360"/>
        </w:tabs>
        <w:spacing w:after="240"/>
        <w:ind w:left="851" w:hanging="851"/>
      </w:pPr>
      <w:r>
        <w:rPr>
          <w:rFonts w:hint="eastAsia"/>
        </w:rPr>
        <w:t xml:space="preserve"> 本项目</w:t>
      </w:r>
      <w:r>
        <w:rPr>
          <w:rFonts w:hint="eastAsia"/>
          <w:lang w:eastAsia="zh-CN"/>
        </w:rPr>
        <w:t>评估</w:t>
      </w:r>
      <w:r>
        <w:rPr>
          <w:rFonts w:hint="eastAsia"/>
        </w:rPr>
        <w:t>成果等所有权由采购人享有，未经采购人许可，成交供应商不得将相关采购人资料提供给第三方。</w:t>
      </w:r>
      <w:r>
        <w:rPr>
          <w:rFonts w:hint="eastAsia"/>
        </w:rPr>
        <w:tab/>
      </w:r>
      <w:r>
        <w:rPr>
          <w:rFonts w:hint="eastAsia"/>
        </w:rPr>
        <w:tab/>
      </w:r>
      <w:bookmarkStart w:id="21" w:name="_Toc22149457"/>
    </w:p>
    <w:p>
      <w:pPr>
        <w:pStyle w:val="4"/>
        <w:numPr>
          <w:ilvl w:val="0"/>
          <w:numId w:val="9"/>
        </w:numPr>
        <w:rPr>
          <w:rFonts w:hint="eastAsia" w:ascii="Times New Roman" w:hAnsi="Times New Roman"/>
        </w:rPr>
      </w:pPr>
      <w:r>
        <w:rPr>
          <w:rFonts w:hint="eastAsia" w:ascii="Times New Roman" w:hAnsi="Times New Roman"/>
        </w:rPr>
        <w:t xml:space="preserve">        纪律与保密事项</w:t>
      </w:r>
      <w:bookmarkEnd w:id="21"/>
    </w:p>
    <w:p>
      <w:pPr>
        <w:numPr>
          <w:ilvl w:val="1"/>
          <w:numId w:val="9"/>
        </w:numPr>
        <w:tabs>
          <w:tab w:val="left" w:pos="840"/>
        </w:tabs>
        <w:ind w:left="840" w:hanging="840"/>
        <w:rPr>
          <w:rFonts w:hint="eastAsia"/>
        </w:rPr>
      </w:pPr>
      <w:r>
        <w:rPr>
          <w:rFonts w:hint="eastAsia"/>
        </w:rPr>
        <w:t>供应商不得相互串通报价报价，不得妨碍其他供应商的公平竞争，不得损害采购人或其他供应商的合法权益，供应商不得以向采购人、评审小组成员行贿或者采取其他不正当手段谋取中标。</w:t>
      </w:r>
    </w:p>
    <w:p>
      <w:pPr>
        <w:numPr>
          <w:ilvl w:val="1"/>
          <w:numId w:val="9"/>
        </w:numPr>
        <w:tabs>
          <w:tab w:val="left" w:pos="840"/>
        </w:tabs>
        <w:ind w:left="840" w:hanging="840"/>
        <w:rPr>
          <w:rFonts w:hint="eastAsia"/>
        </w:rPr>
      </w:pPr>
      <w:r>
        <w:rPr>
          <w:rFonts w:hint="eastAsia"/>
        </w:rPr>
        <w:t>在确定成交供应商之前，供应商不得与采购人就报价价格、报价方案等实质性内容进行谈判，也不得私下接触评审小组成员。</w:t>
      </w:r>
    </w:p>
    <w:p>
      <w:pPr>
        <w:numPr>
          <w:ilvl w:val="1"/>
          <w:numId w:val="9"/>
        </w:numPr>
        <w:tabs>
          <w:tab w:val="left" w:pos="840"/>
        </w:tabs>
        <w:ind w:left="840" w:hanging="840"/>
        <w:rPr>
          <w:rFonts w:hint="eastAsia"/>
        </w:rPr>
      </w:pPr>
      <w:r>
        <w:rPr>
          <w:rFonts w:hint="eastAsia"/>
        </w:rPr>
        <w:t>在确定成交供应商之前，供应商试图在报价文件审查、澄清、比较和评价时对评审小组、采购人施加任何影响都可能导致其报价无效。</w:t>
      </w:r>
    </w:p>
    <w:p>
      <w:pPr>
        <w:numPr>
          <w:ilvl w:val="1"/>
          <w:numId w:val="9"/>
        </w:numPr>
        <w:tabs>
          <w:tab w:val="left" w:pos="840"/>
        </w:tabs>
        <w:ind w:left="840" w:hanging="840"/>
        <w:rPr>
          <w:rFonts w:hint="eastAsia"/>
        </w:rPr>
      </w:pPr>
      <w:r>
        <w:rPr>
          <w:rFonts w:hint="eastAsia"/>
        </w:rPr>
        <w:t>获得本采购文件者，不得将采购文件用作本次报价以外的任何用途。若有要求，开标后，供应商应归还采购文件中的保密文件和资料。</w:t>
      </w:r>
    </w:p>
    <w:p>
      <w:pPr>
        <w:numPr>
          <w:ilvl w:val="1"/>
          <w:numId w:val="9"/>
        </w:numPr>
        <w:tabs>
          <w:tab w:val="left" w:pos="840"/>
        </w:tabs>
        <w:ind w:left="840" w:hanging="840"/>
        <w:rPr>
          <w:rFonts w:hint="eastAsia"/>
        </w:rPr>
      </w:pPr>
      <w:r>
        <w:rPr>
          <w:rFonts w:hint="eastAsia"/>
        </w:rPr>
        <w:t>由采购人向供应商提供的</w:t>
      </w:r>
      <w:r>
        <w:rPr>
          <w:rFonts w:hint="eastAsia"/>
          <w:lang w:eastAsia="zh-CN"/>
        </w:rPr>
        <w:t>文件</w:t>
      </w:r>
      <w:r>
        <w:rPr>
          <w:rFonts w:hint="eastAsia"/>
        </w:rPr>
        <w:t>和所有其它资料，均为保密资料，仅被用于它所规定的用途。除非得到采购人的同意，不能向任何第三方透露。开标结束后，应采购人要求，供应商应归还所有从采购人处获得的保密资料。</w:t>
      </w:r>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22" w:name="_Toc22149458"/>
      <w:r>
        <w:rPr>
          <w:rFonts w:hint="eastAsia" w:ascii="Times New Roman" w:hAnsi="Times New Roman"/>
        </w:rPr>
        <w:t>报价文件有效期</w:t>
      </w:r>
      <w:bookmarkEnd w:id="22"/>
    </w:p>
    <w:p>
      <w:pPr>
        <w:numPr>
          <w:ilvl w:val="1"/>
          <w:numId w:val="9"/>
        </w:numPr>
        <w:tabs>
          <w:tab w:val="left" w:pos="840"/>
        </w:tabs>
        <w:spacing w:after="240"/>
        <w:ind w:left="840" w:hanging="840"/>
        <w:rPr>
          <w:rFonts w:hint="eastAsia"/>
        </w:rPr>
      </w:pPr>
      <w:r>
        <w:rPr>
          <w:rFonts w:hint="eastAsia"/>
        </w:rPr>
        <w:t>★项目报价文件应在公告规定的报价日后的90天有效期内保持有效。报价文件有效期比规定短的将被视为非响应报价而予以拒绝。（注：有效期可视项目需要进行调整，但一般不低于30个工作日。）</w:t>
      </w:r>
    </w:p>
    <w:p>
      <w:pPr>
        <w:numPr>
          <w:ilvl w:val="1"/>
          <w:numId w:val="9"/>
        </w:numPr>
        <w:tabs>
          <w:tab w:val="left" w:pos="840"/>
        </w:tabs>
        <w:spacing w:after="240"/>
        <w:ind w:left="840" w:hanging="840"/>
        <w:rPr>
          <w:rFonts w:hint="eastAsia"/>
        </w:rPr>
      </w:pPr>
      <w:r>
        <w:rPr>
          <w:rFonts w:hint="eastAsia"/>
        </w:rPr>
        <w:t>特殊情况下在原有报价文件有效期截止之前，采购人可征求供应商同意延长报价文件有效期。这种要求与答复均应以书面形式提交。供应商可以拒绝采购人的这种要求。</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23" w:name="_Toc22149459"/>
      <w:r>
        <w:rPr>
          <w:rFonts w:hint="eastAsia" w:ascii="Times New Roman" w:hAnsi="Times New Roman"/>
        </w:rPr>
        <w:t>不允许偏离的条款</w:t>
      </w:r>
      <w:bookmarkEnd w:id="23"/>
    </w:p>
    <w:p>
      <w:pPr>
        <w:numPr>
          <w:ilvl w:val="1"/>
          <w:numId w:val="9"/>
        </w:numPr>
        <w:tabs>
          <w:tab w:val="left" w:pos="840"/>
        </w:tabs>
        <w:ind w:left="840" w:hanging="840"/>
        <w:rPr>
          <w:rFonts w:hint="eastAsia"/>
        </w:rPr>
      </w:pPr>
      <w:r>
        <w:rPr>
          <w:rFonts w:hint="eastAsia"/>
        </w:rPr>
        <w:t>采购文件中的重要条款（带“★”号条款）不允许偏离，如项目报价文件中对重要条款有偏离，则是供应商的风险。</w:t>
      </w:r>
    </w:p>
    <w:p>
      <w:pPr>
        <w:numPr>
          <w:ilvl w:val="1"/>
          <w:numId w:val="9"/>
        </w:numPr>
        <w:tabs>
          <w:tab w:val="left" w:pos="840"/>
        </w:tabs>
        <w:spacing w:after="240"/>
        <w:ind w:left="840" w:hanging="840"/>
        <w:rPr>
          <w:rFonts w:hint="eastAsia"/>
        </w:rPr>
      </w:pPr>
      <w:r>
        <w:rPr>
          <w:rFonts w:hint="eastAsia"/>
        </w:rPr>
        <w:t>对供应商须知17.1条中任何条款的偏离将导致报价文件无效。</w:t>
      </w:r>
    </w:p>
    <w:p>
      <w:pPr>
        <w:numPr>
          <w:ilvl w:val="1"/>
          <w:numId w:val="9"/>
        </w:numPr>
        <w:tabs>
          <w:tab w:val="left" w:pos="840"/>
        </w:tabs>
        <w:spacing w:after="240"/>
        <w:ind w:left="840" w:hanging="840"/>
        <w:rPr>
          <w:rFonts w:hint="eastAsia"/>
        </w:rPr>
      </w:pPr>
      <w:r>
        <w:rPr>
          <w:rFonts w:hint="eastAsia"/>
        </w:rPr>
        <w:t>下述条款不应视作不可偏离：</w:t>
      </w:r>
    </w:p>
    <w:p>
      <w:pPr>
        <w:numPr>
          <w:ilvl w:val="0"/>
          <w:numId w:val="12"/>
        </w:numPr>
        <w:rPr>
          <w:rFonts w:hint="eastAsia"/>
        </w:rPr>
      </w:pPr>
      <w:r>
        <w:rPr>
          <w:rFonts w:hint="eastAsia"/>
        </w:rPr>
        <w:t>未加注“★”号的条款；</w:t>
      </w:r>
    </w:p>
    <w:p>
      <w:pPr>
        <w:numPr>
          <w:ilvl w:val="0"/>
          <w:numId w:val="12"/>
        </w:numPr>
        <w:spacing w:after="240"/>
        <w:rPr>
          <w:rFonts w:hint="eastAsia"/>
        </w:rPr>
      </w:pPr>
      <w:r>
        <w:rPr>
          <w:rFonts w:hint="eastAsia"/>
        </w:rPr>
        <w:t>用户需求书中已明确的供应商可提供其他优选报价文件部分。</w:t>
      </w:r>
    </w:p>
    <w:p>
      <w:pPr>
        <w:numPr>
          <w:ilvl w:val="1"/>
          <w:numId w:val="9"/>
        </w:numPr>
        <w:tabs>
          <w:tab w:val="left" w:pos="840"/>
        </w:tabs>
        <w:spacing w:after="240"/>
        <w:ind w:left="840" w:hanging="840"/>
        <w:rPr>
          <w:rFonts w:hint="eastAsia"/>
        </w:rPr>
      </w:pPr>
      <w:r>
        <w:rPr>
          <w:rFonts w:hint="eastAsia"/>
        </w:rPr>
        <w:t>项目报价文件中优于用户需求书要求部分不视作偏离，将不被拒绝，供应商对这种优于用户需求书要求的情况必须单独说明。</w:t>
      </w:r>
    </w:p>
    <w:p>
      <w:pPr>
        <w:pStyle w:val="4"/>
        <w:numPr>
          <w:ilvl w:val="0"/>
          <w:numId w:val="9"/>
        </w:numPr>
        <w:rPr>
          <w:rFonts w:hint="eastAsia" w:ascii="Times New Roman" w:hAnsi="Times New Roman"/>
        </w:rPr>
      </w:pPr>
      <w:r>
        <w:rPr>
          <w:rFonts w:hint="eastAsia" w:ascii="Times New Roman" w:hAnsi="Times New Roman"/>
        </w:rPr>
        <w:t xml:space="preserve">       质疑</w:t>
      </w:r>
    </w:p>
    <w:p>
      <w:pPr>
        <w:numPr>
          <w:ilvl w:val="1"/>
          <w:numId w:val="9"/>
        </w:numPr>
        <w:tabs>
          <w:tab w:val="left" w:pos="840"/>
        </w:tabs>
        <w:ind w:left="840" w:hanging="840"/>
        <w:rPr>
          <w:rFonts w:hint="eastAsia"/>
        </w:rPr>
      </w:pPr>
      <w:r>
        <w:rPr>
          <w:rFonts w:hint="eastAsia"/>
        </w:rPr>
        <w:t>供应商认为采购文件、采购过程和成交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tabs>
          <w:tab w:val="left" w:pos="840"/>
        </w:tabs>
        <w:ind w:firstLine="850"/>
        <w:rPr>
          <w:rFonts w:hint="eastAsia"/>
        </w:rPr>
      </w:pPr>
      <w:r>
        <w:rPr>
          <w:rFonts w:hint="eastAsia"/>
        </w:rPr>
        <w:t>1. 对采购文件提出质疑的，为获取采购文件之日或者采购文件公告期限届满之日；</w:t>
      </w:r>
    </w:p>
    <w:p>
      <w:pPr>
        <w:tabs>
          <w:tab w:val="left" w:pos="840"/>
        </w:tabs>
        <w:ind w:firstLine="850"/>
        <w:rPr>
          <w:rFonts w:hint="eastAsia"/>
        </w:rPr>
      </w:pPr>
      <w:r>
        <w:rPr>
          <w:rFonts w:hint="eastAsia"/>
        </w:rPr>
        <w:t>2. 对采购过程提出质疑的，为各采购程序环节结束之日；</w:t>
      </w:r>
    </w:p>
    <w:p>
      <w:pPr>
        <w:tabs>
          <w:tab w:val="left" w:pos="840"/>
        </w:tabs>
        <w:ind w:firstLine="850"/>
        <w:rPr>
          <w:rFonts w:hint="eastAsia"/>
        </w:rPr>
      </w:pPr>
      <w:r>
        <w:rPr>
          <w:rFonts w:hint="eastAsia"/>
        </w:rPr>
        <w:t>3. 对成交结果提出质疑的，为成交结果公告期限届满之日。</w:t>
      </w:r>
    </w:p>
    <w:p>
      <w:pPr>
        <w:numPr>
          <w:ilvl w:val="1"/>
          <w:numId w:val="9"/>
        </w:numPr>
        <w:tabs>
          <w:tab w:val="left" w:pos="840"/>
        </w:tabs>
        <w:ind w:left="840" w:hanging="840"/>
        <w:rPr>
          <w:rFonts w:hint="eastAsia"/>
        </w:rPr>
      </w:pPr>
      <w:r>
        <w:rPr>
          <w:rFonts w:hint="eastAsia"/>
        </w:rPr>
        <w:t xml:space="preserve"> 质疑函应当包括下列主要内容：</w:t>
      </w:r>
    </w:p>
    <w:p>
      <w:pPr>
        <w:tabs>
          <w:tab w:val="left" w:pos="840"/>
        </w:tabs>
        <w:ind w:firstLine="850"/>
        <w:rPr>
          <w:rFonts w:hint="eastAsia"/>
        </w:rPr>
      </w:pPr>
      <w:r>
        <w:rPr>
          <w:rFonts w:hint="eastAsia"/>
        </w:rPr>
        <w:t>1. 质疑供应商和相关供应商的名称、地址、邮编、联系人及联系电话等；</w:t>
      </w:r>
    </w:p>
    <w:p>
      <w:pPr>
        <w:tabs>
          <w:tab w:val="left" w:pos="840"/>
        </w:tabs>
        <w:ind w:firstLine="850"/>
        <w:rPr>
          <w:rFonts w:hint="eastAsia"/>
        </w:rPr>
      </w:pPr>
      <w:r>
        <w:rPr>
          <w:rFonts w:hint="eastAsia"/>
        </w:rPr>
        <w:t>2. 质疑项目名称及编号、具体、明确的质疑事项和与质疑事项相关的请求；</w:t>
      </w:r>
    </w:p>
    <w:p>
      <w:pPr>
        <w:tabs>
          <w:tab w:val="left" w:pos="840"/>
        </w:tabs>
        <w:ind w:left="798" w:leftChars="380" w:firstLine="2" w:firstLineChars="1"/>
        <w:rPr>
          <w:rFonts w:hint="eastAsia"/>
        </w:rPr>
      </w:pPr>
      <w:r>
        <w:rPr>
          <w:rFonts w:hint="eastAsia"/>
        </w:rPr>
        <w:t>3. 认为采购文件、采购过程、成交结果使自己的合法权益受到损害的法律依据、事实依据、相关证明材料及证据来源；</w:t>
      </w:r>
    </w:p>
    <w:p>
      <w:pPr>
        <w:tabs>
          <w:tab w:val="left" w:pos="840"/>
        </w:tabs>
        <w:ind w:firstLine="850"/>
        <w:rPr>
          <w:rFonts w:hint="eastAsia"/>
        </w:rPr>
      </w:pPr>
      <w:r>
        <w:rPr>
          <w:rFonts w:hint="eastAsia"/>
        </w:rPr>
        <w:t>4. 提出质疑的日期。</w:t>
      </w:r>
    </w:p>
    <w:p>
      <w:pPr>
        <w:numPr>
          <w:ilvl w:val="1"/>
          <w:numId w:val="9"/>
        </w:numPr>
        <w:tabs>
          <w:tab w:val="left" w:pos="840"/>
        </w:tabs>
        <w:ind w:left="840" w:hanging="840"/>
        <w:rPr>
          <w:rFonts w:hint="eastAsia"/>
        </w:rPr>
      </w:pPr>
      <w:r>
        <w:rPr>
          <w:rFonts w:hint="eastAsia"/>
        </w:rPr>
        <w:t xml:space="preserve"> 质疑函应当署名。质疑供应商为自然人的，应当由本人签字；质疑供应商为法人或者其他组织的，应当由法定代表人、主要负责人，或者其授权代表签字或者盖章，并加盖公章。</w:t>
      </w:r>
    </w:p>
    <w:p>
      <w:pPr>
        <w:numPr>
          <w:ilvl w:val="1"/>
          <w:numId w:val="9"/>
        </w:numPr>
        <w:tabs>
          <w:tab w:val="left" w:pos="840"/>
        </w:tabs>
        <w:ind w:left="840" w:hanging="840"/>
        <w:rPr>
          <w:rFonts w:hint="eastAsia"/>
        </w:rPr>
      </w:pPr>
      <w:r>
        <w:rPr>
          <w:rFonts w:hint="eastAsia"/>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采购人采购监督管理部门依法处理。</w:t>
      </w:r>
    </w:p>
    <w:p>
      <w:pPr>
        <w:numPr>
          <w:ilvl w:val="1"/>
          <w:numId w:val="9"/>
        </w:numPr>
        <w:tabs>
          <w:tab w:val="left" w:pos="840"/>
        </w:tabs>
        <w:ind w:left="840" w:hanging="840"/>
        <w:rPr>
          <w:rFonts w:hint="eastAsia"/>
        </w:rPr>
      </w:pPr>
      <w:r>
        <w:rPr>
          <w:rFonts w:hint="eastAsia"/>
        </w:rPr>
        <w:t>质疑供应商对采购人的质疑答复不满意，或者采购人未在规定期限内作出答复的，可以在答复期满后15个工作日内向采购人的同级采购监督管理部门提起投诉。</w:t>
      </w:r>
    </w:p>
    <w:p>
      <w:pPr>
        <w:numPr>
          <w:ilvl w:val="1"/>
          <w:numId w:val="9"/>
        </w:numPr>
        <w:tabs>
          <w:tab w:val="left" w:pos="840"/>
        </w:tabs>
        <w:ind w:left="840" w:hanging="840"/>
        <w:rPr>
          <w:rFonts w:hint="eastAsia"/>
        </w:rPr>
      </w:pPr>
      <w:r>
        <w:rPr>
          <w:rFonts w:hint="eastAsia"/>
        </w:rPr>
        <w:t>质疑受理部门：广东省机场管理集团有限公司建设管理部。</w:t>
      </w:r>
    </w:p>
    <w:p>
      <w:pPr>
        <w:numPr>
          <w:ilvl w:val="1"/>
          <w:numId w:val="9"/>
        </w:numPr>
        <w:tabs>
          <w:tab w:val="left" w:pos="840"/>
        </w:tabs>
        <w:ind w:left="840" w:hanging="840"/>
        <w:rPr>
          <w:rFonts w:hint="eastAsia"/>
        </w:rPr>
      </w:pPr>
      <w:r>
        <w:rPr>
          <w:rFonts w:hint="eastAsia"/>
        </w:rPr>
        <w:t>提交质疑函地点：广州市白云区机场路282号。</w:t>
      </w:r>
    </w:p>
    <w:p>
      <w:pPr>
        <w:numPr>
          <w:ilvl w:val="1"/>
          <w:numId w:val="9"/>
        </w:numPr>
        <w:tabs>
          <w:tab w:val="left" w:pos="840"/>
        </w:tabs>
        <w:ind w:left="840" w:hanging="840"/>
        <w:rPr>
          <w:rFonts w:hint="eastAsia"/>
        </w:rPr>
      </w:pPr>
      <w:r>
        <w:rPr>
          <w:rFonts w:hint="eastAsia"/>
        </w:rPr>
        <w:t>本次采购活动中，采购人作出的质疑答复等文件的送达方式为现场取件或邮寄。</w:t>
      </w:r>
    </w:p>
    <w:p>
      <w:pPr>
        <w:tabs>
          <w:tab w:val="left" w:pos="840"/>
        </w:tabs>
        <w:rPr>
          <w:rFonts w:hint="eastAsia" w:eastAsia="黑体"/>
        </w:rPr>
      </w:pPr>
    </w:p>
    <w:p>
      <w:pPr>
        <w:pStyle w:val="3"/>
        <w:jc w:val="center"/>
        <w:rPr>
          <w:rFonts w:hint="eastAsia" w:eastAsia="黑体"/>
        </w:rPr>
      </w:pPr>
      <w:bookmarkStart w:id="24" w:name="_Toc22149460"/>
      <w:bookmarkStart w:id="25" w:name="_Toc472608695"/>
      <w:bookmarkStart w:id="26" w:name="_Toc520146454"/>
      <w:r>
        <w:rPr>
          <w:rFonts w:hint="eastAsia" w:eastAsia="黑体"/>
        </w:rPr>
        <w:t>四、项目报价文件的递交</w:t>
      </w:r>
      <w:bookmarkEnd w:id="24"/>
      <w:bookmarkEnd w:id="25"/>
      <w:bookmarkEnd w:id="26"/>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27" w:name="_Toc22149461"/>
      <w:r>
        <w:rPr>
          <w:rFonts w:hint="eastAsia" w:ascii="Times New Roman" w:hAnsi="Times New Roman"/>
        </w:rPr>
        <w:t>项目报价文件的密封和标记</w:t>
      </w:r>
      <w:bookmarkEnd w:id="27"/>
    </w:p>
    <w:p>
      <w:pPr>
        <w:numPr>
          <w:ilvl w:val="1"/>
          <w:numId w:val="9"/>
        </w:numPr>
        <w:tabs>
          <w:tab w:val="left" w:pos="840"/>
        </w:tabs>
        <w:spacing w:after="240"/>
        <w:ind w:left="839" w:hanging="839"/>
      </w:pPr>
      <w:r>
        <w:rPr>
          <w:rFonts w:hint="eastAsia"/>
        </w:rPr>
        <w:t>★供应商应将项目报价文</w:t>
      </w:r>
      <w:r>
        <w:rPr>
          <w:rFonts w:hint="eastAsia"/>
          <w:szCs w:val="22"/>
        </w:rPr>
        <w:t>件按第三部分《项目报价文件的编制》第11.2、12.2要求密</w:t>
      </w:r>
      <w:r>
        <w:rPr>
          <w:rFonts w:hint="eastAsia"/>
        </w:rPr>
        <w:t>封和标记。</w:t>
      </w:r>
    </w:p>
    <w:p>
      <w:pPr>
        <w:numPr>
          <w:ilvl w:val="1"/>
          <w:numId w:val="9"/>
        </w:numPr>
        <w:tabs>
          <w:tab w:val="left" w:pos="840"/>
        </w:tabs>
        <w:spacing w:after="240"/>
        <w:ind w:left="839" w:hanging="839"/>
      </w:pPr>
      <w:r>
        <w:rPr>
          <w:rFonts w:hint="eastAsia"/>
        </w:rPr>
        <w:t>如果供应商递交的报价文件未按要求密封，采购人将拒绝接受其报价文件。</w:t>
      </w:r>
    </w:p>
    <w:p>
      <w:pPr>
        <w:numPr>
          <w:ilvl w:val="1"/>
          <w:numId w:val="9"/>
        </w:numPr>
        <w:tabs>
          <w:tab w:val="left" w:pos="840"/>
        </w:tabs>
        <w:spacing w:after="240"/>
        <w:ind w:left="839" w:hanging="839"/>
        <w:rPr>
          <w:rFonts w:hint="eastAsia"/>
        </w:rPr>
      </w:pPr>
      <w:r>
        <w:rPr>
          <w:rFonts w:hint="eastAsia"/>
        </w:rPr>
        <w:t>如果因密封不严，标记不清而造成报价文件过早启封、失密等情况，采购人概不负责。</w:t>
      </w:r>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28" w:name="_Toc22149462"/>
      <w:r>
        <w:rPr>
          <w:rFonts w:hint="eastAsia" w:ascii="Times New Roman" w:hAnsi="Times New Roman"/>
        </w:rPr>
        <w:t>递交报价文件截止时间</w:t>
      </w:r>
      <w:bookmarkEnd w:id="28"/>
    </w:p>
    <w:p>
      <w:pPr>
        <w:numPr>
          <w:ilvl w:val="1"/>
          <w:numId w:val="9"/>
        </w:numPr>
        <w:tabs>
          <w:tab w:val="left" w:pos="840"/>
        </w:tabs>
        <w:spacing w:after="240"/>
        <w:ind w:left="851" w:hanging="851"/>
        <w:rPr>
          <w:rFonts w:hint="eastAsia"/>
        </w:rPr>
      </w:pPr>
      <w:r>
        <w:rPr>
          <w:rFonts w:hint="eastAsia"/>
        </w:rPr>
        <w:t>供应商应将正本和所有副本，由供应商代表按采购公告第5条要求于项目递交报价文件截止时间前送达报价地点。</w:t>
      </w:r>
    </w:p>
    <w:p>
      <w:pPr>
        <w:numPr>
          <w:ilvl w:val="1"/>
          <w:numId w:val="9"/>
        </w:numPr>
        <w:tabs>
          <w:tab w:val="left" w:pos="840"/>
        </w:tabs>
        <w:spacing w:after="240"/>
        <w:ind w:left="840" w:hanging="840"/>
        <w:rPr>
          <w:rFonts w:hint="eastAsia"/>
        </w:rPr>
      </w:pPr>
      <w:r>
        <w:rPr>
          <w:rFonts w:hint="eastAsia"/>
        </w:rPr>
        <w:t>采购人可以通过修改采购文件自行决定酌情延长截止期。在此情况下，采购人和供应商受截止期制约的所有权利和义务均应延长至新的截止日期。</w:t>
      </w:r>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29" w:name="_Toc22149463"/>
      <w:r>
        <w:rPr>
          <w:rFonts w:hint="eastAsia" w:ascii="Times New Roman" w:hAnsi="Times New Roman"/>
        </w:rPr>
        <w:t>迟交的项目报价文件</w:t>
      </w:r>
      <w:bookmarkEnd w:id="29"/>
    </w:p>
    <w:p>
      <w:pPr>
        <w:tabs>
          <w:tab w:val="left" w:pos="840"/>
        </w:tabs>
        <w:ind w:left="850" w:hanging="850"/>
        <w:rPr>
          <w:rFonts w:hint="eastAsia" w:eastAsia="黑体"/>
        </w:rPr>
      </w:pPr>
      <w:r>
        <w:rPr>
          <w:rFonts w:hint="eastAsia"/>
        </w:rPr>
        <w:t>采购人将拒绝在截止时间后递交的任何项目报价文件。</w:t>
      </w:r>
    </w:p>
    <w:p>
      <w:pPr>
        <w:pStyle w:val="4"/>
        <w:numPr>
          <w:ilvl w:val="0"/>
          <w:numId w:val="9"/>
        </w:numPr>
        <w:rPr>
          <w:rFonts w:hint="eastAsia" w:ascii="Times New Roman" w:hAnsi="Times New Roman"/>
        </w:rPr>
      </w:pPr>
      <w:r>
        <w:rPr>
          <w:rFonts w:hint="eastAsia" w:ascii="Times New Roman" w:hAnsi="Times New Roman"/>
        </w:rPr>
        <w:t xml:space="preserve">       报价文件的修改、撤回与撤销</w:t>
      </w:r>
    </w:p>
    <w:p>
      <w:pPr>
        <w:numPr>
          <w:ilvl w:val="0"/>
          <w:numId w:val="13"/>
        </w:numPr>
        <w:spacing w:line="400" w:lineRule="exact"/>
        <w:ind w:left="840" w:firstLine="0"/>
        <w:rPr>
          <w:rFonts w:hint="eastAsia" w:ascii="宋体" w:hAnsi="宋体" w:cs="宋体"/>
          <w:szCs w:val="21"/>
        </w:rPr>
      </w:pPr>
      <w:r>
        <w:rPr>
          <w:rFonts w:hint="eastAsia" w:ascii="宋体" w:hAnsi="宋体" w:cs="宋体"/>
          <w:szCs w:val="21"/>
        </w:rPr>
        <w:t>在提交报价文件截止时间前，供应商可以修改或撤回未解密的报价文件，报价文件一经解密，将不允许修改或撤回。</w:t>
      </w:r>
    </w:p>
    <w:p>
      <w:pPr>
        <w:numPr>
          <w:ilvl w:val="0"/>
          <w:numId w:val="13"/>
        </w:numPr>
        <w:spacing w:line="400" w:lineRule="exact"/>
        <w:ind w:left="840" w:firstLine="0"/>
        <w:rPr>
          <w:rFonts w:hint="eastAsia" w:ascii="宋体" w:hAnsi="宋体" w:cs="宋体"/>
          <w:szCs w:val="21"/>
        </w:rPr>
      </w:pPr>
      <w:r>
        <w:rPr>
          <w:rFonts w:hint="eastAsia" w:ascii="宋体" w:hAnsi="宋体" w:cs="宋体"/>
          <w:szCs w:val="21"/>
        </w:rPr>
        <w:t>在提交报价文件截止时间后，供应商不得补充、修改和更换报价文件。</w:t>
      </w:r>
    </w:p>
    <w:p>
      <w:pPr>
        <w:numPr>
          <w:ilvl w:val="0"/>
          <w:numId w:val="13"/>
        </w:numPr>
        <w:spacing w:line="400" w:lineRule="exact"/>
        <w:ind w:left="840" w:firstLine="0"/>
        <w:rPr>
          <w:rFonts w:hint="eastAsia" w:ascii="宋体" w:hAnsi="宋体" w:cs="宋体"/>
          <w:szCs w:val="21"/>
        </w:rPr>
      </w:pPr>
      <w:r>
        <w:rPr>
          <w:rFonts w:hint="eastAsia" w:ascii="宋体" w:hAnsi="宋体" w:cs="宋体"/>
          <w:szCs w:val="21"/>
        </w:rPr>
        <w:t>在提交报价文件截止时间起至报价有效期终止日前，供应商不能撤销报价文件，否则采购人有权将其撤销行为载入不良信用记录。</w:t>
      </w:r>
    </w:p>
    <w:p>
      <w:pPr>
        <w:pStyle w:val="4"/>
        <w:numPr>
          <w:ilvl w:val="0"/>
          <w:numId w:val="9"/>
        </w:numPr>
        <w:rPr>
          <w:rFonts w:hint="eastAsia" w:ascii="Times New Roman" w:hAnsi="Times New Roman"/>
        </w:rPr>
      </w:pPr>
      <w:r>
        <w:rPr>
          <w:rFonts w:hint="eastAsia" w:ascii="Times New Roman" w:hAnsi="Times New Roman"/>
        </w:rPr>
        <w:t xml:space="preserve">      报价有效期</w:t>
      </w:r>
    </w:p>
    <w:p>
      <w:pPr>
        <w:ind w:left="840" w:leftChars="400"/>
        <w:rPr>
          <w:rFonts w:hint="eastAsia" w:ascii="宋体" w:hAnsi="宋体" w:cs="宋体"/>
          <w:szCs w:val="21"/>
        </w:rPr>
      </w:pPr>
      <w:r>
        <w:rPr>
          <w:rFonts w:hint="eastAsia" w:ascii="宋体" w:hAnsi="宋体" w:cs="宋体"/>
          <w:szCs w:val="21"/>
        </w:rPr>
        <w:t>报价有效期从提交报价文件的截止之日起算 90 天。在特殊情况下，采购人可于报价有效期满之前要求供应商同意延长有效期，要求与答复均以书面形式进行。供应商可以拒绝上述要求，但其报价将会被拒绝；同意延期的供应商其权利与义务相应延至新的截止期。</w:t>
      </w:r>
    </w:p>
    <w:p>
      <w:pPr>
        <w:pStyle w:val="4"/>
        <w:numPr>
          <w:ilvl w:val="0"/>
          <w:numId w:val="9"/>
        </w:numPr>
        <w:spacing w:line="240" w:lineRule="auto"/>
        <w:rPr>
          <w:rFonts w:hint="eastAsia" w:ascii="Times New Roman" w:hAnsi="Times New Roman"/>
        </w:rPr>
      </w:pPr>
      <w:r>
        <w:rPr>
          <w:rFonts w:hint="eastAsia" w:ascii="Times New Roman" w:hAnsi="Times New Roman"/>
        </w:rPr>
        <w:t>报价保证金</w:t>
      </w:r>
    </w:p>
    <w:p>
      <w:pPr>
        <w:spacing w:line="400" w:lineRule="exact"/>
        <w:ind w:firstLine="420" w:firstLineChars="200"/>
        <w:rPr>
          <w:rFonts w:hint="eastAsia"/>
        </w:rPr>
      </w:pPr>
      <w:r>
        <w:rPr>
          <w:rFonts w:hint="eastAsia" w:ascii="宋体" w:hAnsi="宋体" w:cs="宋体"/>
          <w:szCs w:val="21"/>
        </w:rPr>
        <w:t>本项目不收取报价保证金。</w:t>
      </w:r>
    </w:p>
    <w:p>
      <w:pPr>
        <w:pStyle w:val="3"/>
        <w:jc w:val="center"/>
        <w:rPr>
          <w:rFonts w:eastAsia="黑体"/>
        </w:rPr>
      </w:pPr>
      <w:bookmarkStart w:id="30" w:name="_Toc22149464"/>
      <w:r>
        <w:rPr>
          <w:rFonts w:hint="eastAsia" w:eastAsia="黑体"/>
        </w:rPr>
        <w:t>五、综合评审过程</w:t>
      </w:r>
      <w:bookmarkEnd w:id="30"/>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31" w:name="_Toc22149465"/>
      <w:r>
        <w:rPr>
          <w:rFonts w:hint="eastAsia" w:ascii="Times New Roman" w:hAnsi="Times New Roman"/>
        </w:rPr>
        <w:t>报价文件的递交</w:t>
      </w:r>
      <w:bookmarkEnd w:id="31"/>
    </w:p>
    <w:p>
      <w:pPr>
        <w:numPr>
          <w:ilvl w:val="1"/>
          <w:numId w:val="9"/>
        </w:numPr>
        <w:tabs>
          <w:tab w:val="left" w:pos="840"/>
        </w:tabs>
        <w:spacing w:after="240"/>
        <w:ind w:left="840" w:hanging="840"/>
        <w:rPr>
          <w:rFonts w:hint="eastAsia"/>
        </w:rPr>
      </w:pPr>
      <w:r>
        <w:rPr>
          <w:rFonts w:hint="eastAsia"/>
        </w:rPr>
        <w:t>采购人在采购文件中规定的日期、时间和地点组织接收报价文件。</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32" w:name="_Toc488318871"/>
      <w:bookmarkStart w:id="33" w:name="_Toc22149466"/>
      <w:r>
        <w:rPr>
          <w:rFonts w:hint="eastAsia" w:ascii="Times New Roman" w:hAnsi="Times New Roman"/>
        </w:rPr>
        <w:t>评审</w:t>
      </w:r>
      <w:bookmarkEnd w:id="32"/>
      <w:r>
        <w:rPr>
          <w:rFonts w:hint="eastAsia" w:ascii="Times New Roman" w:hAnsi="Times New Roman"/>
        </w:rPr>
        <w:t>小组</w:t>
      </w:r>
      <w:bookmarkEnd w:id="33"/>
    </w:p>
    <w:p>
      <w:pPr>
        <w:numPr>
          <w:ilvl w:val="1"/>
          <w:numId w:val="9"/>
        </w:numPr>
        <w:tabs>
          <w:tab w:val="left" w:pos="840"/>
        </w:tabs>
        <w:spacing w:after="240"/>
        <w:ind w:left="839" w:hanging="839"/>
        <w:rPr>
          <w:rFonts w:hint="eastAsia"/>
        </w:rPr>
      </w:pPr>
      <w:r>
        <w:rPr>
          <w:rFonts w:hint="eastAsia"/>
        </w:rPr>
        <w:t>本项目的评审工作由采购人内部组成评审小组完成。评审小组共</w:t>
      </w:r>
      <w:r>
        <w:rPr>
          <w:rFonts w:hint="eastAsia"/>
          <w:lang w:val="en-US" w:eastAsia="zh-CN"/>
        </w:rPr>
        <w:t>5</w:t>
      </w:r>
      <w:r>
        <w:rPr>
          <w:rFonts w:hint="eastAsia"/>
        </w:rPr>
        <w:t>名成员。</w:t>
      </w:r>
    </w:p>
    <w:p>
      <w:pPr>
        <w:numPr>
          <w:ilvl w:val="1"/>
          <w:numId w:val="9"/>
        </w:numPr>
        <w:tabs>
          <w:tab w:val="left" w:pos="840"/>
        </w:tabs>
        <w:spacing w:after="240"/>
        <w:ind w:left="839" w:hanging="839"/>
        <w:rPr>
          <w:rFonts w:hint="eastAsia"/>
        </w:rPr>
      </w:pPr>
      <w:r>
        <w:rPr>
          <w:rFonts w:hint="eastAsia"/>
        </w:rPr>
        <w:t>评审小组成员发现本人与参加采购活动的供应商有利害关系之一的，应当主动提出回避。采购人发现评审小组成员与参加采购活动的供应商利害关系之一的，应当要求其回避：</w:t>
      </w:r>
    </w:p>
    <w:p>
      <w:pPr>
        <w:numPr>
          <w:ilvl w:val="0"/>
          <w:numId w:val="14"/>
        </w:numPr>
        <w:tabs>
          <w:tab w:val="left" w:pos="1134"/>
          <w:tab w:val="clear" w:pos="1260"/>
        </w:tabs>
        <w:ind w:left="850" w:firstLine="0"/>
        <w:rPr>
          <w:rFonts w:hint="eastAsia" w:cs="Courier New"/>
          <w:szCs w:val="21"/>
        </w:rPr>
      </w:pPr>
      <w:r>
        <w:rPr>
          <w:rFonts w:hint="eastAsia" w:cs="Courier New"/>
          <w:szCs w:val="21"/>
        </w:rPr>
        <w:t xml:space="preserve"> 参加采购活动前三年内，与供应商存在劳动关系，或者担任过供应商的董事、监事，或者是供应商的控股股东或实际控制人；</w:t>
      </w:r>
    </w:p>
    <w:p>
      <w:pPr>
        <w:numPr>
          <w:ilvl w:val="0"/>
          <w:numId w:val="14"/>
        </w:numPr>
        <w:tabs>
          <w:tab w:val="left" w:pos="1134"/>
          <w:tab w:val="clear" w:pos="1260"/>
        </w:tabs>
        <w:ind w:left="850" w:firstLine="0"/>
        <w:rPr>
          <w:rFonts w:hint="eastAsia" w:cs="Courier New"/>
          <w:szCs w:val="21"/>
        </w:rPr>
      </w:pPr>
      <w:r>
        <w:rPr>
          <w:rFonts w:hint="eastAsia" w:cs="Courier New"/>
          <w:szCs w:val="21"/>
        </w:rPr>
        <w:t>与供应商的法定代表人或者负责人有夫妻、直系血亲、三代以内旁系血亲或者近姻亲关系；</w:t>
      </w:r>
    </w:p>
    <w:p>
      <w:pPr>
        <w:numPr>
          <w:ilvl w:val="0"/>
          <w:numId w:val="14"/>
        </w:numPr>
        <w:tabs>
          <w:tab w:val="left" w:pos="1134"/>
          <w:tab w:val="clear" w:pos="1260"/>
        </w:tabs>
        <w:ind w:left="850" w:firstLine="0"/>
        <w:rPr>
          <w:rFonts w:hint="eastAsia" w:cs="Courier New"/>
          <w:szCs w:val="21"/>
        </w:rPr>
      </w:pPr>
      <w:r>
        <w:rPr>
          <w:rFonts w:hint="eastAsia" w:cs="Courier New"/>
          <w:szCs w:val="21"/>
        </w:rPr>
        <w:t xml:space="preserve"> 是参加该采购项目供应商的上级主管部门、控股或参股单位的工作人员，或与该供应商存在其他经济利益关系；</w:t>
      </w:r>
    </w:p>
    <w:p>
      <w:pPr>
        <w:numPr>
          <w:ilvl w:val="1"/>
          <w:numId w:val="9"/>
        </w:numPr>
        <w:tabs>
          <w:tab w:val="left" w:pos="840"/>
        </w:tabs>
        <w:spacing w:after="240"/>
        <w:ind w:left="839" w:hanging="839"/>
        <w:rPr>
          <w:rFonts w:hint="eastAsia"/>
        </w:rPr>
      </w:pPr>
      <w:r>
        <w:rPr>
          <w:rFonts w:hint="eastAsia"/>
        </w:rPr>
        <w:t>评审小组判断报价文件的有效性、合格性和响应情况，仅依据供应商所提交一切文件的真实表述，不受与本项目无直接关联的外部信息、传言而影响自身的专业判断。</w:t>
      </w:r>
    </w:p>
    <w:p>
      <w:pPr>
        <w:numPr>
          <w:ilvl w:val="1"/>
          <w:numId w:val="9"/>
        </w:numPr>
        <w:tabs>
          <w:tab w:val="left" w:pos="840"/>
        </w:tabs>
        <w:spacing w:after="240"/>
        <w:ind w:left="839" w:hanging="839"/>
        <w:rPr>
          <w:rFonts w:hint="eastAsia"/>
        </w:rPr>
      </w:pPr>
      <w:r>
        <w:rPr>
          <w:rFonts w:hint="eastAsia"/>
        </w:rPr>
        <w:t>评审小组各成员应当独立对每个供应商的报价文件进行评价，并对评价意见承担个人责任。评审小组成员对需要共同认定的事项存在争议的，应当按照少数服从多数的原则作出结论。持不同意见的评审小组成员应当在评标报告上签署不同意见及理由，否则视为同意评标报告。</w:t>
      </w:r>
    </w:p>
    <w:p>
      <w:pPr>
        <w:numPr>
          <w:ilvl w:val="1"/>
          <w:numId w:val="9"/>
        </w:numPr>
        <w:tabs>
          <w:tab w:val="left" w:pos="840"/>
        </w:tabs>
        <w:spacing w:after="240"/>
        <w:ind w:left="839" w:hanging="839"/>
        <w:rPr>
          <w:rFonts w:hint="eastAsia"/>
        </w:rPr>
      </w:pPr>
      <w:r>
        <w:rPr>
          <w:rFonts w:hint="eastAsia"/>
        </w:rPr>
        <w:t>评审小组编制评审报告提交采购人。</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34" w:name="_Toc22149467"/>
      <w:r>
        <w:rPr>
          <w:rFonts w:hint="eastAsia" w:ascii="Times New Roman" w:hAnsi="Times New Roman"/>
        </w:rPr>
        <w:t>项目报价文件的评审</w:t>
      </w:r>
      <w:bookmarkEnd w:id="34"/>
    </w:p>
    <w:p>
      <w:pPr>
        <w:numPr>
          <w:ilvl w:val="1"/>
          <w:numId w:val="9"/>
        </w:numPr>
        <w:tabs>
          <w:tab w:val="left" w:pos="840"/>
        </w:tabs>
        <w:spacing w:after="240"/>
        <w:ind w:left="839" w:hanging="839"/>
        <w:rPr>
          <w:rFonts w:hint="eastAsia"/>
        </w:rPr>
      </w:pPr>
      <w:r>
        <w:rPr>
          <w:rFonts w:hint="eastAsia"/>
        </w:rPr>
        <w:t>评审小组将审查项目报价文件是否完整、供应商是否符合合格条件、报价有无计算上的错误、文件签署是否合格、项目报价文件的总体编排是否有序。</w:t>
      </w:r>
    </w:p>
    <w:p>
      <w:pPr>
        <w:numPr>
          <w:ilvl w:val="1"/>
          <w:numId w:val="9"/>
        </w:numPr>
        <w:tabs>
          <w:tab w:val="left" w:pos="840"/>
          <w:tab w:val="clear" w:pos="360"/>
        </w:tabs>
        <w:spacing w:after="240"/>
        <w:ind w:left="839" w:hanging="839"/>
        <w:rPr>
          <w:rFonts w:hint="eastAsia"/>
        </w:rPr>
      </w:pPr>
      <w:r>
        <w:rPr>
          <w:rFonts w:hint="eastAsia"/>
        </w:rPr>
        <w:t>报价文件报价出现前后不一致的，按照下列规定修正：</w:t>
      </w:r>
    </w:p>
    <w:p>
      <w:pPr>
        <w:numPr>
          <w:ilvl w:val="0"/>
          <w:numId w:val="15"/>
        </w:numPr>
        <w:tabs>
          <w:tab w:val="left" w:pos="840"/>
        </w:tabs>
        <w:spacing w:line="440" w:lineRule="exact"/>
        <w:ind w:left="1276" w:hanging="436"/>
        <w:rPr>
          <w:rFonts w:hint="eastAsia"/>
        </w:rPr>
      </w:pPr>
      <w:r>
        <w:rPr>
          <w:rFonts w:hint="eastAsia"/>
        </w:rPr>
        <w:t>报价文件中开标一览表（报价表）内容与报价文件中相应内容不一致的，以开标一览表（报价表）为准；</w:t>
      </w:r>
    </w:p>
    <w:p>
      <w:pPr>
        <w:numPr>
          <w:ilvl w:val="0"/>
          <w:numId w:val="15"/>
        </w:numPr>
        <w:tabs>
          <w:tab w:val="left" w:pos="840"/>
        </w:tabs>
        <w:spacing w:line="440" w:lineRule="exact"/>
        <w:ind w:left="1679" w:hanging="839"/>
        <w:rPr>
          <w:rFonts w:hint="eastAsia"/>
        </w:rPr>
      </w:pPr>
      <w:r>
        <w:rPr>
          <w:rFonts w:hint="eastAsia"/>
        </w:rPr>
        <w:t>大写金额和小写金额不一致的，以大写金额为准；</w:t>
      </w:r>
    </w:p>
    <w:p>
      <w:pPr>
        <w:numPr>
          <w:ilvl w:val="0"/>
          <w:numId w:val="15"/>
        </w:numPr>
        <w:tabs>
          <w:tab w:val="left" w:pos="840"/>
        </w:tabs>
        <w:spacing w:line="440" w:lineRule="exact"/>
        <w:ind w:left="1679" w:hanging="839"/>
        <w:rPr>
          <w:rFonts w:hint="eastAsia"/>
        </w:rPr>
      </w:pPr>
      <w:r>
        <w:rPr>
          <w:rFonts w:hint="eastAsia"/>
        </w:rPr>
        <w:t>单价金额小数点或者百分比有明显错位的，以开标一览表的总价为准，并修改单价；</w:t>
      </w:r>
    </w:p>
    <w:p>
      <w:pPr>
        <w:numPr>
          <w:ilvl w:val="0"/>
          <w:numId w:val="15"/>
        </w:numPr>
        <w:tabs>
          <w:tab w:val="left" w:pos="840"/>
        </w:tabs>
        <w:spacing w:line="440" w:lineRule="exact"/>
        <w:ind w:left="1679" w:hanging="839"/>
        <w:rPr>
          <w:rFonts w:hint="eastAsia"/>
        </w:rPr>
      </w:pPr>
      <w:r>
        <w:rPr>
          <w:rFonts w:hint="eastAsia"/>
        </w:rPr>
        <w:t>总价金额与按单价汇总金额不一致的，以单价金额计算结果为准；</w:t>
      </w:r>
    </w:p>
    <w:p>
      <w:pPr>
        <w:numPr>
          <w:ilvl w:val="0"/>
          <w:numId w:val="15"/>
        </w:numPr>
        <w:tabs>
          <w:tab w:val="left" w:pos="840"/>
        </w:tabs>
        <w:spacing w:line="440" w:lineRule="exact"/>
        <w:ind w:left="1679" w:hanging="839"/>
        <w:rPr>
          <w:rFonts w:hint="eastAsia"/>
        </w:rPr>
      </w:pPr>
      <w:r>
        <w:rPr>
          <w:rFonts w:hint="eastAsia"/>
        </w:rPr>
        <w:t>报价文件描述内容与原始材料引述内容不一致的，以原始材料内容为准；</w:t>
      </w:r>
    </w:p>
    <w:p>
      <w:pPr>
        <w:numPr>
          <w:ilvl w:val="0"/>
          <w:numId w:val="15"/>
        </w:numPr>
        <w:tabs>
          <w:tab w:val="left" w:pos="840"/>
        </w:tabs>
        <w:spacing w:line="440" w:lineRule="exact"/>
        <w:ind w:left="1679" w:hanging="839"/>
        <w:rPr>
          <w:rFonts w:hint="eastAsia"/>
        </w:rPr>
      </w:pPr>
      <w:r>
        <w:rPr>
          <w:rFonts w:hint="eastAsia"/>
        </w:rPr>
        <w:t>对不同文字文本报价文件的解释发生异议的，以中文文本为准；</w:t>
      </w:r>
    </w:p>
    <w:p>
      <w:pPr>
        <w:numPr>
          <w:ilvl w:val="0"/>
          <w:numId w:val="15"/>
        </w:numPr>
        <w:tabs>
          <w:tab w:val="left" w:pos="840"/>
        </w:tabs>
        <w:spacing w:line="440" w:lineRule="exact"/>
        <w:ind w:left="1679" w:hanging="839"/>
        <w:rPr>
          <w:rFonts w:hint="eastAsia"/>
        </w:rPr>
      </w:pPr>
      <w:r>
        <w:rPr>
          <w:rFonts w:hint="eastAsia"/>
        </w:rPr>
        <w:t>评审小组认定为表述不清晰或无法确定的报价均不予修正。</w:t>
      </w:r>
    </w:p>
    <w:p>
      <w:pPr>
        <w:tabs>
          <w:tab w:val="left" w:pos="840"/>
        </w:tabs>
        <w:spacing w:line="440" w:lineRule="exact"/>
        <w:ind w:left="840"/>
        <w:rPr>
          <w:rFonts w:hint="eastAsia"/>
        </w:rPr>
      </w:pPr>
    </w:p>
    <w:p>
      <w:pPr>
        <w:tabs>
          <w:tab w:val="left" w:pos="840"/>
        </w:tabs>
        <w:spacing w:after="240"/>
        <w:ind w:left="840" w:leftChars="400"/>
      </w:pPr>
      <w:r>
        <w:rPr>
          <w:rFonts w:hint="eastAsia"/>
        </w:rPr>
        <w:t>同时出现两种（含）以上不一致的，按照前款规定的顺序修正。修正后的报价须经供应商确认后产生约束力，供应商确认应当以书面形式，并加盖公章，或者由法定代表人或其授权的代表签字；供应商不确认的，其报价无效。</w:t>
      </w:r>
    </w:p>
    <w:p>
      <w:pPr>
        <w:numPr>
          <w:ilvl w:val="1"/>
          <w:numId w:val="9"/>
        </w:numPr>
        <w:tabs>
          <w:tab w:val="left" w:pos="840"/>
        </w:tabs>
        <w:spacing w:after="240"/>
        <w:ind w:left="839" w:hanging="839"/>
        <w:rPr>
          <w:rFonts w:hint="eastAsia"/>
        </w:rPr>
      </w:pPr>
      <w:r>
        <w:rPr>
          <w:rFonts w:hint="eastAsia"/>
        </w:rPr>
        <w:t>报价文件的澄清、说明或补正</w:t>
      </w:r>
    </w:p>
    <w:p>
      <w:pPr>
        <w:pStyle w:val="2"/>
        <w:ind w:left="798" w:leftChars="380"/>
        <w:rPr>
          <w:rFonts w:hint="eastAsia"/>
        </w:rPr>
      </w:pPr>
      <w:r>
        <w:rPr>
          <w:rFonts w:hint="eastAsia"/>
        </w:rPr>
        <w:t>1. 对于报价文件中含义不明确、同类问题表述不一致或者有明显文字和计算错误的内 容，评审小组应当以书面形式要求供应商作出必要的澄清、说明或者补正。</w:t>
      </w:r>
    </w:p>
    <w:p>
      <w:pPr>
        <w:pStyle w:val="2"/>
        <w:ind w:left="798" w:leftChars="380"/>
        <w:rPr>
          <w:rFonts w:hint="eastAsia"/>
        </w:rPr>
      </w:pPr>
      <w:r>
        <w:rPr>
          <w:rFonts w:hint="eastAsia"/>
        </w:rPr>
        <w:t>2. 供应商的澄清、说明或者补正应当采用书面形式，并加盖公章，或者由法定代表人或其授权的代表签字。供应商的澄清、说明或者补正不得超出报价文件的范围或者改变投标文件的实质性内容。</w:t>
      </w:r>
    </w:p>
    <w:p>
      <w:pPr>
        <w:pStyle w:val="2"/>
        <w:ind w:left="798" w:leftChars="380"/>
        <w:rPr>
          <w:rFonts w:hint="eastAsia"/>
        </w:rPr>
      </w:pPr>
      <w:r>
        <w:rPr>
          <w:rFonts w:hint="eastAsia"/>
        </w:rPr>
        <w:t>3. 评审小组成员均应当阅读供应商的澄清、说明或者补正，但应独立参考澄清、说明或者补正对报价文件进行评审，整个澄清、说明或者补正的过程不得存在排斥潜在供应商的现象。</w:t>
      </w:r>
    </w:p>
    <w:p>
      <w:pPr>
        <w:pStyle w:val="2"/>
        <w:ind w:left="798" w:leftChars="380"/>
        <w:rPr>
          <w:rFonts w:hint="eastAsia"/>
        </w:rPr>
      </w:pPr>
      <w:r>
        <w:rPr>
          <w:rFonts w:hint="eastAsia"/>
        </w:rPr>
        <w:t>4. 如果报价文件实质上不响应采购文件的各项要求，评审小组将按照采购文件要求予以拒绝，不接受供应商通过修改或撤销其不符合要求的差异或保留，使之成为具有响应性的报价。</w:t>
      </w:r>
    </w:p>
    <w:p>
      <w:pPr>
        <w:pStyle w:val="2"/>
        <w:ind w:left="798" w:leftChars="380"/>
        <w:rPr>
          <w:rFonts w:hint="eastAsia"/>
        </w:rPr>
      </w:pPr>
      <w:r>
        <w:rPr>
          <w:rFonts w:hint="eastAsia"/>
        </w:rPr>
        <w:t>5. 除上述规定的情形之外，评审小组在评审过程中，不得接收来自评审现场以外的任何形式的文件资料。</w:t>
      </w:r>
    </w:p>
    <w:p>
      <w:pPr>
        <w:pStyle w:val="2"/>
        <w:ind w:left="798" w:leftChars="380"/>
        <w:rPr>
          <w:rFonts w:hint="eastAsia"/>
        </w:rPr>
      </w:pPr>
    </w:p>
    <w:p>
      <w:pPr>
        <w:numPr>
          <w:ilvl w:val="1"/>
          <w:numId w:val="9"/>
        </w:numPr>
        <w:tabs>
          <w:tab w:val="left" w:pos="840"/>
        </w:tabs>
        <w:spacing w:after="240"/>
        <w:ind w:left="839" w:hanging="839"/>
        <w:rPr>
          <w:rFonts w:hint="eastAsia"/>
        </w:rPr>
      </w:pPr>
      <w:r>
        <w:rPr>
          <w:rFonts w:hint="eastAsia"/>
        </w:rPr>
        <w:t>符合性审查</w:t>
      </w:r>
    </w:p>
    <w:p>
      <w:pPr>
        <w:spacing w:line="400" w:lineRule="exact"/>
        <w:ind w:firstLine="420" w:firstLineChars="200"/>
        <w:rPr>
          <w:rFonts w:hint="eastAsia" w:ascii="宋体" w:hAnsi="宋体" w:cs="宋体"/>
          <w:szCs w:val="21"/>
        </w:rPr>
      </w:pPr>
      <w:r>
        <w:rPr>
          <w:rFonts w:hint="eastAsia" w:ascii="宋体" w:hAnsi="宋体" w:cs="宋体"/>
          <w:szCs w:val="21"/>
        </w:rPr>
        <w:t>评审小组应当对符合资格的供应商的报价文件进行符合性审查，以确定其是否满足采购文件的实质性要求，《符合性审查表》详见附录9。</w:t>
      </w:r>
    </w:p>
    <w:p>
      <w:pPr>
        <w:pStyle w:val="2"/>
        <w:rPr>
          <w:rFonts w:hint="eastAsia"/>
        </w:rPr>
      </w:pPr>
    </w:p>
    <w:p>
      <w:pPr>
        <w:numPr>
          <w:ilvl w:val="1"/>
          <w:numId w:val="9"/>
        </w:numPr>
        <w:tabs>
          <w:tab w:val="left" w:pos="840"/>
        </w:tabs>
        <w:spacing w:after="240"/>
        <w:ind w:left="839" w:hanging="839"/>
        <w:rPr>
          <w:rFonts w:hint="eastAsia"/>
        </w:rPr>
      </w:pPr>
      <w:r>
        <w:rPr>
          <w:rFonts w:hint="eastAsia"/>
        </w:rPr>
        <w:t>无效报价情形</w:t>
      </w:r>
    </w:p>
    <w:p>
      <w:pPr>
        <w:spacing w:line="400" w:lineRule="exact"/>
        <w:ind w:firstLine="420" w:firstLineChars="200"/>
        <w:rPr>
          <w:rFonts w:hint="eastAsia" w:ascii="宋体" w:hAnsi="宋体" w:cs="宋体"/>
          <w:szCs w:val="21"/>
        </w:rPr>
      </w:pPr>
      <w:r>
        <w:rPr>
          <w:rFonts w:hint="eastAsia" w:ascii="宋体" w:hAnsi="宋体" w:cs="宋体"/>
          <w:szCs w:val="21"/>
        </w:rPr>
        <w:t>(1) 法定代表人或单位负责人为同一个人或者存在直接控股、管理关系的不同供应商，同时参加本项目或同一子项目报价的。</w:t>
      </w:r>
    </w:p>
    <w:p>
      <w:pPr>
        <w:spacing w:line="400" w:lineRule="exact"/>
        <w:ind w:firstLine="420" w:firstLineChars="200"/>
        <w:rPr>
          <w:rFonts w:hint="eastAsia" w:ascii="宋体" w:hAnsi="宋体" w:cs="宋体"/>
          <w:szCs w:val="21"/>
        </w:rPr>
      </w:pPr>
      <w:r>
        <w:rPr>
          <w:rFonts w:hint="eastAsia" w:ascii="宋体" w:hAnsi="宋体" w:cs="宋体"/>
          <w:szCs w:val="21"/>
        </w:rPr>
        <w:t>(2) 评标期间，供应商没有按评审小组的要求提交法定代表人或其委托代理人签字的澄清、说明、补正或改变了报价文件的实质性内容的。</w:t>
      </w:r>
    </w:p>
    <w:p>
      <w:pPr>
        <w:spacing w:line="400" w:lineRule="exact"/>
        <w:ind w:firstLine="420" w:firstLineChars="200"/>
        <w:rPr>
          <w:rFonts w:hint="eastAsia" w:ascii="宋体" w:hAnsi="宋体" w:cs="宋体"/>
          <w:szCs w:val="21"/>
        </w:rPr>
      </w:pPr>
      <w:r>
        <w:rPr>
          <w:rFonts w:hint="eastAsia" w:ascii="宋体" w:hAnsi="宋体" w:cs="宋体"/>
          <w:szCs w:val="21"/>
        </w:rPr>
        <w:t>(3) 报价文件提供虚假材料的。</w:t>
      </w:r>
    </w:p>
    <w:p>
      <w:pPr>
        <w:spacing w:line="400" w:lineRule="exact"/>
        <w:ind w:firstLine="420" w:firstLineChars="200"/>
        <w:rPr>
          <w:rFonts w:hint="eastAsia" w:ascii="宋体" w:hAnsi="宋体" w:cs="宋体"/>
          <w:szCs w:val="21"/>
        </w:rPr>
      </w:pPr>
      <w:r>
        <w:rPr>
          <w:rFonts w:hint="eastAsia" w:ascii="宋体" w:hAnsi="宋体" w:cs="宋体"/>
          <w:szCs w:val="21"/>
        </w:rPr>
        <w:t>(4) 供应商以他人的名义报价、串通报价、以行贿手段谋取中标或者以其他弄虚作假方式报价的。</w:t>
      </w:r>
    </w:p>
    <w:p>
      <w:pPr>
        <w:spacing w:line="400" w:lineRule="exact"/>
        <w:ind w:firstLine="420" w:firstLineChars="200"/>
        <w:rPr>
          <w:rFonts w:hint="eastAsia" w:ascii="宋体" w:hAnsi="宋体" w:cs="宋体"/>
          <w:szCs w:val="21"/>
        </w:rPr>
      </w:pPr>
      <w:r>
        <w:rPr>
          <w:rFonts w:hint="eastAsia" w:ascii="宋体" w:hAnsi="宋体" w:cs="宋体"/>
          <w:szCs w:val="21"/>
        </w:rPr>
        <w:t>(5) 供应商对采购人、评审小组及其工作人员施加影响，有碍招标公平、公正的。</w:t>
      </w:r>
    </w:p>
    <w:p>
      <w:pPr>
        <w:spacing w:line="400" w:lineRule="exact"/>
        <w:ind w:firstLine="420" w:firstLineChars="200"/>
        <w:rPr>
          <w:rFonts w:hint="eastAsia" w:ascii="宋体" w:hAnsi="宋体" w:cs="宋体"/>
          <w:szCs w:val="21"/>
        </w:rPr>
      </w:pPr>
      <w:r>
        <w:rPr>
          <w:rFonts w:hint="eastAsia" w:ascii="宋体" w:hAnsi="宋体" w:cs="宋体"/>
          <w:szCs w:val="21"/>
        </w:rPr>
        <w:t>(6) 报价文件含有采购人不能接受的附加条件的。</w:t>
      </w:r>
    </w:p>
    <w:p>
      <w:pPr>
        <w:pStyle w:val="2"/>
      </w:pPr>
      <w:r>
        <w:rPr>
          <w:rFonts w:hint="eastAsia" w:ascii="宋体" w:hAnsi="宋体" w:cs="宋体"/>
          <w:szCs w:val="21"/>
        </w:rPr>
        <w:t xml:space="preserve">   （7）报价文件未能通过符合性审查</w:t>
      </w:r>
    </w:p>
    <w:p>
      <w:pPr>
        <w:spacing w:line="400" w:lineRule="exact"/>
        <w:ind w:firstLine="420" w:firstLineChars="200"/>
        <w:rPr>
          <w:rFonts w:hint="eastAsia" w:ascii="宋体" w:hAnsi="宋体" w:cs="宋体"/>
          <w:szCs w:val="21"/>
        </w:rPr>
      </w:pPr>
      <w:r>
        <w:rPr>
          <w:rFonts w:hint="eastAsia" w:ascii="宋体" w:hAnsi="宋体" w:cs="宋体"/>
          <w:szCs w:val="21"/>
        </w:rPr>
        <w:t>(8) 法律、法规和采购文件规定的其他无效情形。</w:t>
      </w:r>
    </w:p>
    <w:p>
      <w:pPr>
        <w:pStyle w:val="2"/>
        <w:rPr>
          <w:rFonts w:hint="eastAsia" w:ascii="宋体" w:hAnsi="宋体" w:cs="宋体"/>
          <w:szCs w:val="21"/>
        </w:rPr>
      </w:pPr>
      <w:r>
        <w:rPr>
          <w:rFonts w:hint="eastAsia" w:ascii="宋体" w:hAnsi="宋体" w:cs="宋体"/>
          <w:szCs w:val="21"/>
        </w:rPr>
        <w:t>注：符合性审查内容需与第一章公告“3、合格供应商资格条件”相匹配，符合性审查内容中的第5、6、7项可依据实际需要进行调整。</w:t>
      </w:r>
    </w:p>
    <w:p/>
    <w:p>
      <w:pPr>
        <w:numPr>
          <w:ilvl w:val="1"/>
          <w:numId w:val="9"/>
        </w:numPr>
        <w:tabs>
          <w:tab w:val="left" w:pos="840"/>
        </w:tabs>
        <w:spacing w:after="240"/>
        <w:ind w:left="839" w:hanging="839"/>
        <w:rPr>
          <w:rFonts w:hint="eastAsia"/>
          <w:szCs w:val="22"/>
        </w:rPr>
      </w:pPr>
      <w:r>
        <w:rPr>
          <w:rFonts w:hint="eastAsia"/>
          <w:szCs w:val="22"/>
        </w:rPr>
        <w:t>如果通过初步评审供应商少于3名，本次采购失败，采购人将修正采购文件后重新组织采购。</w:t>
      </w:r>
    </w:p>
    <w:p>
      <w:pPr>
        <w:pStyle w:val="4"/>
        <w:numPr>
          <w:ilvl w:val="0"/>
          <w:numId w:val="9"/>
        </w:numPr>
        <w:rPr>
          <w:rFonts w:ascii="Times New Roman" w:hAnsi="Times New Roman"/>
        </w:rPr>
      </w:pPr>
      <w:r>
        <w:rPr>
          <w:rFonts w:hint="eastAsia" w:ascii="Times New Roman" w:hAnsi="Times New Roman"/>
        </w:rPr>
        <w:tab/>
      </w:r>
      <w:r>
        <w:rPr>
          <w:rFonts w:hint="eastAsia" w:ascii="Times New Roman" w:hAnsi="Times New Roman"/>
        </w:rPr>
        <w:tab/>
      </w:r>
      <w:bookmarkStart w:id="35" w:name="_Toc22149468"/>
      <w:r>
        <w:rPr>
          <w:rFonts w:hint="eastAsia" w:ascii="Times New Roman" w:hAnsi="Times New Roman"/>
        </w:rPr>
        <w:t>报价文件的详细评审</w:t>
      </w:r>
      <w:bookmarkEnd w:id="35"/>
    </w:p>
    <w:p>
      <w:pPr>
        <w:numPr>
          <w:ilvl w:val="1"/>
          <w:numId w:val="9"/>
        </w:numPr>
        <w:tabs>
          <w:tab w:val="left" w:pos="851"/>
          <w:tab w:val="clear" w:pos="360"/>
        </w:tabs>
        <w:ind w:left="851" w:hanging="851"/>
        <w:rPr>
          <w:rFonts w:hint="eastAsia"/>
        </w:rPr>
      </w:pPr>
      <w:r>
        <w:rPr>
          <w:rFonts w:hint="eastAsia"/>
        </w:rPr>
        <w:t>评审小组对通过初步评审的报价文件中的商务服务、服务方案等方面采用百分制综合评分，其构成及权重为：价格部分得分占</w:t>
      </w:r>
      <w:r>
        <w:rPr>
          <w:rFonts w:hint="eastAsia" w:ascii="宋体" w:hAnsi="宋体"/>
          <w:color w:val="auto"/>
          <w:szCs w:val="21"/>
        </w:rPr>
        <w:t>20</w:t>
      </w:r>
      <w:r>
        <w:rPr>
          <w:rFonts w:hint="eastAsia"/>
        </w:rPr>
        <w:t>％，商务部分得分占</w:t>
      </w:r>
      <w:r>
        <w:rPr>
          <w:rFonts w:hint="eastAsia" w:ascii="宋体" w:hAnsi="宋体"/>
          <w:color w:val="auto"/>
          <w:szCs w:val="21"/>
        </w:rPr>
        <w:t>80</w:t>
      </w:r>
      <w:r>
        <w:rPr>
          <w:rFonts w:hint="eastAsia"/>
        </w:rPr>
        <w:t xml:space="preserve">%，详细评分标准如下： </w:t>
      </w:r>
    </w:p>
    <w:p>
      <w:pPr>
        <w:numPr>
          <w:ilvl w:val="0"/>
          <w:numId w:val="16"/>
        </w:numPr>
        <w:tabs>
          <w:tab w:val="left" w:pos="840"/>
        </w:tabs>
        <w:ind w:left="839"/>
        <w:rPr>
          <w:rFonts w:hint="eastAsia" w:ascii="宋体" w:hAnsi="宋体"/>
        </w:rPr>
      </w:pPr>
      <w:r>
        <w:rPr>
          <w:rFonts w:hint="eastAsia" w:ascii="宋体" w:hAnsi="宋体"/>
        </w:rPr>
        <w:t>商务评分表</w:t>
      </w:r>
    </w:p>
    <w:tbl>
      <w:tblPr>
        <w:tblStyle w:val="14"/>
        <w:tblW w:w="864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16"/>
        <w:gridCol w:w="1067"/>
        <w:gridCol w:w="5250"/>
        <w:gridCol w:w="101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1316"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评审项目</w:t>
            </w:r>
          </w:p>
        </w:tc>
        <w:tc>
          <w:tcPr>
            <w:tcW w:w="1067"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c>
          <w:tcPr>
            <w:tcW w:w="5250"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评分细则</w:t>
            </w:r>
          </w:p>
        </w:tc>
        <w:tc>
          <w:tcPr>
            <w:tcW w:w="101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07" w:hRule="atLeast"/>
        </w:trPr>
        <w:tc>
          <w:tcPr>
            <w:tcW w:w="1316" w:type="dxa"/>
            <w:vMerge w:val="restart"/>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综合实力</w:t>
            </w:r>
          </w:p>
        </w:tc>
        <w:tc>
          <w:tcPr>
            <w:tcW w:w="1067"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25</w:t>
            </w:r>
            <w:r>
              <w:rPr>
                <w:rFonts w:hint="eastAsia" w:ascii="宋体" w:hAnsi="宋体" w:eastAsia="宋体" w:cs="宋体"/>
                <w:color w:val="auto"/>
                <w:kern w:val="0"/>
                <w:sz w:val="21"/>
                <w:szCs w:val="21"/>
                <w:lang w:val="zh-CN"/>
              </w:rPr>
              <w:t>分</w:t>
            </w:r>
          </w:p>
        </w:tc>
        <w:tc>
          <w:tcPr>
            <w:tcW w:w="5250" w:type="dxa"/>
            <w:tcBorders>
              <w:left w:val="single" w:color="auto" w:sz="4" w:space="0"/>
              <w:bottom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21"/>
                <w:szCs w:val="21"/>
                <w:lang w:val="zh-CN"/>
              </w:rPr>
            </w:pPr>
            <w:r>
              <w:rPr>
                <w:rFonts w:hint="eastAsia" w:ascii="宋体" w:hAnsi="宋体" w:eastAsia="宋体" w:cs="宋体"/>
                <w:i w:val="0"/>
                <w:color w:val="333333"/>
                <w:kern w:val="0"/>
                <w:sz w:val="22"/>
                <w:szCs w:val="22"/>
                <w:u w:val="none"/>
                <w:lang w:val="en-US" w:eastAsia="zh-CN" w:bidi="ar"/>
              </w:rPr>
              <w:t>近5年为</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w:t>
            </w:r>
            <w:r>
              <w:rPr>
                <w:rFonts w:hint="eastAsia" w:ascii="宋体" w:hAnsi="宋体" w:eastAsia="宋体" w:cs="宋体"/>
                <w:i w:val="0"/>
                <w:color w:val="333333"/>
                <w:kern w:val="0"/>
                <w:sz w:val="22"/>
                <w:szCs w:val="22"/>
                <w:u w:val="none"/>
                <w:lang w:val="en-US" w:eastAsia="zh-CN" w:bidi="ar"/>
              </w:rPr>
              <w:t>提供过</w:t>
            </w:r>
            <w:r>
              <w:rPr>
                <w:rFonts w:hint="eastAsia" w:ascii="宋体" w:hAnsi="宋体"/>
                <w:color w:val="auto"/>
                <w:szCs w:val="21"/>
                <w:highlight w:val="none"/>
                <w:lang w:eastAsia="zh-CN"/>
              </w:rPr>
              <w:t>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w:t>
            </w:r>
            <w:r>
              <w:rPr>
                <w:rFonts w:hint="eastAsia" w:ascii="宋体" w:hAnsi="宋体" w:eastAsia="宋体" w:cs="宋体"/>
                <w:i w:val="0"/>
                <w:color w:val="333333"/>
                <w:kern w:val="0"/>
                <w:sz w:val="22"/>
                <w:szCs w:val="22"/>
                <w:u w:val="none"/>
                <w:lang w:val="en-US" w:eastAsia="zh-CN" w:bidi="ar"/>
              </w:rPr>
              <w:t>5次及以上，25分；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近5年为</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w:t>
            </w:r>
            <w:r>
              <w:rPr>
                <w:rFonts w:hint="eastAsia" w:ascii="宋体" w:hAnsi="宋体" w:eastAsia="宋体" w:cs="宋体"/>
                <w:i w:val="0"/>
                <w:color w:val="333333"/>
                <w:kern w:val="0"/>
                <w:sz w:val="22"/>
                <w:szCs w:val="22"/>
                <w:u w:val="none"/>
                <w:lang w:val="en-US" w:eastAsia="zh-CN" w:bidi="ar"/>
              </w:rPr>
              <w:t>提供过</w:t>
            </w:r>
            <w:r>
              <w:rPr>
                <w:rFonts w:hint="eastAsia" w:ascii="宋体" w:hAnsi="宋体"/>
                <w:color w:val="auto"/>
                <w:szCs w:val="21"/>
                <w:highlight w:val="none"/>
                <w:lang w:eastAsia="zh-CN"/>
              </w:rPr>
              <w:t>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w:t>
            </w:r>
            <w:r>
              <w:rPr>
                <w:rFonts w:hint="eastAsia" w:ascii="宋体" w:hAnsi="宋体" w:eastAsia="宋体" w:cs="宋体"/>
                <w:i w:val="0"/>
                <w:color w:val="333333"/>
                <w:kern w:val="0"/>
                <w:sz w:val="22"/>
                <w:szCs w:val="22"/>
                <w:u w:val="none"/>
                <w:lang w:val="en-US" w:eastAsia="zh-CN" w:bidi="ar"/>
              </w:rPr>
              <w:t>4次，20分；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近5年为</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w:t>
            </w:r>
            <w:r>
              <w:rPr>
                <w:rFonts w:hint="eastAsia" w:ascii="宋体" w:hAnsi="宋体" w:eastAsia="宋体" w:cs="宋体"/>
                <w:i w:val="0"/>
                <w:color w:val="333333"/>
                <w:kern w:val="0"/>
                <w:sz w:val="22"/>
                <w:szCs w:val="22"/>
                <w:u w:val="none"/>
                <w:lang w:val="en-US" w:eastAsia="zh-CN" w:bidi="ar"/>
              </w:rPr>
              <w:t>提供过</w:t>
            </w:r>
            <w:r>
              <w:rPr>
                <w:rFonts w:hint="eastAsia" w:ascii="宋体" w:hAnsi="宋体"/>
                <w:color w:val="auto"/>
                <w:szCs w:val="21"/>
                <w:highlight w:val="none"/>
                <w:lang w:eastAsia="zh-CN"/>
              </w:rPr>
              <w:t>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w:t>
            </w:r>
            <w:r>
              <w:rPr>
                <w:rFonts w:hint="eastAsia" w:ascii="宋体" w:hAnsi="宋体" w:eastAsia="宋体" w:cs="宋体"/>
                <w:i w:val="0"/>
                <w:color w:val="333333"/>
                <w:kern w:val="0"/>
                <w:sz w:val="22"/>
                <w:szCs w:val="22"/>
                <w:u w:val="none"/>
                <w:lang w:val="en-US" w:eastAsia="zh-CN" w:bidi="ar"/>
              </w:rPr>
              <w:t>3次，15分；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近5年为</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w:t>
            </w:r>
            <w:r>
              <w:rPr>
                <w:rFonts w:hint="eastAsia" w:ascii="宋体" w:hAnsi="宋体" w:eastAsia="宋体" w:cs="宋体"/>
                <w:i w:val="0"/>
                <w:color w:val="333333"/>
                <w:kern w:val="0"/>
                <w:sz w:val="22"/>
                <w:szCs w:val="22"/>
                <w:u w:val="none"/>
                <w:lang w:val="en-US" w:eastAsia="zh-CN" w:bidi="ar"/>
              </w:rPr>
              <w:t>提供过</w:t>
            </w:r>
            <w:r>
              <w:rPr>
                <w:rFonts w:hint="eastAsia" w:ascii="宋体" w:hAnsi="宋体"/>
                <w:color w:val="auto"/>
                <w:szCs w:val="21"/>
                <w:highlight w:val="none"/>
                <w:lang w:eastAsia="zh-CN"/>
              </w:rPr>
              <w:t>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w:t>
            </w:r>
            <w:r>
              <w:rPr>
                <w:rFonts w:hint="eastAsia" w:ascii="宋体" w:hAnsi="宋体" w:eastAsia="宋体" w:cs="宋体"/>
                <w:i w:val="0"/>
                <w:color w:val="333333"/>
                <w:kern w:val="0"/>
                <w:sz w:val="22"/>
                <w:szCs w:val="22"/>
                <w:u w:val="none"/>
                <w:lang w:val="en-US" w:eastAsia="zh-CN" w:bidi="ar"/>
              </w:rPr>
              <w:t>2次，10分；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近5年为</w:t>
            </w:r>
            <w:r>
              <w:rPr>
                <w:rFonts w:hint="eastAsia" w:ascii="宋体" w:hAnsi="宋体"/>
                <w:color w:val="auto"/>
                <w:szCs w:val="21"/>
                <w:highlight w:val="none"/>
                <w:lang w:eastAsia="zh-CN"/>
              </w:rPr>
              <w:t>政府部门</w:t>
            </w:r>
            <w:r>
              <w:rPr>
                <w:rFonts w:hint="eastAsia" w:ascii="宋体" w:hAnsi="宋体"/>
                <w:color w:val="auto"/>
                <w:szCs w:val="21"/>
                <w:highlight w:val="none"/>
                <w:lang w:val="en-US" w:eastAsia="zh-CN"/>
              </w:rPr>
              <w:t>或</w:t>
            </w:r>
            <w:r>
              <w:rPr>
                <w:rFonts w:hint="eastAsia" w:ascii="宋体" w:hAnsi="宋体"/>
                <w:color w:val="auto"/>
                <w:szCs w:val="21"/>
                <w:highlight w:val="none"/>
                <w:lang w:eastAsia="zh-CN"/>
              </w:rPr>
              <w:t>企事业单位</w:t>
            </w:r>
            <w:r>
              <w:rPr>
                <w:rFonts w:hint="eastAsia" w:ascii="宋体" w:hAnsi="宋体" w:eastAsia="宋体" w:cs="宋体"/>
                <w:i w:val="0"/>
                <w:color w:val="333333"/>
                <w:kern w:val="0"/>
                <w:sz w:val="22"/>
                <w:szCs w:val="22"/>
                <w:u w:val="none"/>
                <w:lang w:val="en-US" w:eastAsia="zh-CN" w:bidi="ar"/>
              </w:rPr>
              <w:t>提供过</w:t>
            </w:r>
            <w:r>
              <w:rPr>
                <w:rFonts w:hint="eastAsia" w:ascii="宋体" w:hAnsi="宋体"/>
                <w:color w:val="auto"/>
                <w:szCs w:val="21"/>
                <w:highlight w:val="none"/>
                <w:lang w:eastAsia="zh-CN"/>
              </w:rPr>
              <w:t>安全生产</w:t>
            </w:r>
            <w:r>
              <w:rPr>
                <w:rFonts w:hint="eastAsia" w:ascii="宋体" w:hAnsi="宋体"/>
                <w:color w:val="auto"/>
                <w:szCs w:val="21"/>
                <w:highlight w:val="none"/>
              </w:rPr>
              <w:t>相关</w:t>
            </w:r>
            <w:r>
              <w:rPr>
                <w:rFonts w:hint="eastAsia" w:hAnsi="Courier New" w:cs="Courier New"/>
                <w:color w:val="auto"/>
                <w:highlight w:val="none"/>
              </w:rPr>
              <w:t>服</w:t>
            </w:r>
            <w:r>
              <w:rPr>
                <w:rFonts w:hint="eastAsia" w:hAnsi="Courier New" w:cs="Courier New"/>
                <w:color w:val="000000"/>
                <w:highlight w:val="none"/>
              </w:rPr>
              <w:t>务</w:t>
            </w:r>
            <w:r>
              <w:rPr>
                <w:rFonts w:hint="eastAsia" w:ascii="宋体" w:hAnsi="宋体" w:eastAsia="宋体" w:cs="宋体"/>
                <w:i w:val="0"/>
                <w:color w:val="333333"/>
                <w:kern w:val="0"/>
                <w:sz w:val="22"/>
                <w:szCs w:val="22"/>
                <w:u w:val="none"/>
                <w:lang w:val="en-US" w:eastAsia="zh-CN" w:bidi="ar"/>
              </w:rPr>
              <w:t>1次，5分。</w:t>
            </w:r>
          </w:p>
        </w:tc>
        <w:tc>
          <w:tcPr>
            <w:tcW w:w="1015" w:type="dxa"/>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1316" w:type="dxa"/>
            <w:vMerge w:val="continue"/>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lang w:val="zh-CN"/>
              </w:rPr>
            </w:pPr>
          </w:p>
        </w:tc>
        <w:tc>
          <w:tcPr>
            <w:tcW w:w="1067"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分</w:t>
            </w:r>
          </w:p>
        </w:tc>
        <w:tc>
          <w:tcPr>
            <w:tcW w:w="5250" w:type="dxa"/>
            <w:tcBorders>
              <w:top w:val="single" w:color="auto" w:sz="4" w:space="0"/>
              <w:lef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21"/>
                <w:szCs w:val="21"/>
                <w:lang w:val="zh-CN"/>
              </w:rPr>
            </w:pPr>
            <w:r>
              <w:rPr>
                <w:rFonts w:hint="eastAsia" w:ascii="宋体" w:hAnsi="宋体" w:eastAsia="宋体" w:cs="宋体"/>
                <w:i w:val="0"/>
                <w:color w:val="333333"/>
                <w:kern w:val="0"/>
                <w:sz w:val="22"/>
                <w:szCs w:val="22"/>
                <w:u w:val="none"/>
                <w:lang w:val="en-US" w:eastAsia="zh-CN" w:bidi="ar"/>
              </w:rPr>
              <w:t>项目负责人曾被聘任或现被聘任为国家级安全生产行业专家，15分；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项目负责人曾被聘任或现被聘任为省级安全生产行业专家，10分；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项目负责人曾被聘任或现被聘任为地市级安全生产行业专家，5分。</w:t>
            </w:r>
          </w:p>
        </w:tc>
        <w:tc>
          <w:tcPr>
            <w:tcW w:w="101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131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项目人员投入</w:t>
            </w:r>
          </w:p>
        </w:tc>
        <w:tc>
          <w:tcPr>
            <w:tcW w:w="1067"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lang w:val="zh-CN"/>
              </w:rPr>
              <w:t>分</w:t>
            </w:r>
          </w:p>
        </w:tc>
        <w:tc>
          <w:tcPr>
            <w:tcW w:w="5250" w:type="dxa"/>
            <w:tcBorders>
              <w:top w:val="single" w:color="auto" w:sz="4" w:space="0"/>
              <w:lef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21"/>
                <w:szCs w:val="21"/>
                <w:lang w:val="zh-CN"/>
              </w:rPr>
            </w:pPr>
            <w:r>
              <w:rPr>
                <w:rFonts w:hint="eastAsia" w:ascii="宋体" w:hAnsi="宋体" w:eastAsia="宋体" w:cs="宋体"/>
                <w:i w:val="0"/>
                <w:color w:val="333333"/>
                <w:kern w:val="0"/>
                <w:sz w:val="22"/>
                <w:szCs w:val="22"/>
                <w:u w:val="none"/>
                <w:lang w:val="en-US" w:eastAsia="zh-CN" w:bidi="ar"/>
              </w:rPr>
              <w:t>项目参与人员具备高级工程师或注册安全工程师或安全评价师资格，在4人以上，15分；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项目参与人员具备高级工程师或注册安全工程师或安全评价师资格，在3人以上，10分；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项目参与人员具备高级工程师或注册安全工程师或安全评价师资格，在2人以上，5分。</w:t>
            </w:r>
          </w:p>
        </w:tc>
        <w:tc>
          <w:tcPr>
            <w:tcW w:w="101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131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项目工作思路及成果</w:t>
            </w:r>
          </w:p>
        </w:tc>
        <w:tc>
          <w:tcPr>
            <w:tcW w:w="106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5250" w:type="dxa"/>
            <w:tcBorders>
              <w:top w:val="single" w:color="auto" w:sz="4" w:space="0"/>
              <w:lef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21"/>
                <w:szCs w:val="21"/>
                <w:lang w:val="zh-CN"/>
              </w:rPr>
            </w:pPr>
            <w:r>
              <w:rPr>
                <w:rFonts w:hint="eastAsia" w:ascii="宋体" w:hAnsi="宋体" w:eastAsia="宋体" w:cs="宋体"/>
                <w:i w:val="0"/>
                <w:color w:val="333333"/>
                <w:kern w:val="0"/>
                <w:sz w:val="22"/>
                <w:szCs w:val="22"/>
                <w:u w:val="none"/>
                <w:lang w:val="en-US" w:eastAsia="zh-CN" w:bidi="ar"/>
              </w:rPr>
              <w:t>项目工作方案思路明确，评估单和评估报告描述清晰，11-15分；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项目工作思路一般，评估单和评估报告描述一般，6-10分；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项目工作思路不太合理明确，评估单和评估报告描述不太清晰，0-5分。</w:t>
            </w:r>
          </w:p>
        </w:tc>
        <w:tc>
          <w:tcPr>
            <w:tcW w:w="1015"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31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156" w:beforeLines="50" w:line="240"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进度计划安排</w:t>
            </w:r>
          </w:p>
        </w:tc>
        <w:tc>
          <w:tcPr>
            <w:tcW w:w="1067"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before="50" w:line="240" w:lineRule="auto"/>
              <w:jc w:val="center"/>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10分</w:t>
            </w:r>
          </w:p>
        </w:tc>
        <w:tc>
          <w:tcPr>
            <w:tcW w:w="5250" w:type="dxa"/>
            <w:tcBorders>
              <w:lef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21"/>
                <w:szCs w:val="21"/>
                <w:lang w:val="zh-CN"/>
              </w:rPr>
            </w:pPr>
            <w:r>
              <w:rPr>
                <w:rFonts w:hint="eastAsia" w:ascii="宋体" w:hAnsi="宋体" w:eastAsia="宋体" w:cs="宋体"/>
                <w:i w:val="0"/>
                <w:color w:val="333333"/>
                <w:kern w:val="0"/>
                <w:sz w:val="22"/>
                <w:szCs w:val="22"/>
                <w:u w:val="none"/>
                <w:lang w:val="en-US" w:eastAsia="zh-CN" w:bidi="ar"/>
              </w:rPr>
              <w:t>项目进度计划安排非常好，能够满足任务要求，8-10分；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项目进度计划及任务安排一般，基本满足任务要求，4-7分；</w:t>
            </w:r>
            <w:r>
              <w:rPr>
                <w:rFonts w:hint="eastAsia" w:ascii="宋体" w:hAnsi="宋体" w:eastAsia="宋体" w:cs="宋体"/>
                <w:i w:val="0"/>
                <w:color w:val="333333"/>
                <w:kern w:val="0"/>
                <w:sz w:val="22"/>
                <w:szCs w:val="22"/>
                <w:u w:val="none"/>
                <w:lang w:val="en-US" w:eastAsia="zh-CN" w:bidi="ar"/>
              </w:rPr>
              <w:br w:type="textWrapping"/>
            </w:r>
            <w:r>
              <w:rPr>
                <w:rFonts w:hint="eastAsia" w:ascii="宋体" w:hAnsi="宋体" w:eastAsia="宋体" w:cs="宋体"/>
                <w:i w:val="0"/>
                <w:color w:val="333333"/>
                <w:kern w:val="0"/>
                <w:sz w:val="22"/>
                <w:szCs w:val="22"/>
                <w:u w:val="none"/>
                <w:lang w:val="en-US" w:eastAsia="zh-CN" w:bidi="ar"/>
              </w:rPr>
              <w:t>项目进度计划安排不太合理、任务不太清晰，不能满足任务要求，0-3分。</w:t>
            </w:r>
          </w:p>
        </w:tc>
        <w:tc>
          <w:tcPr>
            <w:tcW w:w="1015"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7633" w:type="dxa"/>
            <w:gridSpan w:val="3"/>
            <w:tcBorders>
              <w:top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总分</w:t>
            </w:r>
          </w:p>
        </w:tc>
        <w:tc>
          <w:tcPr>
            <w:tcW w:w="1015" w:type="dxa"/>
            <w:tcBorders>
              <w:lef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kern w:val="0"/>
                <w:sz w:val="21"/>
                <w:szCs w:val="21"/>
                <w:lang w:val="zh-CN"/>
              </w:rPr>
            </w:pPr>
          </w:p>
        </w:tc>
      </w:tr>
    </w:tbl>
    <w:p>
      <w:pPr>
        <w:rPr>
          <w:rFonts w:hint="eastAsia"/>
        </w:rPr>
      </w:pPr>
    </w:p>
    <w:p>
      <w:pPr>
        <w:tabs>
          <w:tab w:val="left" w:pos="360"/>
          <w:tab w:val="left" w:pos="840"/>
        </w:tabs>
        <w:ind w:left="839"/>
        <w:rPr>
          <w:rFonts w:hint="eastAsia" w:ascii="Arial" w:hAnsi="Arial"/>
          <w:szCs w:val="21"/>
        </w:rPr>
      </w:pPr>
      <w:r>
        <w:t>2</w:t>
      </w:r>
      <w:r>
        <w:rPr>
          <w:rFonts w:hint="eastAsia"/>
        </w:rPr>
        <w:t>）价格评审细则：价格分满分</w:t>
      </w:r>
      <w:r>
        <w:rPr>
          <w:rFonts w:hint="eastAsia" w:ascii="宋体" w:hAnsi="宋体"/>
          <w:color w:val="auto"/>
          <w:szCs w:val="21"/>
        </w:rPr>
        <w:t>20</w:t>
      </w:r>
      <w:r>
        <w:rPr>
          <w:rFonts w:hint="eastAsia"/>
        </w:rPr>
        <w:t>分，各供应商的</w:t>
      </w:r>
      <w:r>
        <w:rPr>
          <w:rFonts w:hint="eastAsia" w:ascii="Arial" w:hAnsi="Arial"/>
          <w:szCs w:val="21"/>
        </w:rPr>
        <w:t>价格</w:t>
      </w:r>
      <w:r>
        <w:rPr>
          <w:rFonts w:hint="eastAsia"/>
        </w:rPr>
        <w:t>得</w:t>
      </w:r>
      <w:r>
        <w:rPr>
          <w:rFonts w:hint="eastAsia" w:ascii="Arial" w:hAnsi="Arial"/>
          <w:szCs w:val="21"/>
        </w:rPr>
        <w:t>分</w:t>
      </w:r>
      <w:r>
        <w:rPr>
          <w:rFonts w:hint="eastAsia"/>
        </w:rPr>
        <w:t>按如下标准计算</w:t>
      </w:r>
      <w:r>
        <w:rPr>
          <w:rFonts w:hint="eastAsia" w:ascii="Arial" w:hAnsi="Arial"/>
          <w:szCs w:val="21"/>
        </w:rPr>
        <w:t>：</w:t>
      </w:r>
    </w:p>
    <w:p>
      <w:pPr>
        <w:ind w:left="1134" w:leftChars="540"/>
        <w:rPr>
          <w:rFonts w:hint="eastAsia"/>
          <w:szCs w:val="21"/>
        </w:rPr>
      </w:pPr>
      <w:r>
        <w:rPr>
          <w:rFonts w:hint="eastAsia" w:ascii="宋体" w:hAnsi="宋体"/>
          <w:szCs w:val="21"/>
        </w:rPr>
        <w:t>（1）</w:t>
      </w:r>
      <w:r>
        <w:rPr>
          <w:rFonts w:hint="eastAsia"/>
          <w:szCs w:val="21"/>
        </w:rPr>
        <w:t>基准价：取所有通过初步评审的供应商报价的算术平均值作为基准价；</w:t>
      </w:r>
    </w:p>
    <w:p>
      <w:pPr>
        <w:ind w:left="1701" w:leftChars="540" w:hanging="567" w:hangingChars="270"/>
        <w:rPr>
          <w:rFonts w:hint="eastAsia"/>
          <w:szCs w:val="21"/>
        </w:rPr>
      </w:pPr>
      <w:r>
        <w:rPr>
          <w:rFonts w:hint="eastAsia" w:ascii="宋体" w:hAnsi="宋体"/>
          <w:szCs w:val="21"/>
        </w:rPr>
        <w:t>（2）</w:t>
      </w:r>
      <w:r>
        <w:rPr>
          <w:rFonts w:hint="eastAsia"/>
          <w:szCs w:val="21"/>
        </w:rPr>
        <w:t>当报价等于基准价时，价格得分为</w:t>
      </w:r>
      <w:r>
        <w:rPr>
          <w:rFonts w:hint="eastAsia" w:ascii="宋体" w:hAnsi="宋体"/>
          <w:color w:val="auto"/>
          <w:szCs w:val="21"/>
        </w:rPr>
        <w:t>20</w:t>
      </w:r>
      <w:r>
        <w:rPr>
          <w:rFonts w:hint="eastAsia"/>
          <w:szCs w:val="21"/>
        </w:rPr>
        <w:t>分；</w:t>
      </w:r>
    </w:p>
    <w:p>
      <w:pPr>
        <w:ind w:left="1701" w:leftChars="540" w:hanging="567" w:hangingChars="270"/>
        <w:rPr>
          <w:rFonts w:hint="eastAsia" w:hAnsi="宋体"/>
          <w:color w:val="auto"/>
          <w:highlight w:val="none"/>
        </w:rPr>
      </w:pPr>
      <w:r>
        <w:rPr>
          <w:rFonts w:hint="eastAsia" w:hAnsi="宋体"/>
          <w:color w:val="auto"/>
          <w:highlight w:val="none"/>
        </w:rPr>
        <w:t>（3）当报价高于基准价时，按</w:t>
      </w:r>
      <w:r>
        <w:rPr>
          <w:rFonts w:hAnsi="宋体"/>
          <w:color w:val="auto"/>
          <w:highlight w:val="none"/>
        </w:rPr>
        <w:t>每高</w:t>
      </w:r>
      <w:r>
        <w:rPr>
          <w:rFonts w:hint="eastAsia" w:hAnsi="宋体"/>
          <w:color w:val="auto"/>
          <w:highlight w:val="none"/>
        </w:rPr>
        <w:t>1%的在</w:t>
      </w: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0</w:t>
      </w:r>
      <w:r>
        <w:rPr>
          <w:rFonts w:hint="eastAsia" w:hAnsi="宋体"/>
          <w:color w:val="auto"/>
          <w:highlight w:val="none"/>
        </w:rPr>
        <w:t>分基础上</w:t>
      </w:r>
      <w:r>
        <w:rPr>
          <w:rFonts w:hAnsi="宋体"/>
          <w:color w:val="auto"/>
          <w:highlight w:val="none"/>
        </w:rPr>
        <w:t>扣</w:t>
      </w:r>
      <w:r>
        <w:rPr>
          <w:rFonts w:hint="eastAsia" w:hAnsi="宋体"/>
          <w:color w:val="auto"/>
          <w:highlight w:val="none"/>
        </w:rPr>
        <w:t>1</w:t>
      </w:r>
      <w:r>
        <w:rPr>
          <w:rFonts w:hAnsi="宋体"/>
          <w:color w:val="auto"/>
          <w:highlight w:val="none"/>
        </w:rPr>
        <w:t>分</w:t>
      </w:r>
      <w:r>
        <w:rPr>
          <w:rFonts w:hint="eastAsia" w:hAnsi="宋体"/>
          <w:color w:val="auto"/>
          <w:highlight w:val="none"/>
        </w:rPr>
        <w:t>，不足1%的按插值法计算，直至扣至0分；</w:t>
      </w:r>
    </w:p>
    <w:p>
      <w:pPr>
        <w:ind w:left="1701" w:leftChars="540" w:hanging="567" w:hangingChars="270"/>
        <w:rPr>
          <w:rFonts w:hint="eastAsia" w:hAnsi="宋体"/>
        </w:rPr>
      </w:pPr>
      <w:r>
        <w:rPr>
          <w:rFonts w:hint="eastAsia" w:hAnsi="宋体"/>
          <w:color w:val="auto"/>
          <w:highlight w:val="none"/>
        </w:rPr>
        <w:t>（4）当报价</w:t>
      </w:r>
      <w:r>
        <w:rPr>
          <w:rFonts w:hint="eastAsia"/>
          <w:color w:val="auto"/>
          <w:szCs w:val="21"/>
          <w:highlight w:val="none"/>
        </w:rPr>
        <w:t>低于基准价时，按每低 1%的 在</w:t>
      </w:r>
      <w:r>
        <w:rPr>
          <w:rFonts w:hint="eastAsia" w:ascii="宋体" w:hAnsi="宋体"/>
          <w:color w:val="auto"/>
          <w:szCs w:val="21"/>
          <w:highlight w:val="none"/>
          <w:lang w:eastAsia="zh-CN"/>
        </w:rPr>
        <w:t>2</w:t>
      </w:r>
      <w:r>
        <w:rPr>
          <w:rFonts w:hint="eastAsia" w:ascii="宋体" w:hAnsi="宋体"/>
          <w:color w:val="auto"/>
          <w:szCs w:val="21"/>
          <w:highlight w:val="none"/>
          <w:lang w:val="en-US" w:eastAsia="zh-CN"/>
        </w:rPr>
        <w:t>0</w:t>
      </w:r>
      <w:r>
        <w:rPr>
          <w:rFonts w:hint="eastAsia"/>
          <w:color w:val="auto"/>
          <w:szCs w:val="21"/>
          <w:highlight w:val="none"/>
        </w:rPr>
        <w:t>分基础上扣0.5分，</w:t>
      </w:r>
      <w:r>
        <w:rPr>
          <w:rFonts w:hint="eastAsia" w:hAnsi="宋体"/>
          <w:color w:val="auto"/>
          <w:highlight w:val="none"/>
        </w:rPr>
        <w:t>不足1%的按插</w:t>
      </w:r>
      <w:r>
        <w:rPr>
          <w:rFonts w:hint="eastAsia" w:hAnsi="宋体"/>
        </w:rPr>
        <w:t>值法计算，直至扣至0分</w:t>
      </w:r>
      <w:r>
        <w:rPr>
          <w:rFonts w:hint="eastAsia"/>
          <w:szCs w:val="21"/>
        </w:rPr>
        <w:t>；</w:t>
      </w:r>
    </w:p>
    <w:p>
      <w:pPr>
        <w:ind w:left="1701" w:leftChars="540" w:hanging="567" w:hangingChars="270"/>
        <w:rPr>
          <w:rFonts w:hint="eastAsia"/>
          <w:szCs w:val="21"/>
        </w:rPr>
      </w:pPr>
      <w:r>
        <w:rPr>
          <w:rFonts w:hint="eastAsia" w:ascii="宋体" w:hAnsi="宋体"/>
          <w:szCs w:val="21"/>
        </w:rPr>
        <w:t>（5）</w:t>
      </w:r>
      <w:r>
        <w:rPr>
          <w:rFonts w:hint="eastAsia"/>
          <w:szCs w:val="21"/>
        </w:rPr>
        <w:t>按上述方法计算的结果保存两位小数，第三位四舍五入。</w:t>
      </w:r>
    </w:p>
    <w:p>
      <w:pPr>
        <w:pStyle w:val="4"/>
        <w:numPr>
          <w:ilvl w:val="0"/>
          <w:numId w:val="9"/>
        </w:numPr>
        <w:rPr>
          <w:rFonts w:hint="eastAsia" w:ascii="Times New Roman" w:hAnsi="Times New Roman"/>
        </w:rPr>
      </w:pPr>
      <w:bookmarkStart w:id="36" w:name="_Toc353536742"/>
      <w:bookmarkEnd w:id="36"/>
      <w:r>
        <w:rPr>
          <w:rFonts w:hint="eastAsia" w:ascii="Times New Roman" w:hAnsi="Times New Roman"/>
        </w:rPr>
        <w:tab/>
      </w:r>
      <w:r>
        <w:rPr>
          <w:rFonts w:hint="eastAsia" w:ascii="Times New Roman" w:hAnsi="Times New Roman"/>
        </w:rPr>
        <w:tab/>
      </w:r>
      <w:bookmarkStart w:id="37" w:name="_Toc22149469"/>
      <w:r>
        <w:rPr>
          <w:rFonts w:hint="eastAsia" w:ascii="Times New Roman" w:hAnsi="Times New Roman"/>
        </w:rPr>
        <w:t>综合得分计算</w:t>
      </w:r>
      <w:bookmarkEnd w:id="37"/>
    </w:p>
    <w:p>
      <w:pPr>
        <w:numPr>
          <w:ilvl w:val="1"/>
          <w:numId w:val="9"/>
        </w:numPr>
        <w:tabs>
          <w:tab w:val="left" w:pos="840"/>
        </w:tabs>
        <w:ind w:left="840" w:hanging="840"/>
        <w:rPr>
          <w:rFonts w:hint="eastAsia"/>
        </w:rPr>
      </w:pPr>
      <w:r>
        <w:rPr>
          <w:rFonts w:hint="eastAsia" w:ascii="宋体" w:hAnsi="宋体"/>
          <w:szCs w:val="21"/>
        </w:rPr>
        <w:t>综合得分＝商务</w:t>
      </w:r>
      <w:r>
        <w:rPr>
          <w:rFonts w:hint="eastAsia" w:ascii="宋体" w:hAnsi="宋体"/>
        </w:rPr>
        <w:t>得分+</w:t>
      </w:r>
      <w:r>
        <w:rPr>
          <w:rFonts w:hint="eastAsia" w:ascii="宋体" w:hAnsi="宋体"/>
          <w:szCs w:val="21"/>
        </w:rPr>
        <w:t>价格得分</w:t>
      </w:r>
      <w:r>
        <w:rPr>
          <w:rFonts w:hint="eastAsia"/>
        </w:rPr>
        <w:t>。</w:t>
      </w:r>
    </w:p>
    <w:p>
      <w:pPr>
        <w:pStyle w:val="4"/>
        <w:numPr>
          <w:ilvl w:val="0"/>
          <w:numId w:val="9"/>
        </w:numPr>
        <w:rPr>
          <w:rFonts w:ascii="Times New Roman" w:hAnsi="Times New Roman"/>
        </w:rPr>
      </w:pPr>
      <w:bookmarkStart w:id="38" w:name="_Toc353536744"/>
      <w:bookmarkEnd w:id="38"/>
      <w:bookmarkStart w:id="39" w:name="_Toc353536748"/>
      <w:bookmarkEnd w:id="39"/>
      <w:bookmarkStart w:id="40" w:name="_Toc353536747"/>
      <w:bookmarkEnd w:id="40"/>
      <w:bookmarkStart w:id="41" w:name="_Toc353536745"/>
      <w:bookmarkEnd w:id="41"/>
      <w:bookmarkStart w:id="42" w:name="_Toc353536746"/>
      <w:bookmarkEnd w:id="42"/>
      <w:r>
        <w:rPr>
          <w:rFonts w:hint="eastAsia" w:ascii="Times New Roman" w:hAnsi="Times New Roman"/>
        </w:rPr>
        <w:tab/>
      </w:r>
      <w:r>
        <w:rPr>
          <w:rFonts w:hint="eastAsia" w:ascii="Times New Roman" w:hAnsi="Times New Roman"/>
        </w:rPr>
        <w:tab/>
      </w:r>
      <w:bookmarkStart w:id="43" w:name="_Toc22149470"/>
      <w:bookmarkStart w:id="44" w:name="_Toc37035402"/>
      <w:r>
        <w:rPr>
          <w:rFonts w:hint="eastAsia" w:ascii="Times New Roman" w:hAnsi="Times New Roman"/>
        </w:rPr>
        <w:t>成交供应商的确定</w:t>
      </w:r>
      <w:bookmarkEnd w:id="43"/>
      <w:bookmarkEnd w:id="44"/>
    </w:p>
    <w:p>
      <w:pPr>
        <w:numPr>
          <w:ilvl w:val="1"/>
          <w:numId w:val="9"/>
        </w:numPr>
        <w:tabs>
          <w:tab w:val="left" w:pos="840"/>
        </w:tabs>
        <w:ind w:left="840" w:hanging="840"/>
        <w:rPr>
          <w:rFonts w:hint="eastAsia"/>
          <w:sz w:val="24"/>
        </w:rPr>
      </w:pPr>
      <w:r>
        <w:rPr>
          <w:rFonts w:hint="eastAsia"/>
        </w:rPr>
        <w:t>评审小组按综合得分从高到低排序，推荐综合得分最高的供应商为第一成交候选人，综合得分次高者为第二成交候选人，依次类推，评审小组将推荐总得分前3名的供应商为成交候选人。如出现总得分相同，评审价低者排名靠前，若评审价仍相同，则由评审小组投票，按少数服从多数原则确定供应商排名先后。</w:t>
      </w:r>
    </w:p>
    <w:p>
      <w:pPr>
        <w:tabs>
          <w:tab w:val="left" w:pos="840"/>
        </w:tabs>
        <w:rPr>
          <w:rFonts w:hint="eastAsia"/>
          <w:sz w:val="24"/>
        </w:rPr>
      </w:pPr>
    </w:p>
    <w:p>
      <w:pPr>
        <w:numPr>
          <w:ilvl w:val="1"/>
          <w:numId w:val="9"/>
        </w:numPr>
        <w:tabs>
          <w:tab w:val="left" w:pos="840"/>
        </w:tabs>
        <w:ind w:left="840" w:hanging="840"/>
        <w:rPr>
          <w:rFonts w:hint="eastAsia"/>
          <w:sz w:val="24"/>
        </w:rPr>
      </w:pPr>
      <w:r>
        <w:rPr>
          <w:rFonts w:hint="eastAsia"/>
        </w:rPr>
        <w:t>采购人根据评审小组的推荐，</w:t>
      </w:r>
      <w:r>
        <w:rPr>
          <w:rFonts w:hint="eastAsia" w:ascii="宋体"/>
        </w:rPr>
        <w:t>确定本项目成交供应商</w:t>
      </w:r>
      <w:r>
        <w:rPr>
          <w:rFonts w:hint="eastAsia"/>
        </w:rPr>
        <w:t>。</w:t>
      </w:r>
    </w:p>
    <w:p>
      <w:pPr>
        <w:pStyle w:val="2"/>
        <w:rPr>
          <w:rFonts w:hint="eastAsia"/>
        </w:rPr>
      </w:pPr>
      <w:r>
        <w:rPr>
          <w:rFonts w:hint="eastAsia"/>
        </w:rPr>
        <w:t>注：如果需要一次性选择多位供应商，此处可明确“</w:t>
      </w:r>
      <w:r>
        <w:rPr>
          <w:rFonts w:hint="eastAsia" w:ascii="宋体" w:hAnsi="宋体" w:cs="宋体"/>
          <w:szCs w:val="21"/>
        </w:rPr>
        <w:t>评审小组按上述排列向采购人推荐X名成交候选人</w:t>
      </w:r>
      <w:r>
        <w:rPr>
          <w:rFonts w:hint="eastAsia"/>
        </w:rPr>
        <w:t>”</w:t>
      </w:r>
    </w:p>
    <w:p>
      <w:pPr>
        <w:numPr>
          <w:ilvl w:val="1"/>
          <w:numId w:val="9"/>
        </w:numPr>
        <w:tabs>
          <w:tab w:val="left" w:pos="840"/>
        </w:tabs>
        <w:ind w:left="840" w:hanging="840"/>
        <w:rPr>
          <w:rFonts w:hint="eastAsia"/>
        </w:rPr>
      </w:pPr>
      <w:r>
        <w:rPr>
          <w:rFonts w:hint="eastAsia"/>
        </w:rPr>
        <w:t>采购人自收到评标报告后将在发布采购文件的同一网络公示评审报告，公示期满，相关利害关系人无异议的，经采购人内部决策程序后，授予第一成交候选人为成交供应商，第一成交候选人放弃成交或被依法认定成交无效的，采购人可以按顺序选择第二成交候选人。</w:t>
      </w:r>
    </w:p>
    <w:p>
      <w:pPr>
        <w:tabs>
          <w:tab w:val="left" w:pos="840"/>
        </w:tabs>
      </w:pPr>
      <w:r>
        <w:rPr>
          <w:rFonts w:hint="eastAsia"/>
        </w:rPr>
        <w:t>注：如果需要一次性选择多位供应商，此处请据实调整。</w:t>
      </w:r>
    </w:p>
    <w:p>
      <w:pPr>
        <w:numPr>
          <w:ilvl w:val="1"/>
          <w:numId w:val="9"/>
        </w:numPr>
        <w:tabs>
          <w:tab w:val="left" w:pos="840"/>
        </w:tabs>
        <w:ind w:left="840" w:hanging="840"/>
        <w:rPr>
          <w:rFonts w:hint="eastAsia"/>
        </w:rPr>
      </w:pPr>
      <w:r>
        <w:rPr>
          <w:rFonts w:hint="eastAsia"/>
        </w:rPr>
        <w:t>采购结果确认后，采购人将成交结果在采购信息发布网站上进行公告。不在成交名单之列者即为落标人，采购人不再以其它方式另行通知。</w:t>
      </w:r>
    </w:p>
    <w:p>
      <w:pPr>
        <w:numPr>
          <w:ilvl w:val="1"/>
          <w:numId w:val="9"/>
        </w:numPr>
        <w:tabs>
          <w:tab w:val="left" w:pos="840"/>
        </w:tabs>
        <w:ind w:left="840" w:hanging="840"/>
        <w:rPr>
          <w:rFonts w:hint="eastAsia"/>
        </w:rPr>
      </w:pPr>
      <w:r>
        <w:rPr>
          <w:rFonts w:hint="eastAsia"/>
        </w:rPr>
        <w:t>成交供应商放弃中标的，应当依法承担相应的法律责任。</w:t>
      </w:r>
    </w:p>
    <w:p>
      <w:pPr>
        <w:numPr>
          <w:ilvl w:val="1"/>
          <w:numId w:val="9"/>
        </w:numPr>
        <w:tabs>
          <w:tab w:val="left" w:pos="840"/>
        </w:tabs>
        <w:ind w:left="840" w:hanging="840"/>
        <w:rPr>
          <w:rFonts w:hint="eastAsia"/>
        </w:rPr>
      </w:pPr>
      <w:r>
        <w:rPr>
          <w:rFonts w:hint="eastAsia"/>
        </w:rPr>
        <w:t>凡发现成交供应商有下列行为之一的，将移交采购人监督管理部门依规处理。</w:t>
      </w:r>
    </w:p>
    <w:p>
      <w:pPr>
        <w:ind w:firstLine="839"/>
      </w:pPr>
      <w:r>
        <w:t>1. 提供虚假材料谋取中标的。</w:t>
      </w:r>
    </w:p>
    <w:p>
      <w:pPr>
        <w:ind w:firstLine="839"/>
      </w:pPr>
      <w:r>
        <w:t>2. 采取不正当手段诋毁、排挤其他供应商的。</w:t>
      </w:r>
    </w:p>
    <w:p>
      <w:pPr>
        <w:ind w:firstLine="839"/>
      </w:pPr>
      <w:r>
        <w:t>3. 与采购人、其他供应商或者交易中心工作人员恶意串通的。</w:t>
      </w:r>
    </w:p>
    <w:p>
      <w:pPr>
        <w:ind w:firstLine="839"/>
      </w:pPr>
      <w:r>
        <w:t>4. 向采购人、交易中心工作人员行贿或者提供其他不正当利益的。</w:t>
      </w:r>
    </w:p>
    <w:p>
      <w:pPr>
        <w:ind w:firstLine="839"/>
      </w:pPr>
      <w:r>
        <w:t>5. 在招标采购过程中与采购人进行协商谈判的。</w:t>
      </w:r>
    </w:p>
    <w:p>
      <w:pPr>
        <w:ind w:firstLine="839"/>
      </w:pPr>
      <w:r>
        <w:t>6. 拒绝有关部门监督检查或者提供虚假情况的。</w:t>
      </w:r>
    </w:p>
    <w:p>
      <w:pPr>
        <w:ind w:firstLine="839"/>
      </w:pPr>
      <w:r>
        <w:t>7. 有法律、法规规定的其他损害采购人利益和社会公共利益情形的。</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45" w:name="_Toc37035403"/>
      <w:bookmarkStart w:id="46" w:name="_Toc22149471"/>
      <w:r>
        <w:rPr>
          <w:rFonts w:hint="eastAsia" w:ascii="Times New Roman" w:hAnsi="Times New Roman"/>
        </w:rPr>
        <w:t>与采购人的接触</w:t>
      </w:r>
      <w:bookmarkEnd w:id="45"/>
      <w:bookmarkEnd w:id="46"/>
    </w:p>
    <w:p>
      <w:pPr>
        <w:numPr>
          <w:ilvl w:val="1"/>
          <w:numId w:val="9"/>
        </w:numPr>
        <w:tabs>
          <w:tab w:val="left" w:pos="840"/>
        </w:tabs>
        <w:ind w:left="840" w:hanging="840"/>
      </w:pPr>
      <w:r>
        <w:rPr>
          <w:rFonts w:hint="eastAsia"/>
        </w:rPr>
        <w:t>除供应商须知的相关规定外，从报价文件截至之日起至授予合同期间，未经采购人书面要求，供应商不得就与其项目报价文件有关的事项与采购人联系。</w:t>
      </w:r>
    </w:p>
    <w:p>
      <w:pPr>
        <w:pStyle w:val="9"/>
        <w:tabs>
          <w:tab w:val="left" w:pos="840"/>
        </w:tabs>
        <w:rPr>
          <w:rFonts w:ascii="Times New Roman" w:hAnsi="Times New Roman"/>
        </w:rPr>
      </w:pPr>
    </w:p>
    <w:p>
      <w:pPr>
        <w:numPr>
          <w:ilvl w:val="1"/>
          <w:numId w:val="9"/>
        </w:numPr>
        <w:tabs>
          <w:tab w:val="left" w:pos="840"/>
        </w:tabs>
        <w:ind w:left="840" w:hanging="840"/>
        <w:rPr>
          <w:rFonts w:hint="eastAsia"/>
          <w:sz w:val="24"/>
        </w:rPr>
      </w:pPr>
      <w:r>
        <w:rPr>
          <w:rFonts w:hint="eastAsia"/>
        </w:rPr>
        <w:t>供应商试图对评审小组的评审或采购人授予合同的决定进行影响，可能导致其报价文件被拒绝。</w:t>
      </w:r>
    </w:p>
    <w:p>
      <w:pPr>
        <w:pStyle w:val="3"/>
        <w:jc w:val="center"/>
        <w:rPr>
          <w:rFonts w:hint="eastAsia" w:eastAsia="黑体"/>
        </w:rPr>
      </w:pPr>
      <w:bookmarkStart w:id="47" w:name="_Toc22149472"/>
      <w:bookmarkStart w:id="48" w:name="_Toc520146468"/>
      <w:bookmarkStart w:id="49" w:name="_Toc472608697"/>
      <w:r>
        <w:rPr>
          <w:rFonts w:hint="eastAsia" w:eastAsia="黑体"/>
        </w:rPr>
        <w:t>六、授予合同</w:t>
      </w:r>
      <w:bookmarkEnd w:id="47"/>
      <w:bookmarkEnd w:id="48"/>
      <w:bookmarkEnd w:id="49"/>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0" w:name="_Toc22149473"/>
      <w:bookmarkStart w:id="51" w:name="_Toc98040829"/>
      <w:r>
        <w:rPr>
          <w:rFonts w:hint="eastAsia" w:ascii="Times New Roman" w:hAnsi="Times New Roman"/>
        </w:rPr>
        <w:t>资格后审</w:t>
      </w:r>
      <w:bookmarkEnd w:id="50"/>
      <w:bookmarkEnd w:id="51"/>
    </w:p>
    <w:p>
      <w:pPr>
        <w:numPr>
          <w:ilvl w:val="1"/>
          <w:numId w:val="9"/>
        </w:numPr>
        <w:tabs>
          <w:tab w:val="left" w:pos="840"/>
        </w:tabs>
        <w:ind w:left="840" w:hanging="840"/>
        <w:rPr>
          <w:rFonts w:hint="eastAsia"/>
        </w:rPr>
      </w:pPr>
      <w:r>
        <w:rPr>
          <w:rFonts w:hint="eastAsia"/>
        </w:rPr>
        <w:t>采购决定将考虑供应商的财务、服务能力等，其基础是审查供应商提交的资格证明文件和其它采购人认为必要的、合适的资料。</w:t>
      </w:r>
    </w:p>
    <w:p>
      <w:pPr>
        <w:pStyle w:val="9"/>
        <w:tabs>
          <w:tab w:val="left" w:pos="840"/>
        </w:tabs>
        <w:rPr>
          <w:rFonts w:hint="eastAsia" w:ascii="Times New Roman" w:hAnsi="Times New Roman"/>
        </w:rPr>
      </w:pPr>
    </w:p>
    <w:p>
      <w:pPr>
        <w:numPr>
          <w:ilvl w:val="1"/>
          <w:numId w:val="9"/>
        </w:numPr>
        <w:tabs>
          <w:tab w:val="left" w:pos="840"/>
        </w:tabs>
        <w:ind w:left="840" w:hanging="840"/>
        <w:rPr>
          <w:rFonts w:hint="eastAsia"/>
        </w:rPr>
      </w:pPr>
      <w:r>
        <w:rPr>
          <w:rFonts w:hint="eastAsia"/>
        </w:rPr>
        <w:t>如果审查通过，则将合同授予符合第33.1条规定的供应商；如果审查没有通过，则取消其成交资格。在此情况下，评审小组将对服务内容和商务上充分满足采购文件要求的供应商中，综合得分次高的供应商能否满意地履行合同义务作类似的审查，或重新组织采购。</w:t>
      </w:r>
    </w:p>
    <w:p>
      <w:pPr>
        <w:pStyle w:val="2"/>
      </w:pPr>
      <w:r>
        <w:rPr>
          <w:rFonts w:hint="eastAsia"/>
        </w:rPr>
        <w:t>注：此条款可依据实际业务情况，确定是否需要。</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r>
        <w:rPr>
          <w:rFonts w:ascii="Times New Roman" w:hAnsi="Times New Roman"/>
        </w:rPr>
        <w:t xml:space="preserve"> </w:t>
      </w:r>
      <w:bookmarkStart w:id="52" w:name="_Toc22149474"/>
      <w:r>
        <w:rPr>
          <w:rFonts w:hint="eastAsia" w:ascii="Times New Roman" w:hAnsi="Times New Roman"/>
        </w:rPr>
        <w:t>合同授予标准</w:t>
      </w:r>
      <w:bookmarkEnd w:id="52"/>
    </w:p>
    <w:p>
      <w:pPr>
        <w:numPr>
          <w:ilvl w:val="1"/>
          <w:numId w:val="9"/>
        </w:numPr>
        <w:tabs>
          <w:tab w:val="left" w:pos="840"/>
        </w:tabs>
        <w:ind w:left="840" w:hanging="840"/>
        <w:rPr>
          <w:rFonts w:hint="eastAsia"/>
        </w:rPr>
      </w:pPr>
      <w:r>
        <w:rPr>
          <w:rFonts w:hint="eastAsia"/>
        </w:rPr>
        <w:t>采购人将把合同授予被确定为实质上响应采购文件的要求并具有履行合同能力的符合采购需求、综合得分最高的供应商。</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3" w:name="_Toc22149475"/>
      <w:r>
        <w:rPr>
          <w:rFonts w:hint="eastAsia" w:ascii="Times New Roman" w:hAnsi="Times New Roman"/>
        </w:rPr>
        <w:t>授予合同时更改采购服务数量的权力</w:t>
      </w:r>
      <w:bookmarkEnd w:id="53"/>
    </w:p>
    <w:p>
      <w:pPr>
        <w:numPr>
          <w:ilvl w:val="1"/>
          <w:numId w:val="9"/>
        </w:numPr>
        <w:tabs>
          <w:tab w:val="left" w:pos="840"/>
        </w:tabs>
        <w:ind w:left="840" w:hanging="840"/>
        <w:rPr>
          <w:rFonts w:hint="eastAsia"/>
        </w:rPr>
      </w:pPr>
      <w:r>
        <w:rPr>
          <w:rFonts w:hint="eastAsia"/>
        </w:rPr>
        <w:t>采购人在授予合同时有权在一定的幅度内对报价表中规定的服务数量予以增加或减少，但不得对单价或其它的条款和条件做任何实质改变。</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4" w:name="_Toc22149476"/>
      <w:r>
        <w:rPr>
          <w:rFonts w:hint="eastAsia" w:ascii="Times New Roman" w:hAnsi="Times New Roman"/>
        </w:rPr>
        <w:t>接受和拒绝任何或所有报价文件的权力</w:t>
      </w:r>
      <w:bookmarkEnd w:id="54"/>
    </w:p>
    <w:p>
      <w:pPr>
        <w:numPr>
          <w:ilvl w:val="1"/>
          <w:numId w:val="9"/>
        </w:numPr>
        <w:tabs>
          <w:tab w:val="left" w:pos="840"/>
        </w:tabs>
        <w:ind w:left="840" w:hanging="840"/>
        <w:rPr>
          <w:rFonts w:hint="eastAsia"/>
        </w:rPr>
      </w:pPr>
      <w:r>
        <w:rPr>
          <w:rFonts w:hint="eastAsia"/>
        </w:rPr>
        <w:t>采购人保留在签署合同之前任何时候根据评审小组的决定拒绝所有或任何报价文件，以及宣布所有或任何项目报价文件无效的权力，对受影响的供应商不承担任何责任，也无义务向受影响的供应商解释采取这一行动的理由。</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5" w:name="_Toc22149477"/>
      <w:r>
        <w:rPr>
          <w:rFonts w:hint="eastAsia" w:ascii="Times New Roman" w:hAnsi="Times New Roman"/>
        </w:rPr>
        <w:t>成交通知书</w:t>
      </w:r>
      <w:bookmarkEnd w:id="55"/>
    </w:p>
    <w:p>
      <w:pPr>
        <w:numPr>
          <w:ilvl w:val="1"/>
          <w:numId w:val="9"/>
        </w:numPr>
        <w:tabs>
          <w:tab w:val="left" w:pos="851"/>
          <w:tab w:val="clear" w:pos="360"/>
        </w:tabs>
        <w:spacing w:after="240"/>
        <w:ind w:left="851" w:hanging="851"/>
        <w:rPr>
          <w:rFonts w:hint="eastAsia"/>
        </w:rPr>
      </w:pPr>
      <w:r>
        <w:rPr>
          <w:rFonts w:hint="eastAsia"/>
        </w:rPr>
        <w:t>在项目有效期期满之前，采购人将经过采购人确认的成交通知书以书面形式通知成交供应商。</w:t>
      </w:r>
    </w:p>
    <w:p>
      <w:pPr>
        <w:numPr>
          <w:ilvl w:val="1"/>
          <w:numId w:val="9"/>
        </w:numPr>
        <w:tabs>
          <w:tab w:val="left" w:pos="840"/>
        </w:tabs>
        <w:spacing w:after="240"/>
        <w:ind w:left="840" w:hanging="840"/>
        <w:rPr>
          <w:rFonts w:hint="eastAsia"/>
        </w:rPr>
      </w:pPr>
      <w:r>
        <w:rPr>
          <w:rFonts w:hint="eastAsia"/>
        </w:rPr>
        <w:t>成交通知书将是合同的一个组成部分。</w:t>
      </w:r>
    </w:p>
    <w:p>
      <w:pPr>
        <w:pStyle w:val="4"/>
        <w:numPr>
          <w:ilvl w:val="0"/>
          <w:numId w:val="9"/>
        </w:numPr>
        <w:rPr>
          <w:rFonts w:hint="eastAsia" w:ascii="Times New Roman" w:hAnsi="Times New Roman"/>
        </w:rPr>
      </w:pPr>
      <w:r>
        <w:rPr>
          <w:rFonts w:hint="eastAsia" w:ascii="Times New Roman" w:hAnsi="Times New Roman"/>
        </w:rPr>
        <w:tab/>
      </w:r>
      <w:r>
        <w:rPr>
          <w:rFonts w:hint="eastAsia" w:ascii="Times New Roman" w:hAnsi="Times New Roman"/>
        </w:rPr>
        <w:tab/>
      </w:r>
      <w:bookmarkStart w:id="56" w:name="_Toc22149478"/>
      <w:r>
        <w:rPr>
          <w:rFonts w:hint="eastAsia" w:ascii="Times New Roman" w:hAnsi="Times New Roman"/>
        </w:rPr>
        <w:t>签订合同</w:t>
      </w:r>
      <w:bookmarkEnd w:id="56"/>
    </w:p>
    <w:p>
      <w:pPr>
        <w:numPr>
          <w:ilvl w:val="1"/>
          <w:numId w:val="9"/>
        </w:numPr>
        <w:tabs>
          <w:tab w:val="left" w:pos="840"/>
        </w:tabs>
        <w:ind w:left="840" w:hanging="840"/>
        <w:rPr>
          <w:rFonts w:hint="eastAsia"/>
        </w:rPr>
      </w:pPr>
      <w:r>
        <w:rPr>
          <w:rFonts w:hint="eastAsia"/>
        </w:rPr>
        <w:t>成交供应商在收到成交通知书后</w:t>
      </w:r>
      <w:r>
        <w:rPr>
          <w:rFonts w:hint="eastAsia" w:ascii="宋体" w:hAnsi="宋体" w:cs="宋体"/>
          <w:szCs w:val="21"/>
        </w:rPr>
        <w:t>三十日内</w:t>
      </w:r>
      <w:r>
        <w:rPr>
          <w:rFonts w:hint="eastAsia"/>
        </w:rPr>
        <w:t>，应派遣其授权在合同上签字的代表与广东省机场管理集团有限公司签署合同。</w:t>
      </w:r>
    </w:p>
    <w:p>
      <w:pPr>
        <w:pStyle w:val="9"/>
        <w:tabs>
          <w:tab w:val="left" w:pos="840"/>
        </w:tabs>
        <w:rPr>
          <w:rFonts w:hint="eastAsia" w:ascii="Times New Roman" w:hAnsi="Times New Roman"/>
        </w:rPr>
      </w:pPr>
    </w:p>
    <w:p>
      <w:pPr>
        <w:numPr>
          <w:ilvl w:val="1"/>
          <w:numId w:val="9"/>
        </w:numPr>
        <w:tabs>
          <w:tab w:val="left" w:pos="840"/>
        </w:tabs>
        <w:spacing w:after="240"/>
        <w:ind w:left="839" w:hanging="839"/>
        <w:rPr>
          <w:rFonts w:hint="eastAsia"/>
        </w:rPr>
      </w:pPr>
      <w:r>
        <w:rPr>
          <w:rFonts w:hint="eastAsia"/>
        </w:rPr>
        <w:t>合同的组成基于本采购文件的以下部分以及项目报价文件的相应的部分：</w:t>
      </w:r>
    </w:p>
    <w:p>
      <w:pPr>
        <w:pStyle w:val="9"/>
        <w:ind w:left="720"/>
        <w:rPr>
          <w:rFonts w:hint="eastAsia" w:ascii="Times New Roman" w:hAnsi="Times New Roman"/>
        </w:rPr>
      </w:pPr>
      <w:r>
        <w:rPr>
          <w:rFonts w:hint="eastAsia" w:ascii="Times New Roman" w:hAnsi="Times New Roman"/>
        </w:rPr>
        <w:t xml:space="preserve">（1）  </w:t>
      </w:r>
      <w:r>
        <w:rPr>
          <w:rFonts w:hint="eastAsia" w:ascii="Times New Roman" w:hAnsi="Times New Roman"/>
        </w:rPr>
        <w:tab/>
      </w:r>
      <w:r>
        <w:rPr>
          <w:rFonts w:hint="eastAsia" w:ascii="Times New Roman" w:hAnsi="Times New Roman"/>
        </w:rPr>
        <w:t>第三部分</w:t>
      </w:r>
      <w:r>
        <w:rPr>
          <w:rFonts w:hint="eastAsia" w:ascii="Times New Roman" w:hAnsi="Times New Roman"/>
        </w:rPr>
        <w:tab/>
      </w:r>
      <w:r>
        <w:rPr>
          <w:rFonts w:hint="eastAsia" w:ascii="Times New Roman" w:hAnsi="Times New Roman"/>
        </w:rPr>
        <w:t>合同条款</w:t>
      </w:r>
    </w:p>
    <w:p>
      <w:pPr>
        <w:pStyle w:val="9"/>
        <w:ind w:left="720"/>
        <w:rPr>
          <w:rFonts w:hint="eastAsia" w:ascii="Times New Roman" w:hAnsi="Times New Roman"/>
        </w:rPr>
      </w:pPr>
      <w:r>
        <w:rPr>
          <w:rFonts w:hint="eastAsia" w:ascii="Times New Roman" w:hAnsi="Times New Roman"/>
        </w:rPr>
        <w:t xml:space="preserve">（2） </w:t>
      </w:r>
      <w:r>
        <w:rPr>
          <w:rFonts w:hint="eastAsia" w:ascii="Times New Roman" w:hAnsi="Times New Roman"/>
        </w:rPr>
        <w:tab/>
      </w:r>
      <w:r>
        <w:rPr>
          <w:rFonts w:hint="eastAsia" w:ascii="Times New Roman" w:hAnsi="Times New Roman"/>
        </w:rPr>
        <w:t>采购人的澄清文件</w:t>
      </w:r>
    </w:p>
    <w:p>
      <w:pPr>
        <w:pStyle w:val="9"/>
        <w:ind w:left="720"/>
        <w:rPr>
          <w:rFonts w:hint="eastAsia" w:ascii="Times New Roman" w:hAnsi="Times New Roman"/>
        </w:rPr>
      </w:pPr>
      <w:r>
        <w:rPr>
          <w:rFonts w:hint="eastAsia" w:ascii="Times New Roman" w:hAnsi="Times New Roman"/>
        </w:rPr>
        <w:t>（</w:t>
      </w:r>
      <w:r>
        <w:rPr>
          <w:rFonts w:hint="eastAsia" w:ascii="Times New Roman" w:hAnsi="Times New Roman"/>
          <w:lang w:val="en-US" w:eastAsia="zh-CN"/>
        </w:rPr>
        <w:t>3</w:t>
      </w:r>
      <w:r>
        <w:rPr>
          <w:rFonts w:hint="eastAsia" w:ascii="Times New Roman" w:hAnsi="Times New Roman"/>
        </w:rPr>
        <w:t xml:space="preserve">） </w:t>
      </w:r>
      <w:r>
        <w:rPr>
          <w:rFonts w:hint="eastAsia" w:ascii="Times New Roman" w:hAnsi="Times New Roman"/>
        </w:rPr>
        <w:tab/>
      </w:r>
      <w:r>
        <w:rPr>
          <w:rFonts w:hint="eastAsia" w:ascii="Times New Roman" w:hAnsi="Times New Roman"/>
        </w:rPr>
        <w:t>第五部分</w:t>
      </w:r>
      <w:r>
        <w:rPr>
          <w:rFonts w:hint="eastAsia" w:ascii="Times New Roman" w:hAnsi="Times New Roman"/>
        </w:rPr>
        <w:tab/>
      </w:r>
      <w:r>
        <w:rPr>
          <w:rFonts w:hint="eastAsia"/>
        </w:rPr>
        <w:t>用户需求书</w:t>
      </w:r>
    </w:p>
    <w:p>
      <w:pPr>
        <w:pStyle w:val="9"/>
        <w:rPr>
          <w:rFonts w:hint="eastAsia"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w:t>
      </w:r>
      <w:r>
        <w:rPr>
          <w:rFonts w:hint="eastAsia" w:ascii="Times New Roman" w:hAnsi="Times New Roman"/>
          <w:lang w:val="en-US" w:eastAsia="zh-CN"/>
        </w:rPr>
        <w:t>4</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供应商的报价文件</w:t>
      </w:r>
    </w:p>
    <w:p>
      <w:pPr>
        <w:numPr>
          <w:ilvl w:val="1"/>
          <w:numId w:val="9"/>
        </w:numPr>
        <w:tabs>
          <w:tab w:val="left" w:pos="840"/>
        </w:tabs>
        <w:ind w:left="840" w:hanging="840"/>
        <w:rPr>
          <w:rFonts w:hint="eastAsia"/>
        </w:rPr>
      </w:pPr>
      <w:r>
        <w:rPr>
          <w:rFonts w:hint="eastAsia"/>
        </w:rPr>
        <w:t>如果成交供应商没有按照上述第3</w:t>
      </w:r>
      <w:r>
        <w:t>3</w:t>
      </w:r>
      <w:r>
        <w:rPr>
          <w:rFonts w:hint="eastAsia"/>
        </w:rPr>
        <w:t>.1条规定执行，采购人将有充分理由取消该成交决定。在此情况下，采购人可将合同授予其他满足采购要求的供应商，或重新组织采购。</w:t>
      </w:r>
    </w:p>
    <w:p>
      <w:pPr>
        <w:pStyle w:val="4"/>
        <w:numPr>
          <w:ilvl w:val="0"/>
          <w:numId w:val="9"/>
        </w:numPr>
        <w:rPr>
          <w:rFonts w:hint="eastAsia" w:ascii="Times New Roman" w:hAnsi="Times New Roman"/>
        </w:rPr>
      </w:pPr>
      <w:bookmarkStart w:id="57" w:name="_Toc488318889"/>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bookmarkStart w:id="58" w:name="_Toc22149479"/>
      <w:r>
        <w:rPr>
          <w:rFonts w:hint="eastAsia" w:ascii="Times New Roman" w:hAnsi="Times New Roman"/>
        </w:rPr>
        <w:t>成交结果通知</w:t>
      </w:r>
      <w:bookmarkEnd w:id="57"/>
      <w:bookmarkEnd w:id="58"/>
    </w:p>
    <w:p>
      <w:pPr>
        <w:numPr>
          <w:ilvl w:val="1"/>
          <w:numId w:val="9"/>
        </w:numPr>
        <w:tabs>
          <w:tab w:val="left" w:pos="851"/>
          <w:tab w:val="clear" w:pos="360"/>
        </w:tabs>
        <w:ind w:left="851" w:hanging="851"/>
      </w:pPr>
      <w:r>
        <w:rPr>
          <w:rFonts w:hint="eastAsia"/>
        </w:rPr>
        <w:t>采购人将在广东省机场管理集团有限公司招标、采购管理平台(wz.gdairport.</w:t>
      </w:r>
      <w:r>
        <w:t>com</w:t>
      </w:r>
      <w:r>
        <w:rPr>
          <w:rFonts w:hint="eastAsia"/>
        </w:rPr>
        <w:t>)发布采购结果，并于公示完毕后14 个工作日内向成交供应商发出《成交通知书》。</w:t>
      </w:r>
    </w:p>
    <w:p>
      <w:pPr>
        <w:pStyle w:val="5"/>
        <w:rPr>
          <w:rFonts w:hint="eastAsia"/>
        </w:rPr>
      </w:pPr>
    </w:p>
    <w:p>
      <w:pPr>
        <w:ind w:firstLine="735" w:firstLineChars="350"/>
        <w:outlineLvl w:val="0"/>
        <w:sectPr>
          <w:headerReference r:id="rId13" w:type="first"/>
          <w:footerReference r:id="rId15" w:type="first"/>
          <w:headerReference r:id="rId11" w:type="default"/>
          <w:footerReference r:id="rId14" w:type="default"/>
          <w:headerReference r:id="rId12" w:type="even"/>
          <w:pgSz w:w="11906" w:h="16838"/>
          <w:pgMar w:top="1402" w:right="1511" w:bottom="1246" w:left="1575" w:header="737" w:footer="680" w:gutter="0"/>
          <w:cols w:space="720" w:num="1"/>
          <w:titlePg/>
          <w:docGrid w:type="lines" w:linePitch="312" w:charSpace="0"/>
        </w:sectPr>
      </w:pPr>
    </w:p>
    <w:p>
      <w:pPr>
        <w:widowControl/>
        <w:tabs>
          <w:tab w:val="left" w:pos="567"/>
        </w:tabs>
        <w:autoSpaceDE w:val="0"/>
        <w:autoSpaceDN w:val="0"/>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rPr>
          <w:rFonts w:hint="eastAsia"/>
          <w:b/>
          <w:sz w:val="31"/>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第三部分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合  同  条  款</w:t>
      </w:r>
    </w:p>
    <w:p>
      <w:pPr>
        <w:rPr>
          <w:rFonts w:hint="eastAsia"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sectPr>
          <w:footerReference r:id="rId16" w:type="default"/>
          <w:footerReference r:id="rId17" w:type="even"/>
          <w:pgSz w:w="11907" w:h="16840"/>
          <w:pgMar w:top="1134" w:right="1134" w:bottom="1134" w:left="1134" w:header="567" w:footer="567" w:gutter="0"/>
          <w:cols w:space="720" w:num="1"/>
          <w:docGrid w:type="linesAndChars" w:linePitch="312" w:charSpace="0"/>
        </w:sect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560" w:lineRule="exact"/>
        <w:jc w:val="left"/>
        <w:rPr>
          <w:rFonts w:ascii="宋体" w:hAnsi="宋体"/>
          <w:szCs w:val="21"/>
        </w:rPr>
      </w:pPr>
    </w:p>
    <w:p>
      <w:pPr>
        <w:spacing w:line="360" w:lineRule="auto"/>
        <w:jc w:val="center"/>
        <w:rPr>
          <w:rFonts w:hint="eastAsia" w:ascii="华文中宋" w:hAnsi="华文中宋" w:eastAsia="华文中宋" w:cs="Times New Roman"/>
          <w:b/>
          <w:bCs/>
          <w:sz w:val="72"/>
          <w:szCs w:val="44"/>
          <w:u w:val="none"/>
        </w:rPr>
      </w:pPr>
      <w:r>
        <w:rPr>
          <w:rFonts w:hint="eastAsia" w:ascii="华文中宋" w:hAnsi="华文中宋" w:eastAsia="华文中宋"/>
          <w:b/>
          <w:bCs/>
          <w:sz w:val="72"/>
          <w:szCs w:val="44"/>
        </w:rPr>
        <w:t>广东省机场管理集团有限公司</w:t>
      </w:r>
      <w:r>
        <w:rPr>
          <w:rFonts w:hint="eastAsia" w:ascii="华文中宋" w:hAnsi="华文中宋" w:eastAsia="华文中宋" w:cs="Times New Roman"/>
          <w:b/>
          <w:bCs/>
          <w:sz w:val="72"/>
          <w:szCs w:val="44"/>
          <w:u w:val="none"/>
        </w:rPr>
        <w:t>安全生产专项整治三年行动</w:t>
      </w:r>
    </w:p>
    <w:p>
      <w:pPr>
        <w:spacing w:line="360" w:lineRule="auto"/>
        <w:jc w:val="center"/>
        <w:rPr>
          <w:rFonts w:hint="eastAsia" w:ascii="华文中宋" w:hAnsi="华文中宋" w:eastAsia="华文中宋"/>
          <w:b/>
          <w:bCs/>
          <w:sz w:val="72"/>
          <w:szCs w:val="44"/>
        </w:rPr>
      </w:pPr>
      <w:r>
        <w:rPr>
          <w:rFonts w:hint="eastAsia" w:ascii="华文中宋" w:hAnsi="华文中宋" w:eastAsia="华文中宋" w:cs="Times New Roman"/>
          <w:b/>
          <w:bCs/>
          <w:sz w:val="72"/>
          <w:szCs w:val="44"/>
          <w:u w:val="none"/>
        </w:rPr>
        <w:t>中期评估项目</w:t>
      </w:r>
      <w:r>
        <w:rPr>
          <w:rFonts w:hint="eastAsia" w:ascii="华文中宋" w:hAnsi="华文中宋" w:eastAsia="华文中宋"/>
          <w:b/>
          <w:bCs/>
          <w:sz w:val="72"/>
          <w:szCs w:val="44"/>
        </w:rPr>
        <w:t>合同</w:t>
      </w: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spacing w:line="360" w:lineRule="auto"/>
        <w:rPr>
          <w:rFonts w:hint="eastAsia" w:ascii="华文中宋" w:hAnsi="华文中宋" w:eastAsia="华文中宋"/>
        </w:rPr>
      </w:pPr>
    </w:p>
    <w:p>
      <w:pPr>
        <w:tabs>
          <w:tab w:val="left" w:pos="720"/>
        </w:tabs>
        <w:spacing w:line="360" w:lineRule="auto"/>
        <w:ind w:firstLine="2320" w:firstLineChars="800"/>
        <w:rPr>
          <w:rFonts w:hint="eastAsia" w:ascii="宋体" w:hAnsi="宋体"/>
          <w:b/>
          <w:sz w:val="29"/>
          <w:szCs w:val="21"/>
        </w:rPr>
      </w:pPr>
      <w:r>
        <w:rPr>
          <w:rFonts w:hint="eastAsia" w:ascii="宋体" w:hAnsi="宋体"/>
          <w:b/>
          <w:sz w:val="29"/>
          <w:szCs w:val="21"/>
        </w:rPr>
        <w:t>甲    方：广东省机场管理集团有限公司</w:t>
      </w:r>
    </w:p>
    <w:p>
      <w:pPr>
        <w:tabs>
          <w:tab w:val="left" w:pos="720"/>
        </w:tabs>
        <w:spacing w:line="360" w:lineRule="auto"/>
        <w:ind w:firstLine="2320" w:firstLineChars="800"/>
        <w:rPr>
          <w:rFonts w:hint="eastAsia" w:ascii="宋体" w:hAnsi="宋体"/>
          <w:b/>
          <w:sz w:val="29"/>
          <w:szCs w:val="21"/>
        </w:rPr>
      </w:pPr>
      <w:r>
        <w:rPr>
          <w:rFonts w:hint="eastAsia" w:ascii="宋体" w:hAnsi="宋体"/>
          <w:b/>
          <w:sz w:val="29"/>
          <w:szCs w:val="21"/>
        </w:rPr>
        <w:t>乙    方：</w:t>
      </w:r>
    </w:p>
    <w:p>
      <w:pPr>
        <w:tabs>
          <w:tab w:val="left" w:pos="210"/>
        </w:tabs>
        <w:spacing w:line="360" w:lineRule="auto"/>
        <w:ind w:firstLine="3517" w:firstLineChars="1213"/>
        <w:rPr>
          <w:rFonts w:hint="eastAsia" w:ascii="宋体" w:hAnsi="宋体"/>
          <w:sz w:val="28"/>
          <w:szCs w:val="28"/>
          <w:u w:val="single"/>
        </w:rPr>
      </w:pPr>
      <w:r>
        <w:rPr>
          <w:rFonts w:hint="eastAsia" w:ascii="宋体" w:hAnsi="宋体"/>
          <w:b/>
          <w:sz w:val="29"/>
          <w:szCs w:val="21"/>
        </w:rPr>
        <w:t xml:space="preserve">2021年 </w:t>
      </w:r>
      <w:r>
        <w:rPr>
          <w:rFonts w:ascii="宋体" w:hAnsi="宋体"/>
          <w:b/>
          <w:sz w:val="29"/>
          <w:szCs w:val="21"/>
        </w:rPr>
        <w:t xml:space="preserve">  </w:t>
      </w:r>
      <w:r>
        <w:rPr>
          <w:rFonts w:hint="eastAsia" w:ascii="宋体" w:hAnsi="宋体"/>
          <w:b/>
          <w:sz w:val="29"/>
          <w:szCs w:val="21"/>
        </w:rPr>
        <w:t xml:space="preserve"> 月    日</w:t>
      </w:r>
    </w:p>
    <w:p>
      <w:pPr>
        <w:spacing w:line="560" w:lineRule="exact"/>
        <w:jc w:val="left"/>
        <w:rPr>
          <w:rFonts w:ascii="宋体" w:hAnsi="宋体"/>
          <w:szCs w:val="21"/>
        </w:rPr>
      </w:pPr>
    </w:p>
    <w:p>
      <w:pPr>
        <w:spacing w:line="560" w:lineRule="exact"/>
        <w:jc w:val="left"/>
        <w:rPr>
          <w:rFonts w:ascii="宋体" w:hAnsi="宋体"/>
          <w:szCs w:val="21"/>
        </w:rPr>
        <w:sectPr>
          <w:pgSz w:w="11907" w:h="16840"/>
          <w:pgMar w:top="1134" w:right="1134" w:bottom="1134" w:left="1134" w:header="567" w:footer="567" w:gutter="0"/>
          <w:cols w:space="720" w:num="1"/>
          <w:docGrid w:type="linesAndChars" w:linePitch="312" w:charSpace="0"/>
        </w:sectPr>
      </w:pPr>
    </w:p>
    <w:p>
      <w:pPr>
        <w:spacing w:line="360" w:lineRule="auto"/>
        <w:rPr>
          <w:rFonts w:hint="eastAsia" w:ascii="宋体" w:hAnsi="宋体"/>
          <w:b/>
          <w:szCs w:val="21"/>
        </w:rPr>
      </w:pPr>
      <w:r>
        <w:rPr>
          <w:rFonts w:hint="eastAsia" w:ascii="宋体" w:hAnsi="宋体"/>
          <w:b/>
          <w:szCs w:val="21"/>
        </w:rPr>
        <w:t>甲      方：广东省机场管理集团有限公司</w:t>
      </w:r>
    </w:p>
    <w:p>
      <w:pPr>
        <w:spacing w:line="360" w:lineRule="auto"/>
        <w:rPr>
          <w:rFonts w:ascii="宋体" w:hAnsi="宋体"/>
          <w:b/>
          <w:szCs w:val="21"/>
        </w:rPr>
      </w:pPr>
      <w:r>
        <w:rPr>
          <w:rFonts w:hint="eastAsia" w:ascii="宋体" w:hAnsi="宋体"/>
          <w:b/>
          <w:szCs w:val="21"/>
        </w:rPr>
        <w:t>法定代表人：</w:t>
      </w:r>
    </w:p>
    <w:p>
      <w:pPr>
        <w:spacing w:line="360" w:lineRule="auto"/>
        <w:rPr>
          <w:rFonts w:hint="eastAsia" w:ascii="宋体" w:hAnsi="宋体"/>
          <w:b/>
          <w:szCs w:val="21"/>
        </w:rPr>
      </w:pPr>
      <w:r>
        <w:rPr>
          <w:rFonts w:hint="eastAsia" w:ascii="宋体" w:hAnsi="宋体"/>
          <w:b/>
          <w:szCs w:val="21"/>
        </w:rPr>
        <w:t>地      址：</w:t>
      </w:r>
    </w:p>
    <w:p>
      <w:pPr>
        <w:spacing w:line="360" w:lineRule="auto"/>
        <w:rPr>
          <w:rFonts w:hint="eastAsia" w:ascii="宋体" w:hAnsi="宋体"/>
          <w:b/>
          <w:szCs w:val="21"/>
        </w:rPr>
      </w:pPr>
    </w:p>
    <w:p>
      <w:pPr>
        <w:spacing w:line="360" w:lineRule="auto"/>
        <w:rPr>
          <w:rFonts w:ascii="宋体" w:hAnsi="宋体"/>
          <w:b/>
          <w:szCs w:val="21"/>
        </w:rPr>
      </w:pPr>
      <w:r>
        <w:rPr>
          <w:rFonts w:hint="eastAsia" w:ascii="宋体" w:hAnsi="宋体"/>
          <w:b/>
          <w:szCs w:val="21"/>
        </w:rPr>
        <w:t>乙      方：</w:t>
      </w:r>
    </w:p>
    <w:p>
      <w:pPr>
        <w:spacing w:line="360" w:lineRule="auto"/>
        <w:rPr>
          <w:rFonts w:ascii="宋体" w:hAnsi="宋体"/>
          <w:b/>
          <w:szCs w:val="21"/>
        </w:rPr>
      </w:pPr>
      <w:r>
        <w:rPr>
          <w:rFonts w:hint="eastAsia" w:ascii="宋体" w:hAnsi="宋体"/>
          <w:b/>
          <w:szCs w:val="21"/>
        </w:rPr>
        <w:t>法定代表人：</w:t>
      </w:r>
    </w:p>
    <w:p>
      <w:pPr>
        <w:spacing w:line="360" w:lineRule="auto"/>
        <w:rPr>
          <w:rFonts w:hint="eastAsia" w:ascii="宋体" w:hAnsi="宋体"/>
          <w:b/>
          <w:szCs w:val="21"/>
        </w:rPr>
      </w:pPr>
      <w:r>
        <w:rPr>
          <w:rFonts w:hint="eastAsia" w:ascii="宋体" w:hAnsi="宋体"/>
          <w:b/>
          <w:szCs w:val="21"/>
        </w:rPr>
        <w:t>地      址：</w:t>
      </w:r>
    </w:p>
    <w:p>
      <w:pPr>
        <w:spacing w:line="360" w:lineRule="auto"/>
        <w:rPr>
          <w:rFonts w:hint="eastAsia" w:ascii="宋体" w:hAnsi="宋体"/>
          <w:b/>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根据广东省机场管理集团有限公司</w:t>
      </w:r>
      <w:r>
        <w:rPr>
          <w:rFonts w:hint="eastAsia" w:ascii="宋体" w:hAnsi="宋体"/>
          <w:color w:val="auto"/>
          <w:szCs w:val="21"/>
          <w:lang w:eastAsia="zh-CN"/>
        </w:rPr>
        <w:t>安全生产专项整治三年行动中期评估项目</w:t>
      </w:r>
      <w:r>
        <w:rPr>
          <w:rFonts w:hint="eastAsia" w:ascii="宋体" w:hAnsi="宋体"/>
          <w:color w:val="auto"/>
          <w:szCs w:val="21"/>
        </w:rPr>
        <w:t>的采购结果，按照《</w:t>
      </w:r>
      <w:r>
        <w:rPr>
          <w:rFonts w:hint="eastAsia" w:ascii="宋体" w:hAnsi="宋体"/>
          <w:color w:val="auto"/>
          <w:szCs w:val="21"/>
          <w:lang w:eastAsia="zh-CN"/>
        </w:rPr>
        <w:t>民法典</w:t>
      </w:r>
      <w:r>
        <w:rPr>
          <w:rFonts w:hint="eastAsia" w:ascii="宋体" w:hAnsi="宋体"/>
          <w:color w:val="auto"/>
          <w:szCs w:val="21"/>
        </w:rPr>
        <w:t>》的规定，经双方协商，本着平等互利和诚实信用的原则，就开展广东省机场管理集团有限公司</w:t>
      </w:r>
      <w:r>
        <w:rPr>
          <w:rFonts w:hint="eastAsia" w:ascii="宋体" w:hAnsi="宋体" w:eastAsia="宋体" w:cs="宋体"/>
          <w:color w:val="auto"/>
          <w:kern w:val="2"/>
          <w:sz w:val="21"/>
          <w:szCs w:val="21"/>
        </w:rPr>
        <w:t>安全生产专项整治三年行动中期</w:t>
      </w:r>
      <w:r>
        <w:rPr>
          <w:rFonts w:hint="eastAsia" w:ascii="宋体" w:hAnsi="宋体"/>
          <w:color w:val="auto"/>
          <w:szCs w:val="21"/>
          <w:lang w:val="en-US" w:eastAsia="zh-CN"/>
        </w:rPr>
        <w:t>评估</w:t>
      </w:r>
      <w:r>
        <w:rPr>
          <w:rFonts w:hint="eastAsia" w:ascii="宋体" w:hAnsi="宋体"/>
          <w:color w:val="auto"/>
          <w:szCs w:val="21"/>
        </w:rPr>
        <w:t>项目</w:t>
      </w:r>
      <w:r>
        <w:rPr>
          <w:rFonts w:hint="eastAsia" w:ascii="宋体" w:hAnsi="宋体" w:cs="仿宋_GB2312"/>
          <w:color w:val="auto"/>
          <w:szCs w:val="21"/>
        </w:rPr>
        <w:t>服务工作</w:t>
      </w:r>
      <w:r>
        <w:rPr>
          <w:rFonts w:hint="eastAsia" w:ascii="宋体" w:hAnsi="宋体"/>
          <w:color w:val="auto"/>
          <w:szCs w:val="21"/>
        </w:rPr>
        <w:t>的有关事宜</w:t>
      </w:r>
      <w:r>
        <w:rPr>
          <w:rFonts w:hint="eastAsia" w:ascii="宋体" w:hAnsi="宋体"/>
          <w:color w:val="auto"/>
          <w:kern w:val="28"/>
          <w:szCs w:val="21"/>
        </w:rPr>
        <w:t>约定如下:</w:t>
      </w:r>
    </w:p>
    <w:p>
      <w:pPr>
        <w:numPr>
          <w:ilvl w:val="0"/>
          <w:numId w:val="17"/>
        </w:numPr>
        <w:spacing w:line="360" w:lineRule="auto"/>
        <w:ind w:left="420"/>
        <w:rPr>
          <w:rFonts w:ascii="宋体" w:hAnsi="宋体"/>
          <w:b/>
          <w:bCs/>
          <w:szCs w:val="21"/>
        </w:rPr>
      </w:pPr>
      <w:r>
        <w:rPr>
          <w:rFonts w:hint="eastAsia" w:ascii="宋体" w:hAnsi="宋体"/>
          <w:b/>
          <w:bCs/>
          <w:szCs w:val="21"/>
        </w:rPr>
        <w:t>服务</w:t>
      </w:r>
      <w:r>
        <w:rPr>
          <w:rFonts w:hint="eastAsia" w:ascii="宋体" w:hAnsi="宋体"/>
          <w:b/>
          <w:bCs/>
          <w:szCs w:val="21"/>
          <w:lang w:val="en-US" w:eastAsia="zh-CN"/>
        </w:rPr>
        <w:t>目标、内容、方式和阶段</w:t>
      </w:r>
      <w:r>
        <w:rPr>
          <w:rFonts w:hint="eastAsia" w:ascii="宋体" w:hAnsi="宋体"/>
          <w:b/>
          <w:bCs/>
          <w:szCs w:val="21"/>
        </w:rPr>
        <w:t>：</w:t>
      </w:r>
    </w:p>
    <w:p>
      <w:pPr>
        <w:spacing w:line="360" w:lineRule="auto"/>
        <w:ind w:firstLine="420" w:firstLineChars="200"/>
        <w:rPr>
          <w:rFonts w:ascii="宋体" w:hAnsi="宋体"/>
          <w:szCs w:val="21"/>
        </w:rPr>
      </w:pPr>
      <w:r>
        <w:rPr>
          <w:rFonts w:hint="eastAsia" w:ascii="宋体" w:hAnsi="宋体"/>
          <w:szCs w:val="21"/>
        </w:rPr>
        <w:t>（一）服务目标：完成广东省机场管理集团有限公司</w:t>
      </w:r>
      <w:r>
        <w:rPr>
          <w:rFonts w:hint="eastAsia" w:ascii="宋体" w:hAnsi="宋体"/>
          <w:color w:val="auto"/>
          <w:szCs w:val="21"/>
          <w:lang w:eastAsia="zh-CN"/>
        </w:rPr>
        <w:t>安全生产专项整治三年行动中期评估</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（二）服务内容：</w:t>
      </w:r>
    </w:p>
    <w:p>
      <w:pPr>
        <w:pStyle w:val="19"/>
        <w:spacing w:line="360" w:lineRule="auto"/>
        <w:ind w:firstLine="420" w:firstLineChars="200"/>
        <w:jc w:val="both"/>
        <w:rPr>
          <w:rFonts w:hint="eastAsia" w:ascii="宋体" w:hAnsi="Times New Roman" w:eastAsia="宋体" w:cs="Times New Roman"/>
          <w:color w:val="auto"/>
          <w:kern w:val="2"/>
          <w:sz w:val="21"/>
          <w:szCs w:val="21"/>
          <w:lang w:val="en-US" w:eastAsia="zh-CN"/>
        </w:rPr>
      </w:pPr>
      <w:r>
        <w:rPr>
          <w:rFonts w:hint="eastAsia" w:ascii="宋体" w:hAnsi="Times New Roman" w:eastAsia="宋体" w:cs="Times New Roman"/>
          <w:color w:val="auto"/>
          <w:kern w:val="2"/>
          <w:sz w:val="21"/>
          <w:szCs w:val="21"/>
          <w:lang w:val="en-US" w:eastAsia="zh-CN"/>
        </w:rPr>
        <w:t>1.编制《安全生产专项整治三年行动实施方案中期评估表》。</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2.</w:t>
      </w:r>
      <w:r>
        <w:rPr>
          <w:rFonts w:hint="eastAsia" w:ascii="宋体" w:hAnsi="Times New Roman" w:eastAsia="宋体" w:cs="Times New Roman"/>
          <w:color w:val="auto"/>
          <w:kern w:val="2"/>
          <w:sz w:val="21"/>
          <w:szCs w:val="21"/>
        </w:rPr>
        <w:t>实地对广东省机场管理集团有限公司、广州白云国际机场股份有限公司、</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3.</w:t>
      </w:r>
      <w:r>
        <w:rPr>
          <w:rFonts w:hint="eastAsia" w:ascii="宋体" w:hAnsi="Times New Roman" w:eastAsia="宋体" w:cs="Times New Roman"/>
          <w:color w:val="auto"/>
          <w:kern w:val="2"/>
          <w:sz w:val="21"/>
          <w:szCs w:val="21"/>
        </w:rPr>
        <w:t>编制</w:t>
      </w:r>
      <w:r>
        <w:rPr>
          <w:rFonts w:hint="eastAsia" w:ascii="宋体" w:eastAsia="宋体" w:cs="Times New Roman"/>
          <w:color w:val="auto"/>
          <w:kern w:val="2"/>
          <w:sz w:val="21"/>
          <w:szCs w:val="21"/>
          <w:lang w:eastAsia="zh-CN"/>
        </w:rPr>
        <w:t>《广东省机场管理集团有限公司安全生产专项整治三年行动评估报告》《广州白云国际机场股份有限公司安全生产专项整治三年行动评估报告》《广东机场集团工程建设指挥部安全生产专项整治三年行动评估报告》</w:t>
      </w:r>
      <w:r>
        <w:rPr>
          <w:rFonts w:hint="eastAsia" w:ascii="宋体" w:hAnsi="Times New Roman" w:eastAsia="宋体" w:cs="Times New Roman"/>
          <w:color w:val="auto"/>
          <w:kern w:val="2"/>
          <w:sz w:val="21"/>
          <w:szCs w:val="21"/>
          <w:lang w:eastAsia="zh-CN"/>
        </w:rPr>
        <w:t>。</w:t>
      </w:r>
    </w:p>
    <w:p>
      <w:pPr>
        <w:pStyle w:val="2"/>
        <w:tabs>
          <w:tab w:val="left" w:pos="1743"/>
        </w:tabs>
        <w:ind w:firstLine="420" w:firstLineChars="200"/>
        <w:rPr>
          <w:rFonts w:hint="eastAsia" w:eastAsia="宋体"/>
          <w:szCs w:val="21"/>
          <w:lang w:eastAsia="zh-CN"/>
        </w:rPr>
      </w:pPr>
      <w:r>
        <w:rPr>
          <w:rFonts w:hint="eastAsia" w:ascii="宋体" w:hAnsi="Times New Roman" w:eastAsia="宋体" w:cs="Times New Roman"/>
          <w:color w:val="auto"/>
          <w:sz w:val="21"/>
          <w:szCs w:val="21"/>
          <w:lang w:val="en-US" w:eastAsia="zh-CN"/>
        </w:rPr>
        <w:t>4.</w:t>
      </w:r>
      <w:r>
        <w:rPr>
          <w:rFonts w:hint="eastAsia" w:ascii="宋体" w:hAnsi="Times New Roman" w:eastAsia="宋体" w:cs="Times New Roman"/>
          <w:color w:val="auto"/>
          <w:sz w:val="21"/>
          <w:szCs w:val="21"/>
        </w:rPr>
        <w:t>协助</w:t>
      </w:r>
      <w:r>
        <w:rPr>
          <w:rFonts w:hint="eastAsia" w:ascii="宋体" w:hAnsi="Times New Roman" w:cs="Times New Roman"/>
          <w:color w:val="auto"/>
          <w:sz w:val="21"/>
          <w:szCs w:val="21"/>
          <w:lang w:eastAsia="zh-CN"/>
        </w:rPr>
        <w:t>甲方</w:t>
      </w:r>
      <w:r>
        <w:rPr>
          <w:rFonts w:hint="eastAsia" w:ascii="宋体" w:hAnsi="Times New Roman" w:eastAsia="宋体" w:cs="Times New Roman"/>
          <w:color w:val="auto"/>
          <w:sz w:val="21"/>
          <w:szCs w:val="21"/>
        </w:rPr>
        <w:t>抓好安全生产专项整治三年行动中期评估情况的问题整改工作。</w:t>
      </w:r>
    </w:p>
    <w:p>
      <w:pPr>
        <w:spacing w:line="360" w:lineRule="auto"/>
        <w:ind w:firstLine="420" w:firstLineChars="200"/>
        <w:rPr>
          <w:rFonts w:hint="eastAsia" w:ascii="宋体" w:hAnsi="宋体"/>
          <w:szCs w:val="21"/>
        </w:rPr>
      </w:pPr>
      <w:r>
        <w:rPr>
          <w:rFonts w:hint="eastAsia" w:ascii="宋体" w:hAnsi="宋体"/>
          <w:szCs w:val="21"/>
        </w:rPr>
        <w:t>（三）服务方式：</w:t>
      </w:r>
    </w:p>
    <w:p>
      <w:pPr>
        <w:spacing w:line="360" w:lineRule="auto"/>
        <w:ind w:firstLine="420" w:firstLineChars="200"/>
        <w:rPr>
          <w:rFonts w:ascii="宋体" w:hAnsi="宋体" w:cs="宋体"/>
          <w:sz w:val="21"/>
          <w:szCs w:val="21"/>
        </w:rPr>
      </w:pPr>
      <w:r>
        <w:rPr>
          <w:rFonts w:hint="eastAsia" w:ascii="宋体" w:hAnsi="宋体" w:cs="宋体"/>
          <w:sz w:val="21"/>
          <w:szCs w:val="21"/>
        </w:rPr>
        <w:t>1.</w:t>
      </w:r>
      <w:r>
        <w:rPr>
          <w:rFonts w:hint="eastAsia" w:ascii="宋体" w:hAnsi="宋体"/>
          <w:szCs w:val="21"/>
        </w:rPr>
        <w:t>成立项目组</w:t>
      </w:r>
      <w:r>
        <w:rPr>
          <w:rFonts w:hint="eastAsia" w:ascii="宋体" w:hAnsi="宋体"/>
          <w:szCs w:val="21"/>
          <w:lang w:eastAsia="zh-CN"/>
        </w:rPr>
        <w:t>，</w:t>
      </w:r>
      <w:r>
        <w:rPr>
          <w:rFonts w:hint="eastAsia" w:ascii="宋体" w:hAnsi="宋体" w:cs="宋体"/>
          <w:sz w:val="21"/>
          <w:szCs w:val="21"/>
        </w:rPr>
        <w:t>指定专职负责人作为乙方联系人；</w:t>
      </w:r>
    </w:p>
    <w:p>
      <w:pPr>
        <w:pStyle w:val="19"/>
        <w:spacing w:line="360" w:lineRule="auto"/>
        <w:ind w:firstLine="420" w:firstLineChars="200"/>
        <w:jc w:val="both"/>
        <w:rPr>
          <w:rFonts w:ascii="宋体" w:hAnsi="宋体" w:eastAsia="宋体" w:cs="宋体"/>
          <w:color w:val="auto"/>
          <w:kern w:val="2"/>
          <w:sz w:val="21"/>
          <w:szCs w:val="21"/>
        </w:rPr>
      </w:pPr>
      <w:r>
        <w:rPr>
          <w:rFonts w:hint="eastAsia" w:ascii="宋体" w:hAnsi="宋体" w:cs="宋体"/>
          <w:sz w:val="21"/>
          <w:szCs w:val="21"/>
        </w:rPr>
        <w:t>2.</w:t>
      </w:r>
      <w:r>
        <w:rPr>
          <w:rFonts w:hint="eastAsia" w:ascii="宋体" w:hAnsi="宋体" w:eastAsia="宋体" w:cs="宋体"/>
          <w:color w:val="auto"/>
          <w:kern w:val="2"/>
          <w:sz w:val="21"/>
          <w:szCs w:val="21"/>
        </w:rPr>
        <w:t>项目组应按各项安全法律法规、标准，制定具体、详尽的</w:t>
      </w:r>
      <w:r>
        <w:rPr>
          <w:rFonts w:hint="eastAsia" w:ascii="宋体" w:hAnsi="宋体" w:eastAsia="宋体" w:cs="宋体"/>
          <w:color w:val="auto"/>
          <w:kern w:val="2"/>
          <w:sz w:val="21"/>
          <w:szCs w:val="21"/>
          <w:lang w:eastAsia="zh-CN"/>
        </w:rPr>
        <w:t>评估单</w:t>
      </w:r>
      <w:r>
        <w:rPr>
          <w:rFonts w:hint="eastAsia" w:ascii="宋体" w:hAnsi="宋体" w:eastAsia="宋体" w:cs="宋体"/>
          <w:color w:val="auto"/>
          <w:kern w:val="2"/>
          <w:sz w:val="21"/>
          <w:szCs w:val="21"/>
        </w:rPr>
        <w:t>，时间安排合理、成果目标明确、范围全面，应符合可执行强、方便操作的要求；</w:t>
      </w:r>
    </w:p>
    <w:p>
      <w:pPr>
        <w:pStyle w:val="19"/>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.完成安全生产专项整治三年行动中期现场评估工作</w:t>
      </w:r>
      <w:r>
        <w:rPr>
          <w:rFonts w:hint="eastAsia" w:ascii="宋体" w:hAnsi="宋体" w:eastAsia="宋体" w:cs="宋体"/>
          <w:color w:val="auto"/>
          <w:kern w:val="2"/>
          <w:sz w:val="21"/>
          <w:szCs w:val="21"/>
          <w:lang w:eastAsia="zh-CN"/>
        </w:rPr>
        <w:t>，编写</w:t>
      </w:r>
      <w:r>
        <w:rPr>
          <w:rFonts w:hint="eastAsia" w:ascii="宋体" w:hAnsi="宋体" w:eastAsia="宋体" w:cs="宋体"/>
          <w:color w:val="auto"/>
          <w:kern w:val="2"/>
          <w:sz w:val="21"/>
          <w:szCs w:val="21"/>
        </w:rPr>
        <w:t>《安全生产专项整治三年行动中期现场评估报告》。</w:t>
      </w:r>
    </w:p>
    <w:p>
      <w:pPr>
        <w:numPr>
          <w:ilvl w:val="0"/>
          <w:numId w:val="0"/>
        </w:numPr>
        <w:spacing w:line="360" w:lineRule="auto"/>
        <w:ind w:left="0" w:firstLine="420" w:firstLineChars="200"/>
        <w:rPr>
          <w:rFonts w:hint="eastAsia"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四</w:t>
      </w:r>
      <w:r>
        <w:rPr>
          <w:rFonts w:hint="eastAsia" w:ascii="宋体" w:hAnsi="宋体"/>
          <w:b/>
          <w:bCs/>
          <w:szCs w:val="21"/>
          <w:lang w:eastAsia="zh-CN"/>
        </w:rPr>
        <w:t>）</w:t>
      </w:r>
      <w:r>
        <w:rPr>
          <w:rFonts w:hint="eastAsia" w:ascii="宋体" w:hAnsi="宋体"/>
          <w:b/>
          <w:bCs/>
          <w:szCs w:val="21"/>
        </w:rPr>
        <w:t>服务</w:t>
      </w:r>
      <w:r>
        <w:rPr>
          <w:rFonts w:hint="eastAsia" w:ascii="宋体" w:hAnsi="宋体"/>
          <w:b/>
          <w:bCs/>
          <w:szCs w:val="21"/>
          <w:lang w:val="en-US" w:eastAsia="zh-CN"/>
        </w:rPr>
        <w:t>阶段</w:t>
      </w:r>
    </w:p>
    <w:p>
      <w:pPr>
        <w:spacing w:line="360" w:lineRule="auto"/>
        <w:ind w:left="420"/>
        <w:rPr>
          <w:rFonts w:hint="eastAsia" w:ascii="宋体" w:hAnsi="宋体"/>
          <w:b w:val="0"/>
          <w:bCs/>
          <w:szCs w:val="21"/>
        </w:rPr>
      </w:pPr>
      <w:r>
        <w:rPr>
          <w:rFonts w:hint="eastAsia" w:ascii="宋体" w:hAnsi="宋体"/>
          <w:b w:val="0"/>
          <w:bCs/>
          <w:szCs w:val="21"/>
        </w:rPr>
        <w:t>（1）第一阶段为</w:t>
      </w:r>
      <w:r>
        <w:rPr>
          <w:rFonts w:hint="eastAsia" w:ascii="宋体" w:hAnsi="宋体"/>
          <w:b w:val="0"/>
          <w:bCs/>
          <w:szCs w:val="21"/>
          <w:lang w:eastAsia="zh-CN"/>
        </w:rPr>
        <w:t>评估单编制</w:t>
      </w:r>
      <w:r>
        <w:rPr>
          <w:rFonts w:hint="eastAsia" w:ascii="宋体" w:hAnsi="宋体"/>
          <w:b w:val="0"/>
          <w:bCs/>
          <w:szCs w:val="21"/>
        </w:rPr>
        <w:t>阶段；</w:t>
      </w:r>
    </w:p>
    <w:p>
      <w:pPr>
        <w:spacing w:line="360" w:lineRule="auto"/>
        <w:ind w:left="420"/>
        <w:rPr>
          <w:rFonts w:hint="eastAsia" w:ascii="宋体" w:hAnsi="宋体"/>
          <w:b w:val="0"/>
          <w:bCs/>
          <w:szCs w:val="21"/>
        </w:rPr>
      </w:pPr>
      <w:r>
        <w:rPr>
          <w:rFonts w:hint="eastAsia" w:ascii="宋体" w:hAnsi="宋体"/>
          <w:b w:val="0"/>
          <w:bCs/>
          <w:szCs w:val="21"/>
        </w:rPr>
        <w:t>（2）第二阶段为</w:t>
      </w:r>
      <w:r>
        <w:rPr>
          <w:rFonts w:hint="eastAsia" w:ascii="宋体" w:hAnsi="宋体"/>
          <w:b w:val="0"/>
          <w:bCs/>
          <w:szCs w:val="21"/>
          <w:lang w:eastAsia="zh-CN"/>
        </w:rPr>
        <w:t>现场评估</w:t>
      </w:r>
      <w:r>
        <w:rPr>
          <w:rFonts w:hint="eastAsia" w:ascii="宋体" w:hAnsi="宋体"/>
          <w:b w:val="0"/>
          <w:bCs/>
          <w:szCs w:val="21"/>
        </w:rPr>
        <w:t>阶段；</w:t>
      </w:r>
    </w:p>
    <w:p>
      <w:pPr>
        <w:spacing w:line="360" w:lineRule="auto"/>
        <w:ind w:left="420"/>
        <w:rPr>
          <w:rFonts w:hint="eastAsia" w:ascii="宋体" w:hAnsi="宋体"/>
          <w:b w:val="0"/>
          <w:bCs/>
          <w:szCs w:val="21"/>
          <w:lang w:eastAsia="zh-CN"/>
        </w:rPr>
      </w:pPr>
      <w:r>
        <w:rPr>
          <w:rFonts w:hint="eastAsia" w:ascii="宋体" w:hAnsi="宋体"/>
          <w:b w:val="0"/>
          <w:bCs/>
          <w:szCs w:val="21"/>
        </w:rPr>
        <w:t>（3）第三阶段为</w:t>
      </w:r>
      <w:r>
        <w:rPr>
          <w:rFonts w:hint="eastAsia" w:ascii="宋体" w:hAnsi="宋体"/>
          <w:b w:val="0"/>
          <w:bCs/>
          <w:szCs w:val="21"/>
          <w:lang w:eastAsia="zh-CN"/>
        </w:rPr>
        <w:t>评估报告编制</w:t>
      </w:r>
      <w:r>
        <w:rPr>
          <w:rFonts w:hint="eastAsia" w:ascii="宋体" w:hAnsi="宋体"/>
          <w:b w:val="0"/>
          <w:bCs/>
          <w:szCs w:val="21"/>
        </w:rPr>
        <w:t>阶段</w:t>
      </w:r>
      <w:r>
        <w:rPr>
          <w:rFonts w:hint="eastAsia" w:ascii="宋体" w:hAnsi="宋体"/>
          <w:b w:val="0"/>
          <w:bCs/>
          <w:szCs w:val="21"/>
          <w:lang w:eastAsia="zh-CN"/>
        </w:rPr>
        <w:t>；</w:t>
      </w:r>
    </w:p>
    <w:p>
      <w:pPr>
        <w:pStyle w:val="2"/>
        <w:ind w:firstLine="420" w:firstLineChars="200"/>
        <w:rPr>
          <w:rFonts w:hint="default"/>
          <w:lang w:val="en-US" w:eastAsia="zh-CN"/>
        </w:rPr>
      </w:pPr>
      <w:r>
        <w:rPr>
          <w:rFonts w:hint="eastAsia" w:ascii="宋体" w:hAnsi="宋体"/>
          <w:b w:val="0"/>
          <w:bCs/>
          <w:szCs w:val="21"/>
          <w:lang w:eastAsia="zh-CN"/>
        </w:rPr>
        <w:t>（</w:t>
      </w:r>
      <w:r>
        <w:rPr>
          <w:rFonts w:hint="eastAsia" w:ascii="宋体" w:hAnsi="宋体"/>
          <w:b w:val="0"/>
          <w:bCs/>
          <w:szCs w:val="21"/>
          <w:lang w:val="en-US" w:eastAsia="zh-CN"/>
        </w:rPr>
        <w:t>4</w:t>
      </w:r>
      <w:r>
        <w:rPr>
          <w:rFonts w:hint="eastAsia" w:ascii="宋体" w:hAnsi="宋体"/>
          <w:b w:val="0"/>
          <w:bCs/>
          <w:szCs w:val="21"/>
          <w:lang w:eastAsia="zh-CN"/>
        </w:rPr>
        <w:t>）</w:t>
      </w:r>
      <w:r>
        <w:rPr>
          <w:rFonts w:hint="eastAsia" w:ascii="宋体" w:hAnsi="宋体"/>
          <w:b w:val="0"/>
          <w:bCs/>
          <w:szCs w:val="21"/>
          <w:lang w:val="en-US" w:eastAsia="zh-CN"/>
        </w:rPr>
        <w:t>第四阶段为修改评估报告。</w:t>
      </w:r>
    </w:p>
    <w:p>
      <w:pPr>
        <w:numPr>
          <w:ilvl w:val="0"/>
          <w:numId w:val="17"/>
        </w:numPr>
        <w:spacing w:line="360" w:lineRule="auto"/>
        <w:ind w:left="420"/>
        <w:rPr>
          <w:rFonts w:hint="eastAsia" w:ascii="宋体" w:hAnsi="宋体"/>
          <w:b/>
          <w:bCs/>
          <w:szCs w:val="21"/>
        </w:rPr>
      </w:pPr>
      <w:r>
        <w:rPr>
          <w:rFonts w:hint="eastAsia" w:ascii="宋体" w:hAnsi="宋体"/>
          <w:b/>
          <w:bCs/>
          <w:szCs w:val="21"/>
        </w:rPr>
        <w:t>甲乙双方的权利和义务</w:t>
      </w:r>
    </w:p>
    <w:p>
      <w:pPr>
        <w:spacing w:line="360" w:lineRule="auto"/>
        <w:ind w:firstLine="420" w:firstLineChars="200"/>
        <w:rPr>
          <w:rFonts w:ascii="宋体" w:hAnsi="宋体"/>
          <w:szCs w:val="21"/>
        </w:rPr>
      </w:pPr>
      <w:r>
        <w:rPr>
          <w:rFonts w:hint="eastAsia" w:ascii="宋体" w:hAnsi="宋体"/>
          <w:szCs w:val="21"/>
        </w:rPr>
        <w:t>（一）甲方的权利和义务</w:t>
      </w:r>
    </w:p>
    <w:p>
      <w:pPr>
        <w:spacing w:line="360" w:lineRule="auto"/>
        <w:ind w:firstLine="420" w:firstLineChars="200"/>
        <w:rPr>
          <w:rFonts w:ascii="宋体" w:hAnsi="宋体"/>
          <w:szCs w:val="21"/>
        </w:rPr>
      </w:pPr>
      <w:r>
        <w:rPr>
          <w:rFonts w:hint="eastAsia" w:ascii="宋体" w:hAnsi="宋体"/>
          <w:szCs w:val="21"/>
        </w:rPr>
        <w:t>（1）最终决策的权利：甲方有权对乙方提供的服务成果进行分析、审核和提出意见，乙方应按甲方的要求进行修改和完善。</w:t>
      </w:r>
    </w:p>
    <w:p>
      <w:pPr>
        <w:spacing w:line="360" w:lineRule="auto"/>
        <w:ind w:firstLine="420" w:firstLineChars="200"/>
        <w:rPr>
          <w:rFonts w:ascii="宋体" w:hAnsi="宋体"/>
          <w:szCs w:val="21"/>
        </w:rPr>
      </w:pPr>
      <w:r>
        <w:rPr>
          <w:rFonts w:hint="eastAsia" w:ascii="宋体" w:hAnsi="宋体"/>
          <w:szCs w:val="21"/>
        </w:rPr>
        <w:t>（2）甲方有权要求乙方就项目中的具体问题及时提供建议。</w:t>
      </w:r>
    </w:p>
    <w:p>
      <w:pPr>
        <w:spacing w:line="360" w:lineRule="auto"/>
        <w:ind w:firstLine="420" w:firstLineChars="200"/>
        <w:rPr>
          <w:rFonts w:ascii="宋体" w:hAnsi="宋体"/>
          <w:szCs w:val="21"/>
        </w:rPr>
      </w:pPr>
      <w:r>
        <w:rPr>
          <w:rFonts w:hint="eastAsia" w:ascii="宋体" w:hAnsi="宋体"/>
          <w:szCs w:val="21"/>
        </w:rPr>
        <w:t>（3）甲方提供专人在合同实施期内配合乙方完成项目服务工作，参与有关</w:t>
      </w:r>
      <w:r>
        <w:rPr>
          <w:rFonts w:hint="eastAsia" w:ascii="宋体" w:hAnsi="宋体"/>
          <w:szCs w:val="21"/>
          <w:lang w:eastAsia="zh-CN"/>
        </w:rPr>
        <w:t>评估</w:t>
      </w:r>
      <w:r>
        <w:rPr>
          <w:rFonts w:hint="eastAsia" w:ascii="宋体" w:hAnsi="宋体"/>
          <w:szCs w:val="21"/>
        </w:rPr>
        <w:t>工作，协调各有关方面，并根据乙方要求提供相应的工作协助。</w:t>
      </w:r>
    </w:p>
    <w:p>
      <w:pPr>
        <w:spacing w:line="360" w:lineRule="auto"/>
        <w:ind w:firstLine="420" w:firstLineChars="200"/>
        <w:rPr>
          <w:rFonts w:ascii="宋体" w:hAnsi="宋体"/>
          <w:szCs w:val="21"/>
        </w:rPr>
      </w:pPr>
      <w:r>
        <w:rPr>
          <w:rFonts w:hint="eastAsia" w:ascii="宋体" w:hAnsi="宋体"/>
          <w:szCs w:val="21"/>
        </w:rPr>
        <w:t>（4）甲方应按照双方确认的工作计划所约定时间及时向乙方提供本项目工作所必需的资料及文件，并应及时告知乙方与服务工作有关的项目情况。</w:t>
      </w:r>
    </w:p>
    <w:p>
      <w:pPr>
        <w:spacing w:line="360" w:lineRule="auto"/>
        <w:ind w:firstLine="420" w:firstLineChars="200"/>
        <w:rPr>
          <w:rFonts w:ascii="宋体" w:hAnsi="宋体"/>
          <w:szCs w:val="21"/>
        </w:rPr>
      </w:pPr>
      <w:r>
        <w:rPr>
          <w:rFonts w:hint="eastAsia" w:ascii="宋体" w:hAnsi="宋体"/>
          <w:szCs w:val="21"/>
        </w:rPr>
        <w:t>（5）按照合同规定的要求支付费用。</w:t>
      </w:r>
    </w:p>
    <w:p>
      <w:pPr>
        <w:spacing w:line="360" w:lineRule="auto"/>
        <w:ind w:firstLine="420" w:firstLineChars="200"/>
        <w:rPr>
          <w:rFonts w:ascii="宋体" w:hAnsi="宋体"/>
          <w:szCs w:val="21"/>
        </w:rPr>
      </w:pPr>
      <w:r>
        <w:rPr>
          <w:rFonts w:hint="eastAsia" w:ascii="宋体" w:hAnsi="宋体"/>
          <w:szCs w:val="21"/>
        </w:rPr>
        <w:t>（6）因乙方自身的原因违约,甲方有权向乙方追偿因此对甲方造成的一切经济损失。</w:t>
      </w:r>
    </w:p>
    <w:p>
      <w:pPr>
        <w:spacing w:line="360" w:lineRule="auto"/>
        <w:ind w:firstLine="420" w:firstLineChars="200"/>
        <w:rPr>
          <w:rFonts w:ascii="宋体" w:hAnsi="宋体"/>
          <w:kern w:val="0"/>
          <w:szCs w:val="21"/>
        </w:rPr>
      </w:pPr>
      <w:r>
        <w:rPr>
          <w:rFonts w:hint="eastAsia" w:ascii="宋体" w:hAnsi="宋体"/>
          <w:szCs w:val="21"/>
        </w:rPr>
        <w:t>（7）甲方对向乙方提交基础资料及文件的完整性、正确性及时效性负责。</w:t>
      </w:r>
    </w:p>
    <w:p>
      <w:pPr>
        <w:spacing w:line="360" w:lineRule="auto"/>
        <w:ind w:firstLine="420" w:firstLineChars="200"/>
        <w:rPr>
          <w:rFonts w:ascii="宋体" w:hAnsi="宋体"/>
          <w:szCs w:val="21"/>
        </w:rPr>
      </w:pPr>
      <w:r>
        <w:rPr>
          <w:rFonts w:hint="eastAsia" w:ascii="宋体" w:hAnsi="宋体"/>
          <w:szCs w:val="21"/>
        </w:rPr>
        <w:t>（二） 乙方的权利和义务</w:t>
      </w:r>
    </w:p>
    <w:p>
      <w:pPr>
        <w:spacing w:line="360" w:lineRule="auto"/>
        <w:ind w:firstLine="420" w:firstLineChars="200"/>
        <w:rPr>
          <w:rFonts w:hint="eastAsia" w:ascii="宋体" w:hAnsi="宋体"/>
          <w:szCs w:val="21"/>
        </w:rPr>
      </w:pPr>
      <w:r>
        <w:rPr>
          <w:rFonts w:hint="eastAsia" w:ascii="宋体" w:hAnsi="宋体"/>
          <w:kern w:val="0"/>
          <w:szCs w:val="21"/>
        </w:rPr>
        <w:t>（1）乙方应根据</w:t>
      </w:r>
      <w:r>
        <w:rPr>
          <w:rFonts w:hint="eastAsia" w:ascii="宋体" w:hAnsi="宋体"/>
          <w:kern w:val="0"/>
          <w:szCs w:val="21"/>
          <w:lang w:val="en-US" w:eastAsia="zh-CN"/>
        </w:rPr>
        <w:t>专业能力和服务</w:t>
      </w:r>
      <w:r>
        <w:rPr>
          <w:rFonts w:hint="eastAsia" w:ascii="宋体" w:hAnsi="宋体"/>
          <w:kern w:val="0"/>
          <w:szCs w:val="21"/>
        </w:rPr>
        <w:t>经验，</w:t>
      </w:r>
      <w:r>
        <w:rPr>
          <w:rFonts w:hint="eastAsia" w:ascii="宋体" w:hAnsi="宋体"/>
          <w:szCs w:val="21"/>
        </w:rPr>
        <w:t>在采购文件</w:t>
      </w:r>
      <w:r>
        <w:rPr>
          <w:rFonts w:hint="eastAsia" w:ascii="宋体" w:hAnsi="宋体"/>
          <w:szCs w:val="21"/>
          <w:lang w:eastAsia="zh-CN"/>
        </w:rPr>
        <w:t>等</w:t>
      </w:r>
      <w:r>
        <w:rPr>
          <w:rFonts w:hint="eastAsia" w:ascii="宋体" w:hAnsi="宋体"/>
          <w:szCs w:val="21"/>
        </w:rPr>
        <w:t>要求的</w:t>
      </w:r>
      <w:r>
        <w:rPr>
          <w:rFonts w:hint="eastAsia" w:ascii="宋体" w:hAnsi="宋体"/>
          <w:kern w:val="0"/>
          <w:szCs w:val="21"/>
        </w:rPr>
        <w:t>基础上，本着促使本咨询项目能够成功付诸实施的精神，对项目的</w:t>
      </w:r>
      <w:r>
        <w:rPr>
          <w:rFonts w:hint="eastAsia" w:ascii="宋体" w:hAnsi="宋体"/>
          <w:kern w:val="0"/>
          <w:szCs w:val="21"/>
          <w:lang w:eastAsia="zh-CN"/>
        </w:rPr>
        <w:t>评估内容</w:t>
      </w:r>
      <w:r>
        <w:rPr>
          <w:rFonts w:hint="eastAsia" w:ascii="宋体" w:hAnsi="宋体"/>
          <w:kern w:val="0"/>
          <w:szCs w:val="21"/>
        </w:rPr>
        <w:t>、实施方式等提出建议</w:t>
      </w:r>
      <w:r>
        <w:rPr>
          <w:rFonts w:hint="eastAsia" w:ascii="宋体" w:hAnsi="宋体"/>
          <w:kern w:val="0"/>
          <w:szCs w:val="21"/>
          <w:lang w:eastAsia="zh-CN"/>
        </w:rPr>
        <w:t>意见</w:t>
      </w:r>
      <w:r>
        <w:rPr>
          <w:rFonts w:hint="eastAsia" w:ascii="宋体" w:hAnsi="宋体"/>
          <w:kern w:val="0"/>
          <w:szCs w:val="21"/>
        </w:rPr>
        <w:t>，包括可从项目可</w:t>
      </w:r>
      <w:r>
        <w:rPr>
          <w:rFonts w:hint="eastAsia" w:ascii="宋体" w:hAnsi="宋体"/>
          <w:szCs w:val="21"/>
        </w:rPr>
        <w:t>操作性的角度出发提出调整意见。服务项目相关成果编制以国家和省市有关政策、以及甲方有关</w:t>
      </w:r>
      <w:r>
        <w:rPr>
          <w:rFonts w:hint="eastAsia" w:ascii="宋体" w:hAnsi="宋体"/>
          <w:szCs w:val="21"/>
          <w:lang w:eastAsia="zh-CN"/>
        </w:rPr>
        <w:t>文件</w:t>
      </w:r>
      <w:r>
        <w:rPr>
          <w:rFonts w:hint="eastAsia" w:ascii="宋体" w:hAnsi="宋体"/>
          <w:szCs w:val="21"/>
        </w:rPr>
        <w:t>为依据，提交的相关服务成果并可根据甲方在项目实施过程中提出的修改意见进行修改。</w:t>
      </w:r>
    </w:p>
    <w:p>
      <w:pPr>
        <w:spacing w:line="360" w:lineRule="auto"/>
        <w:ind w:firstLine="420" w:firstLineChars="200"/>
        <w:rPr>
          <w:rFonts w:hint="eastAsia" w:ascii="宋体" w:hAnsi="宋体"/>
          <w:szCs w:val="21"/>
        </w:rPr>
      </w:pPr>
      <w:r>
        <w:rPr>
          <w:rFonts w:hint="eastAsia" w:ascii="宋体" w:hAnsi="宋体"/>
          <w:szCs w:val="21"/>
        </w:rPr>
        <w:t>（2）乙方应按</w:t>
      </w:r>
      <w:r>
        <w:rPr>
          <w:rFonts w:hint="eastAsia" w:ascii="宋体" w:hAnsi="宋体"/>
          <w:szCs w:val="21"/>
          <w:lang w:eastAsia="zh-CN"/>
        </w:rPr>
        <w:t>评估单</w:t>
      </w:r>
      <w:r>
        <w:rPr>
          <w:rFonts w:hint="eastAsia" w:ascii="宋体" w:hAnsi="宋体"/>
          <w:szCs w:val="21"/>
        </w:rPr>
        <w:t>进行</w:t>
      </w:r>
      <w:r>
        <w:rPr>
          <w:rFonts w:hint="eastAsia" w:ascii="宋体" w:hAnsi="宋体"/>
          <w:szCs w:val="21"/>
          <w:lang w:eastAsia="zh-CN"/>
        </w:rPr>
        <w:t>现场评估</w:t>
      </w:r>
      <w:r>
        <w:rPr>
          <w:rFonts w:hint="eastAsia" w:ascii="宋体" w:hAnsi="宋体"/>
          <w:szCs w:val="21"/>
        </w:rPr>
        <w:t>，并最终完成</w:t>
      </w:r>
      <w:r>
        <w:rPr>
          <w:rFonts w:hint="eastAsia" w:ascii="宋体" w:hAnsi="宋体"/>
          <w:szCs w:val="21"/>
          <w:lang w:eastAsia="zh-CN"/>
        </w:rPr>
        <w:t>评估报告</w:t>
      </w:r>
      <w:r>
        <w:rPr>
          <w:rFonts w:hint="eastAsia" w:ascii="宋体" w:hAnsi="宋体"/>
          <w:szCs w:val="21"/>
        </w:rPr>
        <w:t>的编写。</w:t>
      </w:r>
    </w:p>
    <w:p>
      <w:pPr>
        <w:spacing w:line="360" w:lineRule="auto"/>
        <w:ind w:firstLine="420" w:firstLineChars="200"/>
        <w:rPr>
          <w:rFonts w:hint="eastAsia" w:ascii="宋体" w:hAnsi="宋体"/>
          <w:szCs w:val="21"/>
        </w:rPr>
      </w:pPr>
      <w:r>
        <w:rPr>
          <w:rFonts w:hint="eastAsia" w:ascii="宋体" w:hAnsi="宋体"/>
          <w:szCs w:val="21"/>
        </w:rPr>
        <w:t>（3）乙方</w:t>
      </w:r>
      <w:r>
        <w:rPr>
          <w:rFonts w:hint="eastAsia" w:ascii="宋体" w:hAnsi="宋体"/>
          <w:szCs w:val="21"/>
          <w:lang w:eastAsia="zh-CN"/>
        </w:rPr>
        <w:t>正式</w:t>
      </w:r>
      <w:r>
        <w:rPr>
          <w:rFonts w:hint="eastAsia" w:ascii="宋体" w:hAnsi="宋体"/>
          <w:szCs w:val="21"/>
        </w:rPr>
        <w:t>提交的</w:t>
      </w:r>
      <w:r>
        <w:rPr>
          <w:rFonts w:hint="eastAsia" w:ascii="宋体" w:hAnsi="宋体"/>
          <w:szCs w:val="21"/>
          <w:lang w:eastAsia="zh-CN"/>
        </w:rPr>
        <w:t>评估报告</w:t>
      </w:r>
      <w:r>
        <w:rPr>
          <w:rFonts w:hint="eastAsia" w:ascii="宋体" w:hAnsi="宋体"/>
          <w:szCs w:val="21"/>
        </w:rPr>
        <w:t>之日起一年内，如甲方</w:t>
      </w:r>
      <w:r>
        <w:rPr>
          <w:rFonts w:hint="eastAsia" w:ascii="宋体" w:hAnsi="宋体"/>
          <w:szCs w:val="21"/>
          <w:lang w:val="en-US" w:eastAsia="zh-CN"/>
        </w:rPr>
        <w:t>或上级单位</w:t>
      </w:r>
      <w:r>
        <w:rPr>
          <w:rFonts w:hint="eastAsia" w:ascii="宋体" w:hAnsi="宋体"/>
          <w:szCs w:val="21"/>
        </w:rPr>
        <w:t>对</w:t>
      </w:r>
      <w:r>
        <w:rPr>
          <w:rFonts w:hint="eastAsia" w:ascii="宋体" w:hAnsi="宋体"/>
          <w:szCs w:val="21"/>
          <w:lang w:val="en-US" w:eastAsia="zh-CN"/>
        </w:rPr>
        <w:t>评估报告提出</w:t>
      </w:r>
      <w:r>
        <w:rPr>
          <w:rFonts w:hint="eastAsia" w:ascii="宋体" w:hAnsi="宋体"/>
          <w:szCs w:val="21"/>
        </w:rPr>
        <w:t>修改补充</w:t>
      </w:r>
      <w:r>
        <w:rPr>
          <w:rFonts w:hint="eastAsia" w:ascii="宋体" w:hAnsi="宋体"/>
          <w:szCs w:val="21"/>
          <w:lang w:val="en-US" w:eastAsia="zh-CN"/>
        </w:rPr>
        <w:t>意见的</w:t>
      </w:r>
      <w:r>
        <w:rPr>
          <w:rFonts w:hint="eastAsia" w:ascii="宋体" w:hAnsi="宋体"/>
          <w:szCs w:val="21"/>
        </w:rPr>
        <w:t>，乙方需按照要求对咨询成果文件进行无偿修改和补充，所发生的有关费用由乙方承担。</w:t>
      </w:r>
    </w:p>
    <w:p>
      <w:pPr>
        <w:spacing w:line="360" w:lineRule="auto"/>
        <w:ind w:firstLine="420" w:firstLineChars="200"/>
        <w:rPr>
          <w:rFonts w:hint="eastAsia" w:ascii="宋体" w:hAnsi="宋体"/>
          <w:szCs w:val="21"/>
        </w:rPr>
      </w:pPr>
      <w:r>
        <w:rPr>
          <w:rFonts w:hint="eastAsia" w:ascii="宋体" w:hAnsi="宋体"/>
          <w:szCs w:val="21"/>
        </w:rPr>
        <w:t>（4）保证质量的义务：乙方应按甲方要求开展项目服务工作，按合同规定的进度要求提交质量合格的服务成果，并对其完整性、正确性及有效性负责，经甲方分析、审核后，按甲方的要求修改、补充和完善。</w:t>
      </w:r>
    </w:p>
    <w:p>
      <w:pPr>
        <w:spacing w:line="360" w:lineRule="auto"/>
        <w:ind w:firstLine="420" w:firstLineChars="200"/>
        <w:rPr>
          <w:rFonts w:hint="eastAsia" w:ascii="宋体" w:hAnsi="宋体"/>
          <w:szCs w:val="21"/>
        </w:rPr>
      </w:pPr>
      <w:r>
        <w:rPr>
          <w:rFonts w:hint="eastAsia" w:ascii="宋体" w:hAnsi="宋体"/>
          <w:szCs w:val="21"/>
        </w:rPr>
        <w:t>（5）尽职和行使职权的义务：乙方保证并承诺已经委任、且将在本合同履行过程中运用称职的、合格的、并且具有为同类规模、范围及复杂程度项目提供相同服务经验的项目团队，制定详细的服务工作执行计划，报经甲方同意后实施。</w:t>
      </w:r>
    </w:p>
    <w:p>
      <w:pPr>
        <w:spacing w:line="360" w:lineRule="auto"/>
        <w:ind w:firstLine="420" w:firstLineChars="200"/>
        <w:rPr>
          <w:rFonts w:hint="eastAsia" w:ascii="宋体" w:hAnsi="宋体"/>
          <w:szCs w:val="21"/>
        </w:rPr>
      </w:pPr>
      <w:r>
        <w:rPr>
          <w:rFonts w:hint="eastAsia" w:ascii="宋体" w:hAnsi="宋体"/>
          <w:szCs w:val="21"/>
        </w:rPr>
        <w:t>（6）保证团队稳定的义务：乙方需提供项目团队成员名单。乙方必须保证团队成员的稳定，不得变更团队成员或变更团队成员的工作职责。如果因为特别原因，须更换成员时，须获得甲方的书面许可。确定本项目之乙方项目经理，负责与甲方就服务工作事宜进行沟通、联系与开展工作。</w:t>
      </w:r>
    </w:p>
    <w:p>
      <w:pPr>
        <w:spacing w:line="360" w:lineRule="auto"/>
        <w:ind w:firstLine="420" w:firstLineChars="200"/>
        <w:rPr>
          <w:rFonts w:hint="eastAsia" w:ascii="宋体" w:hAnsi="宋体"/>
          <w:szCs w:val="21"/>
        </w:rPr>
      </w:pPr>
      <w:r>
        <w:rPr>
          <w:rFonts w:hint="eastAsia" w:ascii="宋体" w:hAnsi="宋体"/>
          <w:szCs w:val="21"/>
        </w:rPr>
        <w:t>（7）乙方为完成服务事项而从甲方获取的重要证件、文件、资料时，应向甲方开具规范的收件清单，并妥善保管甲方移交的相关证件、文件、资料；完成服务事项后，应及时将上述证件、文件、资料退还甲方。否则给甲方造成损失的，应承担赔偿责任。</w:t>
      </w:r>
    </w:p>
    <w:p>
      <w:pPr>
        <w:spacing w:line="360" w:lineRule="auto"/>
        <w:ind w:firstLine="420" w:firstLineChars="200"/>
        <w:rPr>
          <w:rFonts w:hint="eastAsia" w:ascii="宋体" w:hAnsi="宋体"/>
          <w:szCs w:val="21"/>
        </w:rPr>
      </w:pPr>
      <w:r>
        <w:rPr>
          <w:rFonts w:hint="eastAsia" w:ascii="宋体" w:hAnsi="宋体"/>
          <w:szCs w:val="21"/>
        </w:rPr>
        <w:t>（8）乙方对项目中涉及的甲方商业秘密应予以保护，禁止向任何第三方公开，否则应向甲方承担相应赔偿责任。</w:t>
      </w:r>
    </w:p>
    <w:p>
      <w:pPr>
        <w:spacing w:line="360" w:lineRule="auto"/>
        <w:ind w:firstLine="420" w:firstLineChars="200"/>
        <w:rPr>
          <w:rFonts w:ascii="宋体" w:hAnsi="宋体"/>
          <w:color w:val="FF0000"/>
          <w:szCs w:val="21"/>
        </w:rPr>
      </w:pPr>
      <w:r>
        <w:rPr>
          <w:rFonts w:hint="eastAsia" w:ascii="宋体" w:hAnsi="宋体"/>
          <w:szCs w:val="21"/>
        </w:rPr>
        <w:t>（9）乙方</w:t>
      </w:r>
      <w:r>
        <w:rPr>
          <w:rFonts w:hint="eastAsia" w:ascii="宋体" w:hAnsi="宋体"/>
          <w:szCs w:val="21"/>
          <w:lang w:eastAsia="zh-CN"/>
        </w:rPr>
        <w:t>应</w:t>
      </w:r>
      <w:r>
        <w:rPr>
          <w:rFonts w:hint="eastAsia" w:ascii="宋体" w:hAnsi="宋体"/>
          <w:szCs w:val="21"/>
        </w:rPr>
        <w:t>指导协助甲方开展相关工作。</w:t>
      </w:r>
    </w:p>
    <w:p>
      <w:pPr>
        <w:numPr>
          <w:ilvl w:val="0"/>
          <w:numId w:val="17"/>
        </w:numPr>
        <w:spacing w:line="360" w:lineRule="auto"/>
        <w:ind w:left="420"/>
        <w:rPr>
          <w:rFonts w:hint="eastAsia" w:ascii="宋体" w:hAnsi="宋体"/>
          <w:b/>
          <w:bCs/>
          <w:szCs w:val="21"/>
        </w:rPr>
      </w:pPr>
      <w:r>
        <w:rPr>
          <w:rFonts w:hint="eastAsia" w:ascii="宋体" w:hAnsi="宋体"/>
          <w:b/>
          <w:bCs/>
          <w:szCs w:val="21"/>
        </w:rPr>
        <w:t>服务期间（项目完成期限）</w:t>
      </w:r>
    </w:p>
    <w:p>
      <w:pPr>
        <w:spacing w:line="360" w:lineRule="auto"/>
        <w:ind w:firstLine="420" w:firstLineChars="200"/>
        <w:rPr>
          <w:rFonts w:hint="eastAsia" w:ascii="宋体" w:hAnsi="宋体" w:eastAsia="宋体" w:cs="宋体"/>
          <w:bCs/>
          <w:szCs w:val="21"/>
          <w:lang w:eastAsia="zh-CN"/>
        </w:rPr>
      </w:pPr>
      <w:r>
        <w:rPr>
          <w:rFonts w:hint="eastAsia"/>
          <w:szCs w:val="21"/>
          <w:lang w:eastAsia="zh-CN"/>
        </w:rPr>
        <w:t>服务期限：</w:t>
      </w:r>
      <w:r>
        <w:rPr>
          <w:rFonts w:hint="eastAsia"/>
          <w:szCs w:val="21"/>
        </w:rPr>
        <w:t>合同签订生效之日起</w:t>
      </w:r>
      <w:r>
        <w:rPr>
          <w:rFonts w:hint="eastAsia"/>
          <w:szCs w:val="21"/>
          <w:lang w:val="en-US" w:eastAsia="zh-CN"/>
        </w:rPr>
        <w:t>三</w:t>
      </w:r>
      <w:r>
        <w:rPr>
          <w:rFonts w:hint="eastAsia"/>
          <w:szCs w:val="21"/>
          <w:lang w:eastAsia="zh-CN"/>
        </w:rPr>
        <w:t>个月。</w:t>
      </w:r>
    </w:p>
    <w:p>
      <w:pPr>
        <w:pStyle w:val="2"/>
        <w:spacing w:line="360" w:lineRule="auto"/>
        <w:ind w:left="0" w:firstLine="420" w:firstLineChars="200"/>
        <w:rPr>
          <w:rFonts w:hint="default" w:ascii="宋体" w:hAnsi="Times New Roman" w:eastAsia="宋体" w:cs="Times New Roman"/>
          <w:color w:val="auto"/>
          <w:kern w:val="2"/>
          <w:sz w:val="21"/>
          <w:szCs w:val="21"/>
          <w:lang w:val="en-US" w:eastAsia="zh-CN" w:bidi="ar-SA"/>
        </w:rPr>
      </w:pPr>
      <w:r>
        <w:rPr>
          <w:rFonts w:hint="eastAsia" w:asciiTheme="minorEastAsia" w:hAnsiTheme="minorEastAsia" w:eastAsiaTheme="minorEastAsia" w:cstheme="minorEastAsia"/>
          <w:szCs w:val="21"/>
        </w:rPr>
        <w:t>乙方应在合同签订</w:t>
      </w:r>
      <w:r>
        <w:rPr>
          <w:rFonts w:hint="eastAsia" w:asciiTheme="minorEastAsia" w:hAnsiTheme="minorEastAsia" w:eastAsiaTheme="minorEastAsia" w:cstheme="minorEastAsia"/>
          <w:szCs w:val="21"/>
          <w:lang w:val="en-US" w:eastAsia="zh-CN"/>
        </w:rPr>
        <w:t>之日起15</w:t>
      </w:r>
      <w:r>
        <w:rPr>
          <w:rFonts w:hint="eastAsia" w:asciiTheme="minorEastAsia" w:hAnsiTheme="minorEastAsia" w:eastAsiaTheme="minorEastAsia" w:cstheme="minorEastAsia"/>
          <w:szCs w:val="21"/>
        </w:rPr>
        <w:t>个工作日内，完成安全生产专项整治三年行动中期评估单编制及现场评估工作；乙方应在合同签订</w:t>
      </w:r>
      <w:r>
        <w:rPr>
          <w:rFonts w:hint="eastAsia" w:asciiTheme="minorEastAsia" w:hAnsiTheme="minorEastAsia" w:eastAsiaTheme="minorEastAsia" w:cstheme="minorEastAsia"/>
          <w:szCs w:val="21"/>
          <w:lang w:val="en-US" w:eastAsia="zh-CN"/>
        </w:rPr>
        <w:t>之日起15</w:t>
      </w:r>
      <w:r>
        <w:rPr>
          <w:rFonts w:hint="eastAsia" w:asciiTheme="minorEastAsia" w:hAnsiTheme="minorEastAsia" w:eastAsiaTheme="minorEastAsia" w:cstheme="minorEastAsia"/>
          <w:szCs w:val="21"/>
        </w:rPr>
        <w:t>个工作日内，提交《广东省机场管理集团有限公司安全生产专项整治三年行动评估报告》《广州白云国际机场股份有限公司安全生产专项整治三年行动评估报告》《广东机场集团工程建设指挥部安全生产专项整治三年行动评估报告》初稿；根据甲方的修改意见，5个工作日内完成评估报告修改工作并向甲方提交正式（加盖公章、评估组签字）的《广东省机场管理集团有限公司安全生产专项整治三年行动评估报告》《广州白云国际机场股份有限公司安全生产专项整治三年行动评估报告》《广东机场集团工程建设指挥部安全生产专项整治三年行动评估报告》；甲方将正式的《广东省机场管理集团有限公司安全生产专项整治三年行动评估报告》上报广东省人民政府国有资产监督管理委员会</w:t>
      </w:r>
      <w:r>
        <w:rPr>
          <w:rFonts w:hint="eastAsia" w:asciiTheme="minorEastAsia" w:hAnsiTheme="minorEastAsia" w:eastAsiaTheme="minorEastAsia" w:cstheme="minorEastAsia"/>
          <w:szCs w:val="21"/>
          <w:lang w:val="en-US" w:eastAsia="zh-CN"/>
        </w:rPr>
        <w:t>过程中，乙方应按照要求对报告进行修订完善</w:t>
      </w:r>
      <w:r>
        <w:rPr>
          <w:rFonts w:hint="eastAsia" w:asciiTheme="minorEastAsia" w:hAnsiTheme="minorEastAsia" w:eastAsiaTheme="minorEastAsia" w:cstheme="minorEastAsia"/>
          <w:szCs w:val="21"/>
        </w:rPr>
        <w:t>。</w:t>
      </w:r>
    </w:p>
    <w:p>
      <w:pPr>
        <w:numPr>
          <w:ilvl w:val="0"/>
          <w:numId w:val="17"/>
        </w:numPr>
        <w:spacing w:line="360" w:lineRule="auto"/>
        <w:ind w:left="420"/>
        <w:rPr>
          <w:rFonts w:hint="eastAsia" w:ascii="宋体" w:hAnsi="宋体"/>
          <w:b/>
          <w:bCs/>
          <w:szCs w:val="21"/>
        </w:rPr>
      </w:pPr>
      <w:r>
        <w:rPr>
          <w:rFonts w:hint="eastAsia" w:ascii="宋体" w:hAnsi="宋体"/>
          <w:b/>
          <w:bCs/>
          <w:szCs w:val="21"/>
        </w:rPr>
        <w:t>结算方式</w:t>
      </w:r>
    </w:p>
    <w:p>
      <w:pPr>
        <w:tabs>
          <w:tab w:val="left" w:pos="2670"/>
        </w:tabs>
        <w:spacing w:line="360" w:lineRule="auto"/>
        <w:ind w:firstLine="420" w:firstLineChars="200"/>
        <w:rPr>
          <w:rFonts w:ascii="宋体" w:hAnsi="宋体"/>
          <w:color w:val="auto"/>
          <w:szCs w:val="21"/>
        </w:rPr>
      </w:pPr>
      <w:r>
        <w:rPr>
          <w:rFonts w:hint="eastAsia" w:ascii="宋体" w:hAnsi="宋体"/>
          <w:bCs/>
          <w:color w:val="auto"/>
          <w:szCs w:val="21"/>
        </w:rPr>
        <w:t>（一）合同总金额为人民币________（￥________元）。</w:t>
      </w:r>
      <w:r>
        <w:rPr>
          <w:rFonts w:hint="eastAsia" w:ascii="宋体" w:hAnsi="宋体"/>
          <w:color w:val="auto"/>
          <w:kern w:val="0"/>
          <w:szCs w:val="21"/>
        </w:rPr>
        <w:t>合同价款</w:t>
      </w:r>
      <w:r>
        <w:rPr>
          <w:rFonts w:ascii="宋体" w:hAnsi="宋体"/>
          <w:color w:val="auto"/>
          <w:kern w:val="0"/>
          <w:szCs w:val="21"/>
        </w:rPr>
        <w:t>应为含税的售价，涵盖任何可能的税</w:t>
      </w:r>
      <w:r>
        <w:rPr>
          <w:rFonts w:hint="eastAsia" w:ascii="宋体" w:hAnsi="宋体"/>
          <w:color w:val="auto"/>
          <w:kern w:val="0"/>
          <w:szCs w:val="21"/>
        </w:rPr>
        <w:t>费</w:t>
      </w:r>
      <w:r>
        <w:rPr>
          <w:rFonts w:ascii="宋体" w:hAnsi="宋体"/>
          <w:color w:val="auto"/>
          <w:kern w:val="0"/>
          <w:szCs w:val="21"/>
        </w:rPr>
        <w:t>支出。</w:t>
      </w:r>
      <w:r>
        <w:rPr>
          <w:rFonts w:hint="eastAsia" w:ascii="宋体" w:hAnsi="宋体"/>
          <w:color w:val="auto"/>
          <w:kern w:val="0"/>
          <w:szCs w:val="21"/>
        </w:rPr>
        <w:t>该费用已包括执行该合同所发生的全部费用，甲</w:t>
      </w:r>
      <w:r>
        <w:rPr>
          <w:rFonts w:ascii="宋体" w:hAnsi="宋体"/>
          <w:color w:val="auto"/>
          <w:kern w:val="0"/>
          <w:szCs w:val="21"/>
        </w:rPr>
        <w:t>方无义务向</w:t>
      </w:r>
      <w:r>
        <w:rPr>
          <w:rFonts w:hint="eastAsia" w:ascii="宋体" w:hAnsi="宋体"/>
          <w:color w:val="auto"/>
          <w:kern w:val="0"/>
          <w:szCs w:val="21"/>
        </w:rPr>
        <w:t>乙</w:t>
      </w:r>
      <w:r>
        <w:rPr>
          <w:rFonts w:ascii="宋体" w:hAnsi="宋体"/>
          <w:color w:val="auto"/>
          <w:kern w:val="0"/>
          <w:szCs w:val="21"/>
        </w:rPr>
        <w:t>方支付或报销任何本合同中未规定的其他税收或费用。</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color w:val="auto"/>
          <w:szCs w:val="21"/>
        </w:rPr>
        <w:t>（二）合同款由甲方分</w:t>
      </w:r>
      <w:r>
        <w:rPr>
          <w:rFonts w:hint="eastAsia" w:ascii="宋体" w:hAnsi="宋体"/>
          <w:color w:val="auto"/>
          <w:szCs w:val="21"/>
          <w:lang w:val="en-US" w:eastAsia="zh-CN"/>
        </w:rPr>
        <w:t>三</w:t>
      </w:r>
      <w:r>
        <w:rPr>
          <w:rFonts w:hint="eastAsia" w:ascii="宋体" w:hAnsi="宋体"/>
          <w:color w:val="auto"/>
          <w:szCs w:val="21"/>
        </w:rPr>
        <w:t>次支付给乙方。具体支付方式和时间如下：合同签订之日起十五个工作日内，甲方向乙方支付合同金额的30%，即________元人民币（大写：________）；乙方</w:t>
      </w:r>
      <w:r>
        <w:rPr>
          <w:rFonts w:hint="eastAsia" w:ascii="宋体" w:hAnsi="宋体" w:cs="宋体"/>
          <w:color w:val="auto"/>
          <w:sz w:val="21"/>
          <w:szCs w:val="21"/>
        </w:rPr>
        <w:t>向甲方提交正式</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加盖公章、评估组签字</w:t>
      </w:r>
      <w:r>
        <w:rPr>
          <w:rFonts w:hint="eastAsia" w:ascii="宋体" w:hAnsi="宋体" w:cs="宋体"/>
          <w:color w:val="auto"/>
          <w:sz w:val="21"/>
          <w:szCs w:val="21"/>
          <w:lang w:eastAsia="zh-CN"/>
        </w:rPr>
        <w:t>）</w:t>
      </w:r>
      <w:r>
        <w:rPr>
          <w:rFonts w:hint="eastAsia" w:ascii="宋体" w:hAnsi="宋体" w:cs="宋体"/>
          <w:color w:val="auto"/>
          <w:sz w:val="21"/>
          <w:szCs w:val="21"/>
        </w:rPr>
        <w:t>的</w:t>
      </w:r>
      <w:r>
        <w:rPr>
          <w:rFonts w:hint="eastAsia" w:ascii="宋体" w:hAnsi="宋体"/>
          <w:color w:val="auto"/>
          <w:szCs w:val="21"/>
          <w:lang w:eastAsia="zh-CN"/>
        </w:rPr>
        <w:t>《广东省机场管理集团有限公司安全生产专项整治三年行动评估报告》《广州白云国际机场股份有限公司安全生产专项整治三年行动评估报告》《广东机场集团工程建设指挥部安全生产专项整治三年行动评估报告》</w:t>
      </w:r>
      <w:r>
        <w:rPr>
          <w:rFonts w:hint="eastAsia" w:ascii="宋体" w:hAnsi="宋体"/>
          <w:color w:val="auto"/>
          <w:szCs w:val="21"/>
        </w:rPr>
        <w:t>并经甲方确认之日起十五个工作日内，甲方向乙方支付合同金额的</w:t>
      </w:r>
      <w:r>
        <w:rPr>
          <w:rFonts w:hint="eastAsia" w:ascii="宋体" w:hAnsi="宋体"/>
          <w:color w:val="auto"/>
          <w:szCs w:val="21"/>
          <w:lang w:val="en-US" w:eastAsia="zh-CN"/>
        </w:rPr>
        <w:t>60</w:t>
      </w:r>
      <w:r>
        <w:rPr>
          <w:rFonts w:hint="eastAsia" w:ascii="宋体" w:hAnsi="宋体"/>
          <w:color w:val="auto"/>
          <w:szCs w:val="21"/>
        </w:rPr>
        <w:t>%，即________元人民币（大写：________）</w:t>
      </w:r>
      <w:r>
        <w:rPr>
          <w:rFonts w:hint="eastAsia" w:ascii="宋体" w:hAnsi="宋体"/>
          <w:color w:val="auto"/>
          <w:szCs w:val="21"/>
          <w:lang w:eastAsia="zh-CN"/>
        </w:rPr>
        <w:t>；</w:t>
      </w:r>
      <w:r>
        <w:rPr>
          <w:rFonts w:hint="eastAsia" w:ascii="宋体" w:hAnsi="宋体"/>
          <w:color w:val="auto"/>
          <w:szCs w:val="21"/>
          <w:lang w:val="en-US" w:eastAsia="zh-CN"/>
        </w:rPr>
        <w:t>甲方将</w:t>
      </w:r>
      <w:r>
        <w:rPr>
          <w:rFonts w:hint="eastAsia" w:ascii="宋体" w:hAnsi="宋体"/>
          <w:color w:val="auto"/>
          <w:szCs w:val="21"/>
          <w:lang w:eastAsia="zh-CN"/>
        </w:rPr>
        <w:t>《广东省机场管理集团有限公司安全生产专项整治三年行动评估报告》</w:t>
      </w:r>
      <w:r>
        <w:rPr>
          <w:rFonts w:hint="eastAsia" w:ascii="宋体" w:hAnsi="宋体"/>
          <w:color w:val="auto"/>
          <w:szCs w:val="21"/>
          <w:lang w:val="en-US" w:eastAsia="zh-CN"/>
        </w:rPr>
        <w:t>上报</w:t>
      </w:r>
      <w:r>
        <w:rPr>
          <w:rFonts w:hint="eastAsia" w:ascii="宋体" w:hAnsi="Times New Roman"/>
          <w:color w:val="auto"/>
          <w:szCs w:val="21"/>
        </w:rPr>
        <w:t>广东省人民政府国有资产监督管理委员会</w:t>
      </w:r>
      <w:r>
        <w:rPr>
          <w:rFonts w:hint="eastAsia" w:ascii="宋体" w:hAnsi="Times New Roman"/>
          <w:color w:val="auto"/>
          <w:szCs w:val="21"/>
          <w:lang w:val="en-US" w:eastAsia="zh-CN"/>
        </w:rPr>
        <w:t>，自上报</w:t>
      </w:r>
      <w:r>
        <w:rPr>
          <w:rFonts w:hint="eastAsia" w:ascii="宋体" w:hAnsi="宋体"/>
          <w:color w:val="auto"/>
          <w:szCs w:val="21"/>
        </w:rPr>
        <w:t>之日起</w:t>
      </w:r>
      <w:r>
        <w:rPr>
          <w:rFonts w:hint="eastAsia" w:ascii="宋体" w:hAnsi="宋体"/>
          <w:color w:val="auto"/>
          <w:szCs w:val="21"/>
          <w:lang w:val="en-US" w:eastAsia="zh-CN"/>
        </w:rPr>
        <w:t>六十</w:t>
      </w:r>
      <w:r>
        <w:rPr>
          <w:rFonts w:hint="eastAsia" w:ascii="宋体" w:hAnsi="宋体"/>
          <w:color w:val="auto"/>
          <w:szCs w:val="21"/>
        </w:rPr>
        <w:t>个工作日内，甲方向乙方支付合同金额的</w:t>
      </w:r>
      <w:r>
        <w:rPr>
          <w:rFonts w:hint="eastAsia" w:ascii="宋体" w:hAnsi="宋体"/>
          <w:color w:val="auto"/>
          <w:szCs w:val="21"/>
          <w:lang w:val="en-US" w:eastAsia="zh-CN"/>
        </w:rPr>
        <w:t>10</w:t>
      </w:r>
      <w:r>
        <w:rPr>
          <w:rFonts w:hint="eastAsia" w:ascii="宋体" w:hAnsi="宋体"/>
          <w:color w:val="auto"/>
          <w:szCs w:val="21"/>
        </w:rPr>
        <w:t>%，即________元人民币（大写：________）</w:t>
      </w:r>
      <w:r>
        <w:rPr>
          <w:rFonts w:hint="eastAsia" w:ascii="宋体" w:hAnsi="宋体"/>
          <w:color w:val="auto"/>
          <w:szCs w:val="21"/>
          <w:lang w:eastAsia="zh-CN"/>
        </w:rPr>
        <w:t>。</w:t>
      </w:r>
    </w:p>
    <w:p>
      <w:pPr>
        <w:numPr>
          <w:ilvl w:val="0"/>
          <w:numId w:val="0"/>
        </w:numPr>
        <w:tabs>
          <w:tab w:val="left" w:pos="2670"/>
        </w:tabs>
        <w:spacing w:line="360" w:lineRule="auto"/>
        <w:ind w:firstLine="420" w:firstLineChars="200"/>
        <w:rPr>
          <w:rFonts w:hint="default" w:ascii="宋体" w:hAnsi="宋体" w:eastAsia="宋体"/>
          <w:bCs/>
          <w:color w:val="auto"/>
          <w:szCs w:val="21"/>
          <w:lang w:val="en-US" w:eastAsia="zh-CN"/>
        </w:rPr>
      </w:pPr>
      <w:r>
        <w:rPr>
          <w:rFonts w:hint="eastAsia" w:ascii="宋体" w:hAnsi="宋体" w:eastAsia="宋体" w:cs="Times New Roman"/>
          <w:bCs/>
          <w:color w:val="auto"/>
          <w:szCs w:val="21"/>
        </w:rPr>
        <w:t>（三）</w:t>
      </w:r>
      <w:r>
        <w:rPr>
          <w:rFonts w:hint="eastAsia" w:ascii="宋体" w:hAnsi="宋体" w:eastAsia="宋体" w:cs="Times New Roman"/>
          <w:bCs/>
          <w:color w:val="auto"/>
          <w:sz w:val="21"/>
          <w:szCs w:val="21"/>
        </w:rPr>
        <w:t>乙方每次请款前，乙方应向甲方开具等额合法、有效的增值税专用发票。</w:t>
      </w:r>
      <w:r>
        <w:rPr>
          <w:rFonts w:hint="eastAsia" w:ascii="宋体" w:hAnsi="宋体" w:cs="Times New Roman"/>
          <w:bCs/>
          <w:color w:val="auto"/>
          <w:sz w:val="21"/>
          <w:szCs w:val="21"/>
          <w:lang w:val="en-US" w:eastAsia="zh-CN"/>
        </w:rPr>
        <w:t>如乙方未按时足额开具符合本条款约定的发票，则甲方合同款支付期限相应顺延。</w:t>
      </w:r>
    </w:p>
    <w:p>
      <w:pPr>
        <w:spacing w:line="360" w:lineRule="auto"/>
        <w:ind w:firstLine="420" w:firstLineChars="200"/>
        <w:rPr>
          <w:rFonts w:ascii="宋体" w:hAnsi="宋体"/>
          <w:szCs w:val="21"/>
        </w:rPr>
      </w:pPr>
      <w:r>
        <w:rPr>
          <w:rFonts w:hint="eastAsia" w:ascii="宋体" w:hAnsi="宋体"/>
          <w:szCs w:val="21"/>
        </w:rPr>
        <w:t>（四）甲方增值税发票信息为：</w:t>
      </w:r>
    </w:p>
    <w:p>
      <w:pPr>
        <w:spacing w:line="360" w:lineRule="auto"/>
        <w:ind w:firstLine="420" w:firstLineChars="200"/>
        <w:rPr>
          <w:rFonts w:ascii="宋体" w:hAnsi="宋体"/>
          <w:szCs w:val="21"/>
        </w:rPr>
      </w:pPr>
      <w:r>
        <w:rPr>
          <w:rFonts w:hint="eastAsia" w:ascii="宋体" w:hAnsi="宋体"/>
          <w:szCs w:val="21"/>
        </w:rPr>
        <w:t>公司名称：广东省机场管理集团有限公司</w:t>
      </w:r>
    </w:p>
    <w:p>
      <w:pPr>
        <w:spacing w:line="360" w:lineRule="auto"/>
        <w:ind w:firstLine="420" w:firstLineChars="200"/>
        <w:rPr>
          <w:rFonts w:ascii="宋体" w:hAnsi="宋体"/>
          <w:szCs w:val="21"/>
        </w:rPr>
      </w:pPr>
      <w:r>
        <w:rPr>
          <w:rFonts w:hint="eastAsia" w:ascii="宋体" w:hAnsi="宋体"/>
          <w:szCs w:val="21"/>
        </w:rPr>
        <w:t>纳税人识别号：91440000190488448J</w:t>
      </w:r>
    </w:p>
    <w:p>
      <w:pPr>
        <w:spacing w:line="360" w:lineRule="auto"/>
        <w:ind w:firstLine="420" w:firstLineChars="200"/>
        <w:rPr>
          <w:rFonts w:ascii="宋体" w:hAnsi="宋体"/>
          <w:szCs w:val="21"/>
        </w:rPr>
      </w:pPr>
      <w:r>
        <w:rPr>
          <w:rFonts w:hint="eastAsia" w:ascii="宋体" w:hAnsi="宋体"/>
          <w:szCs w:val="21"/>
        </w:rPr>
        <w:t>开户银行：工商银行广州市机场支行</w:t>
      </w:r>
    </w:p>
    <w:p>
      <w:pPr>
        <w:spacing w:line="360" w:lineRule="auto"/>
        <w:ind w:firstLine="420" w:firstLineChars="200"/>
        <w:rPr>
          <w:rFonts w:ascii="宋体" w:hAnsi="宋体"/>
          <w:szCs w:val="21"/>
        </w:rPr>
      </w:pPr>
      <w:r>
        <w:rPr>
          <w:rFonts w:hint="eastAsia" w:ascii="宋体" w:hAnsi="宋体"/>
          <w:szCs w:val="21"/>
        </w:rPr>
        <w:t>银行账号：3602065209000396878</w:t>
      </w:r>
    </w:p>
    <w:p>
      <w:pPr>
        <w:spacing w:line="360" w:lineRule="auto"/>
        <w:ind w:firstLine="420" w:firstLineChars="200"/>
        <w:rPr>
          <w:rFonts w:ascii="宋体" w:hAnsi="宋体"/>
          <w:szCs w:val="21"/>
        </w:rPr>
      </w:pPr>
      <w:r>
        <w:rPr>
          <w:rFonts w:hint="eastAsia" w:ascii="宋体" w:hAnsi="宋体"/>
          <w:szCs w:val="21"/>
        </w:rPr>
        <w:t xml:space="preserve">公司地址：广东省广州市白云区机场路282号 </w:t>
      </w:r>
    </w:p>
    <w:p>
      <w:pPr>
        <w:spacing w:line="360" w:lineRule="auto"/>
        <w:ind w:firstLine="420" w:firstLineChars="200"/>
        <w:rPr>
          <w:rFonts w:hint="eastAsia" w:ascii="宋体" w:hAnsi="宋体"/>
          <w:szCs w:val="21"/>
        </w:rPr>
      </w:pPr>
      <w:r>
        <w:rPr>
          <w:rFonts w:hint="eastAsia" w:ascii="宋体" w:hAnsi="宋体"/>
          <w:szCs w:val="21"/>
        </w:rPr>
        <w:t xml:space="preserve">联系电话：020-86122784             </w:t>
      </w:r>
    </w:p>
    <w:p>
      <w:pPr>
        <w:spacing w:line="360" w:lineRule="auto"/>
        <w:ind w:firstLine="420" w:firstLineChars="200"/>
        <w:rPr>
          <w:rFonts w:hint="eastAsia" w:ascii="宋体" w:hAnsi="宋体"/>
          <w:szCs w:val="21"/>
        </w:rPr>
      </w:pPr>
      <w:r>
        <w:rPr>
          <w:rFonts w:hint="eastAsia" w:ascii="宋体" w:hAnsi="宋体"/>
          <w:szCs w:val="21"/>
        </w:rPr>
        <w:t>（五）乙方收款帐户信息：</w:t>
      </w:r>
    </w:p>
    <w:p>
      <w:pPr>
        <w:spacing w:line="360" w:lineRule="auto"/>
        <w:ind w:firstLine="420" w:firstLineChars="200"/>
        <w:rPr>
          <w:rFonts w:hint="eastAsia" w:ascii="宋体" w:hAnsi="宋体"/>
          <w:szCs w:val="21"/>
        </w:rPr>
      </w:pPr>
      <w:r>
        <w:rPr>
          <w:rFonts w:hint="eastAsia" w:ascii="宋体" w:hAnsi="宋体"/>
          <w:szCs w:val="21"/>
        </w:rPr>
        <w:t xml:space="preserve">公司名称：    </w:t>
      </w:r>
    </w:p>
    <w:p>
      <w:pPr>
        <w:spacing w:line="360" w:lineRule="auto"/>
        <w:ind w:firstLine="420" w:firstLineChars="200"/>
        <w:rPr>
          <w:rFonts w:hint="eastAsia" w:ascii="宋体" w:hAnsi="宋体"/>
          <w:szCs w:val="21"/>
        </w:rPr>
      </w:pPr>
      <w:r>
        <w:rPr>
          <w:rFonts w:hint="eastAsia" w:ascii="宋体" w:hAnsi="宋体"/>
          <w:szCs w:val="21"/>
        </w:rPr>
        <w:t xml:space="preserve">开户银行： </w:t>
      </w:r>
    </w:p>
    <w:p>
      <w:pPr>
        <w:spacing w:line="360" w:lineRule="auto"/>
        <w:ind w:firstLine="420" w:firstLineChars="200"/>
        <w:rPr>
          <w:rFonts w:hint="eastAsia" w:ascii="宋体" w:hAnsi="宋体"/>
          <w:szCs w:val="21"/>
        </w:rPr>
      </w:pPr>
      <w:r>
        <w:rPr>
          <w:rFonts w:hint="eastAsia" w:ascii="宋体" w:hAnsi="宋体"/>
          <w:szCs w:val="21"/>
        </w:rPr>
        <w:t xml:space="preserve">银行账号： </w:t>
      </w:r>
    </w:p>
    <w:p>
      <w:pPr>
        <w:numPr>
          <w:ilvl w:val="0"/>
          <w:numId w:val="17"/>
        </w:numPr>
        <w:tabs>
          <w:tab w:val="left" w:pos="900"/>
          <w:tab w:val="left" w:pos="5460"/>
        </w:tabs>
        <w:spacing w:line="360" w:lineRule="auto"/>
        <w:ind w:left="420"/>
        <w:rPr>
          <w:rFonts w:hint="eastAsia" w:ascii="宋体" w:hAnsi="宋体"/>
          <w:b/>
          <w:bCs/>
          <w:szCs w:val="21"/>
        </w:rPr>
      </w:pPr>
      <w:r>
        <w:rPr>
          <w:rFonts w:hint="eastAsia" w:ascii="宋体" w:hAnsi="宋体"/>
          <w:b/>
          <w:bCs/>
          <w:szCs w:val="21"/>
        </w:rPr>
        <w:t>知识产权归属</w:t>
      </w:r>
    </w:p>
    <w:p>
      <w:pPr>
        <w:tabs>
          <w:tab w:val="left" w:pos="900"/>
          <w:tab w:val="left" w:pos="5460"/>
        </w:tabs>
        <w:spacing w:line="360" w:lineRule="auto"/>
        <w:ind w:firstLine="420" w:firstLineChars="200"/>
        <w:rPr>
          <w:rFonts w:ascii="宋体" w:hAnsi="宋体"/>
          <w:szCs w:val="21"/>
        </w:rPr>
      </w:pPr>
      <w:r>
        <w:rPr>
          <w:rFonts w:hint="eastAsia" w:ascii="宋体" w:hAnsi="宋体"/>
          <w:szCs w:val="21"/>
        </w:rPr>
        <w:t>（一）本项目的知识产权属甲方所有，未经甲方书面同意，无论是否被甲方所采用，乙方不得对外发布、使用或披露。</w:t>
      </w:r>
    </w:p>
    <w:p>
      <w:pPr>
        <w:tabs>
          <w:tab w:val="left" w:pos="900"/>
          <w:tab w:val="left" w:pos="5460"/>
        </w:tabs>
        <w:spacing w:line="360" w:lineRule="auto"/>
        <w:ind w:firstLine="420" w:firstLineChars="200"/>
        <w:rPr>
          <w:rFonts w:ascii="宋体" w:hAnsi="宋体"/>
          <w:szCs w:val="21"/>
        </w:rPr>
      </w:pPr>
      <w:r>
        <w:rPr>
          <w:rFonts w:hint="eastAsia" w:ascii="宋体" w:hAnsi="宋体"/>
          <w:szCs w:val="21"/>
        </w:rPr>
        <w:t>（二）本项目的知识产权所辖范围包括但不限于如下：乙方按本合同约定完成的</w:t>
      </w:r>
      <w:r>
        <w:rPr>
          <w:rFonts w:hint="eastAsia" w:ascii="宋体" w:hAnsi="宋体"/>
          <w:szCs w:val="21"/>
          <w:lang w:eastAsia="zh-CN"/>
        </w:rPr>
        <w:t>评估</w:t>
      </w:r>
      <w:r>
        <w:rPr>
          <w:rFonts w:hint="eastAsia" w:ascii="宋体" w:hAnsi="宋体"/>
          <w:szCs w:val="21"/>
        </w:rPr>
        <w:t>成果文件、乙方因完成本合同约定的服务内容形成的</w:t>
      </w:r>
      <w:r>
        <w:rPr>
          <w:rFonts w:hint="eastAsia" w:ascii="宋体" w:hAnsi="宋体"/>
          <w:szCs w:val="21"/>
          <w:lang w:eastAsia="zh-CN"/>
        </w:rPr>
        <w:t>评估单、评估报告</w:t>
      </w:r>
      <w:r>
        <w:rPr>
          <w:rFonts w:hint="eastAsia" w:ascii="宋体" w:hAnsi="宋体"/>
          <w:szCs w:val="21"/>
        </w:rPr>
        <w:t>等资料。乙方禁止向任何第三方提供。</w:t>
      </w:r>
      <w:r>
        <w:rPr>
          <w:rFonts w:hint="eastAsia" w:ascii="宋体" w:hAnsi="宋体"/>
          <w:color w:val="000000"/>
          <w:szCs w:val="21"/>
        </w:rPr>
        <w:t>若甲方因此需要通过法律途径主张权利，乙方应承担甲方支出的全部费用（该费用包括但不限于：诉讼费、律师费、交通费、通信费），并承担甲方因此造成的损失。</w:t>
      </w:r>
    </w:p>
    <w:p>
      <w:pPr>
        <w:tabs>
          <w:tab w:val="left" w:pos="900"/>
          <w:tab w:val="left" w:pos="5460"/>
        </w:tabs>
        <w:spacing w:line="360" w:lineRule="auto"/>
        <w:ind w:firstLine="420" w:firstLineChars="200"/>
        <w:rPr>
          <w:rFonts w:ascii="宋体" w:hAnsi="宋体"/>
          <w:b/>
          <w:szCs w:val="21"/>
        </w:rPr>
      </w:pPr>
      <w:r>
        <w:rPr>
          <w:rFonts w:hint="eastAsia" w:ascii="宋体" w:hAnsi="宋体"/>
          <w:szCs w:val="21"/>
        </w:rPr>
        <w:t>（三）乙方保证，乙方提交的全部成果文件在中国境内或境外没有且不会侵犯任何其他任何第三方的知识产权（包括但不限于著作权、商标权、专利权、名称权）或专有技术或商业秘密，</w:t>
      </w:r>
      <w:r>
        <w:rPr>
          <w:rFonts w:hint="eastAsia" w:ascii="宋体" w:hAnsi="宋体"/>
          <w:color w:val="000000"/>
          <w:szCs w:val="21"/>
        </w:rPr>
        <w:t>若因此甲方被任何第三方主张权利的，乙方应承担造成甲方的全部费用（合理开支包括但不限于：诉讼费、律师费、交通费、通信费），并承担甲方因此造成的损失。</w:t>
      </w:r>
    </w:p>
    <w:p>
      <w:pPr>
        <w:numPr>
          <w:ilvl w:val="0"/>
          <w:numId w:val="17"/>
        </w:numPr>
        <w:tabs>
          <w:tab w:val="left" w:pos="900"/>
        </w:tabs>
        <w:spacing w:line="360" w:lineRule="auto"/>
        <w:ind w:left="420"/>
        <w:rPr>
          <w:rFonts w:hint="eastAsia" w:ascii="宋体" w:hAnsi="宋体"/>
          <w:b/>
          <w:bCs/>
          <w:szCs w:val="21"/>
        </w:rPr>
      </w:pPr>
      <w:r>
        <w:rPr>
          <w:rFonts w:hint="eastAsia" w:ascii="宋体" w:hAnsi="宋体"/>
          <w:b/>
          <w:bCs/>
          <w:szCs w:val="21"/>
        </w:rPr>
        <w:t>保密</w:t>
      </w:r>
    </w:p>
    <w:p>
      <w:pPr>
        <w:ind w:firstLine="420" w:firstLineChars="200"/>
        <w:rPr>
          <w:rFonts w:hint="eastAsia" w:ascii="宋体" w:hAnsi="宋体" w:cs="宋体"/>
          <w:szCs w:val="21"/>
        </w:rPr>
      </w:pPr>
      <w:r>
        <w:rPr>
          <w:rFonts w:hint="eastAsia" w:ascii="宋体" w:hAnsi="宋体" w:cs="宋体"/>
          <w:szCs w:val="21"/>
        </w:rPr>
        <w:t>（一）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ind w:firstLine="420" w:firstLineChars="200"/>
        <w:rPr>
          <w:rFonts w:hint="eastAsia" w:ascii="宋体" w:hAnsi="宋体" w:cs="宋体"/>
          <w:szCs w:val="21"/>
        </w:rPr>
      </w:pPr>
      <w:r>
        <w:rPr>
          <w:rFonts w:hint="eastAsia" w:ascii="宋体" w:hAnsi="宋体" w:cs="宋体"/>
          <w:szCs w:val="21"/>
        </w:rPr>
        <w:t>（二）保密信息包括但不限于如下记录和信息及双方信息：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1)已被称为“专有”或“保密”；</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2)双方采取一定保密措施的；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3)其保密性质已告知对方的；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4)由于其特点和性质，常人在同样情况下，会将该等信息作为保密信息对待。</w:t>
      </w:r>
    </w:p>
    <w:p>
      <w:pPr>
        <w:ind w:firstLine="420" w:firstLineChars="200"/>
        <w:rPr>
          <w:rFonts w:hint="eastAsia" w:ascii="宋体" w:hAnsi="宋体" w:cs="宋体"/>
          <w:szCs w:val="21"/>
        </w:rPr>
      </w:pPr>
      <w:r>
        <w:rPr>
          <w:rFonts w:hint="eastAsia" w:ascii="宋体" w:hAnsi="宋体" w:cs="宋体"/>
          <w:szCs w:val="21"/>
        </w:rPr>
        <w:t>（三）尽管有前述规定，保密信息不包括以下信息：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1)应法律或其他政府规定的要求公开的信息；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2)并非因收受方的错误行为或违约而为公众所知的信息；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3)获得方并非得益于另一方保密信息而独立开发的信息；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hint="eastAsia" w:ascii="宋体" w:hAnsi="宋体" w:cs="宋体"/>
          <w:szCs w:val="21"/>
        </w:rPr>
      </w:pPr>
      <w:r>
        <w:rPr>
          <w:rFonts w:hint="eastAsia" w:ascii="宋体" w:hAnsi="宋体" w:cs="宋体"/>
          <w:szCs w:val="21"/>
        </w:rPr>
        <w:t>4)从无保密义务因而也不违反保密义务的第三方获取的信息。</w:t>
      </w:r>
    </w:p>
    <w:p>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szCs w:val="21"/>
        </w:rPr>
      </w:pPr>
      <w:r>
        <w:rPr>
          <w:rFonts w:hint="eastAsia" w:ascii="宋体" w:hAnsi="宋体" w:cs="宋体"/>
          <w:szCs w:val="21"/>
        </w:rPr>
        <w:t>（四）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szCs w:val="21"/>
        </w:rPr>
      </w:pPr>
      <w:r>
        <w:rPr>
          <w:rFonts w:hint="eastAsia" w:ascii="宋体" w:hAnsi="宋体" w:cs="宋体"/>
          <w:szCs w:val="21"/>
        </w:rPr>
        <w:t>（五）此保密义务在本合同解除或终止后仍然有效，直至本合同所涉及的保密信息被公开。</w:t>
      </w:r>
    </w:p>
    <w:p>
      <w:pPr>
        <w:pBdr>
          <w:top w:val="none" w:color="auto" w:sz="0" w:space="1"/>
          <w:left w:val="none" w:color="auto" w:sz="0" w:space="4"/>
          <w:bottom w:val="none" w:color="auto" w:sz="0" w:space="1"/>
          <w:right w:val="none" w:color="auto" w:sz="0" w:space="4"/>
        </w:pBdr>
        <w:spacing w:line="360" w:lineRule="auto"/>
        <w:ind w:firstLine="420" w:firstLineChars="200"/>
        <w:rPr>
          <w:rFonts w:hint="eastAsia" w:ascii="宋体" w:hAnsi="宋体" w:cs="宋体"/>
          <w:szCs w:val="21"/>
        </w:rPr>
      </w:pPr>
      <w:r>
        <w:rPr>
          <w:rFonts w:hint="eastAsia" w:ascii="宋体" w:hAnsi="宋体" w:cs="宋体"/>
          <w:szCs w:val="21"/>
        </w:rPr>
        <w:t>（六）如果一方违反本合同有关保密的规定而另一方造成损失的，应按本合同总金额的10%向另一方支付违约金，违约金不足弥补损失的，还应承担赔偿责任。</w:t>
      </w:r>
    </w:p>
    <w:p>
      <w:pPr>
        <w:numPr>
          <w:ilvl w:val="0"/>
          <w:numId w:val="17"/>
        </w:numPr>
        <w:spacing w:line="360" w:lineRule="auto"/>
        <w:ind w:left="420"/>
        <w:rPr>
          <w:rFonts w:hint="eastAsia" w:ascii="宋体" w:hAnsi="宋体"/>
          <w:b/>
          <w:bCs/>
          <w:szCs w:val="21"/>
        </w:rPr>
      </w:pPr>
      <w:r>
        <w:rPr>
          <w:rFonts w:hint="eastAsia" w:ascii="宋体" w:hAnsi="宋体"/>
          <w:b/>
          <w:bCs/>
          <w:szCs w:val="21"/>
        </w:rPr>
        <w:t>违约责任</w:t>
      </w:r>
    </w:p>
    <w:p>
      <w:pPr>
        <w:spacing w:line="360" w:lineRule="auto"/>
        <w:ind w:firstLine="420" w:firstLineChars="200"/>
        <w:rPr>
          <w:rFonts w:ascii="宋体" w:hAnsi="宋体"/>
          <w:szCs w:val="21"/>
        </w:rPr>
      </w:pPr>
      <w:r>
        <w:rPr>
          <w:rFonts w:hint="eastAsia" w:ascii="宋体" w:hAnsi="宋体"/>
          <w:szCs w:val="21"/>
        </w:rPr>
        <w:t>（一）甲方如违反本合同约定未按时支付合同费用的，从逾期之日起，甲方须向乙方支付逾期款项总额每日万分之五的违约金。</w:t>
      </w:r>
    </w:p>
    <w:p>
      <w:pPr>
        <w:spacing w:line="360" w:lineRule="auto"/>
        <w:ind w:firstLine="420" w:firstLineChars="200"/>
        <w:rPr>
          <w:rFonts w:ascii="宋体" w:hAnsi="宋体"/>
          <w:szCs w:val="21"/>
        </w:rPr>
      </w:pPr>
      <w:r>
        <w:rPr>
          <w:rFonts w:hint="eastAsia" w:ascii="宋体" w:hAnsi="宋体"/>
          <w:szCs w:val="21"/>
        </w:rPr>
        <w:t>（二）乙方未能按照本合同约定的时间交付服务成果的，每逾期一天，乙方按本合同总金额的万分之</w:t>
      </w:r>
      <w:r>
        <w:rPr>
          <w:rFonts w:hint="eastAsia" w:ascii="宋体" w:hAnsi="宋体"/>
          <w:szCs w:val="21"/>
          <w:lang w:eastAsia="zh-CN"/>
        </w:rPr>
        <w:t>五</w:t>
      </w:r>
      <w:r>
        <w:rPr>
          <w:rFonts w:hint="eastAsia" w:ascii="宋体" w:hAnsi="宋体"/>
          <w:szCs w:val="21"/>
        </w:rPr>
        <w:t>向甲方支付违约金；逾期30天以上（含）的，甲方有权单方解除本合同，乙方除应退还甲方已支付的费用和支付上述逾期违约金外，乙方还应按本合同总金额的30%向甲方支付违约金。违约金不足弥补甲方损失的，乙方还应承担赔偿责任。</w:t>
      </w:r>
    </w:p>
    <w:p>
      <w:pPr>
        <w:spacing w:line="360" w:lineRule="auto"/>
        <w:ind w:firstLine="420" w:firstLineChars="200"/>
        <w:rPr>
          <w:rFonts w:ascii="宋体" w:hAnsi="宋体"/>
          <w:szCs w:val="21"/>
        </w:rPr>
      </w:pPr>
      <w:r>
        <w:rPr>
          <w:rFonts w:hint="eastAsia" w:ascii="宋体" w:hAnsi="宋体"/>
          <w:szCs w:val="21"/>
        </w:rPr>
        <w:t>（三）乙方应确保交付的成果应通过甲方组织的</w:t>
      </w:r>
      <w:r>
        <w:rPr>
          <w:rFonts w:hint="eastAsia" w:ascii="宋体" w:hAnsi="宋体"/>
          <w:szCs w:val="21"/>
          <w:lang w:eastAsia="zh-CN"/>
        </w:rPr>
        <w:t>审核</w:t>
      </w:r>
      <w:r>
        <w:rPr>
          <w:rFonts w:hint="eastAsia" w:ascii="宋体" w:hAnsi="宋体"/>
          <w:szCs w:val="21"/>
        </w:rPr>
        <w:t>，否则甲方有权拒收，乙方应在甲方限定时间内予以返工并重新交付成果。乙方拒绝返工或重新交付的成果质量仍然不合格的达不到甲方要求的，甲方有权单方解除本合同，乙方除应退还甲方已支付的费用和支付上述逾期违约金外，还应按本合同总金额的30%向甲方支付违约金。违约金不足弥补损失的，乙方还应承担赔偿责任。</w:t>
      </w:r>
    </w:p>
    <w:p>
      <w:pPr>
        <w:spacing w:line="360" w:lineRule="auto"/>
        <w:ind w:firstLine="420" w:firstLineChars="200"/>
        <w:rPr>
          <w:rFonts w:ascii="宋体" w:hAnsi="宋体"/>
          <w:szCs w:val="21"/>
        </w:rPr>
      </w:pPr>
      <w:r>
        <w:rPr>
          <w:rFonts w:hint="eastAsia" w:ascii="宋体" w:hAnsi="宋体"/>
          <w:szCs w:val="21"/>
        </w:rPr>
        <w:t>（四）本合同履行期限内，乙方不得委托任何第三方完成本合同委托的全部事项，否则视为乙方根本违约，甲方有权单方解除本合同，乙方除应退还甲方已支付的费用外，还应向甲方支付本合同总金额的30%作为违约金。违约金不足弥补甲方损失的，乙方还应承担赔偿责任。</w:t>
      </w:r>
    </w:p>
    <w:p>
      <w:pPr>
        <w:spacing w:line="360" w:lineRule="auto"/>
        <w:ind w:firstLine="420" w:firstLineChars="200"/>
        <w:rPr>
          <w:rFonts w:hint="eastAsia" w:ascii="宋体" w:hAnsi="宋体"/>
          <w:szCs w:val="21"/>
        </w:rPr>
      </w:pPr>
      <w:r>
        <w:rPr>
          <w:rFonts w:hint="eastAsia" w:ascii="宋体" w:hAnsi="宋体"/>
          <w:szCs w:val="21"/>
        </w:rPr>
        <w:t>（五）乙方未经甲方同意未按项目报价文件提供的团队成员提供咨询服务，更换项目总负责人的，甲方有权解除合同，乙方除应退还甲方已支付的费用外，还应向甲方支付本合同总金额的30%作为违约金；更换项目经理的，甲方有权要求乙方支付本合同总金额的10%作为违约金；更换项目组工作人员的，每更换1名，甲方有权要求乙方支付本合同总金额的1%作为违约金。违约金不足弥补甲方损失的，乙方还应承担赔偿责任。</w:t>
      </w:r>
    </w:p>
    <w:p>
      <w:pPr>
        <w:spacing w:line="360" w:lineRule="auto"/>
        <w:ind w:firstLine="420" w:firstLineChars="200"/>
        <w:rPr>
          <w:rFonts w:hint="eastAsia" w:ascii="宋体" w:hAnsi="宋体"/>
          <w:szCs w:val="21"/>
        </w:rPr>
      </w:pPr>
      <w:r>
        <w:rPr>
          <w:rFonts w:hint="eastAsia" w:ascii="宋体" w:hAnsi="宋体"/>
          <w:szCs w:val="21"/>
        </w:rPr>
        <w:t>（六）在合同履行期间，如合同解除或终止的，乙方未开始工作的，则应全额退还甲方已付的所有款项。</w:t>
      </w:r>
    </w:p>
    <w:p>
      <w:pPr>
        <w:spacing w:line="360" w:lineRule="auto"/>
        <w:ind w:firstLine="420" w:firstLineChars="200"/>
        <w:rPr>
          <w:rFonts w:hint="eastAsia" w:ascii="宋体" w:hAnsi="宋体"/>
          <w:szCs w:val="21"/>
        </w:rPr>
      </w:pPr>
      <w:r>
        <w:rPr>
          <w:rFonts w:hint="eastAsia" w:ascii="宋体" w:hAnsi="宋体"/>
          <w:szCs w:val="21"/>
        </w:rPr>
        <w:t>（七）合同生效后，乙方如要求提前终止或解除合同，乙方应退还全部已支付的费用，并按本合同总金额的20%向甲方支付违约金，违约金不足以弥补甲方损失的，乙方还应补足。</w:t>
      </w:r>
    </w:p>
    <w:p>
      <w:pPr>
        <w:spacing w:line="360" w:lineRule="auto"/>
        <w:ind w:firstLine="420" w:firstLineChars="200"/>
        <w:rPr>
          <w:rFonts w:hint="eastAsia" w:ascii="宋体" w:hAnsi="宋体"/>
          <w:szCs w:val="21"/>
        </w:rPr>
      </w:pPr>
      <w:r>
        <w:rPr>
          <w:rFonts w:hint="eastAsia" w:ascii="宋体" w:hAnsi="宋体"/>
          <w:szCs w:val="21"/>
        </w:rPr>
        <w:t>（八）乙方严重违反合同义务的，甲方有权单方解除合同，书面通知到达即解除。乙方应退还全部已支付的费用，并按本合同总金额的20%向甲方支付违约金，违约金不足以弥补甲方损失的，乙方还应补足。</w:t>
      </w:r>
    </w:p>
    <w:p>
      <w:pPr>
        <w:spacing w:line="360" w:lineRule="auto"/>
        <w:ind w:firstLine="420" w:firstLineChars="200"/>
        <w:rPr>
          <w:rFonts w:hint="eastAsia" w:ascii="宋体" w:hAnsi="宋体"/>
          <w:szCs w:val="21"/>
        </w:rPr>
      </w:pPr>
      <w:r>
        <w:rPr>
          <w:rFonts w:hint="eastAsia" w:ascii="宋体" w:hAnsi="宋体"/>
          <w:szCs w:val="21"/>
        </w:rPr>
        <w:t>（九）除本合同约定外，乙方违反本合同或报价文件、采购文件约定的其他义务，经甲方通知后仍未纠正违约行为、采取补救措施的，每出现一次，甲方有权扣除合同总价款的5%作为违约金。</w:t>
      </w:r>
    </w:p>
    <w:p>
      <w:pPr>
        <w:spacing w:line="360" w:lineRule="auto"/>
        <w:ind w:firstLine="420" w:firstLineChars="200"/>
        <w:rPr>
          <w:rFonts w:hint="eastAsia" w:ascii="宋体" w:hAnsi="宋体"/>
          <w:szCs w:val="21"/>
        </w:rPr>
      </w:pPr>
      <w:r>
        <w:rPr>
          <w:rFonts w:hint="eastAsia" w:ascii="宋体" w:hAnsi="宋体"/>
          <w:szCs w:val="21"/>
        </w:rPr>
        <w:t>（十）本合同任一方违反本合同条款导致另一方经济损失的，违约方应承担相应的赔偿责任，本合同另有约定的除外。</w:t>
      </w:r>
    </w:p>
    <w:p>
      <w:pPr>
        <w:numPr>
          <w:ilvl w:val="0"/>
          <w:numId w:val="17"/>
        </w:numPr>
        <w:spacing w:line="360" w:lineRule="auto"/>
        <w:ind w:left="420"/>
        <w:rPr>
          <w:rFonts w:hint="eastAsia" w:ascii="宋体" w:hAnsi="宋体"/>
          <w:b/>
          <w:bCs/>
          <w:szCs w:val="21"/>
        </w:rPr>
      </w:pPr>
      <w:r>
        <w:rPr>
          <w:rFonts w:hint="eastAsia" w:ascii="宋体" w:hAnsi="宋体"/>
          <w:b/>
          <w:bCs/>
          <w:szCs w:val="21"/>
        </w:rPr>
        <w:t>不可抗力</w:t>
      </w:r>
    </w:p>
    <w:p>
      <w:pPr>
        <w:spacing w:line="360" w:lineRule="auto"/>
        <w:ind w:firstLine="420" w:firstLineChars="200"/>
        <w:rPr>
          <w:rFonts w:hint="eastAsia" w:ascii="宋体" w:hAnsi="宋体"/>
          <w:szCs w:val="21"/>
        </w:rPr>
      </w:pPr>
      <w:r>
        <w:rPr>
          <w:rFonts w:hint="eastAsia" w:ascii="宋体" w:hAnsi="宋体"/>
          <w:szCs w:val="21"/>
        </w:rPr>
        <w:t xml:space="preserve"> 如果本合同任何一方因受不可抗力事件（不可抗力事件指受影响一方不能合理控制的，无法预料或即使可预料到也不可避免且无法克服，并于本合同签署日之后出现的，使该方对本合同全部或部分的履行在客观上成为不可能或不实际的任何事件，此等事件包括但不限于水灾、火灾、旱灾、台风、地震、及其它自然灾害、罢工、骚动、暴乱及战争）影响而未能履行其在本合同项下的全部或部分义务，在上述情况发生之后10日内书面通知对方，则上述无法履行应不被视为违约；本合同适用的履行期应予延长，但仅应延长至相当于该情况存在的期间。如该不可抗力造成本合同实际履行不能或失去意义，双方均有权以向对方发出书面通知的方式解除本合同。</w:t>
      </w:r>
    </w:p>
    <w:p>
      <w:pPr>
        <w:numPr>
          <w:ilvl w:val="0"/>
          <w:numId w:val="17"/>
        </w:numPr>
        <w:spacing w:line="360" w:lineRule="auto"/>
        <w:ind w:left="420"/>
        <w:rPr>
          <w:rFonts w:hint="eastAsia" w:ascii="宋体" w:hAnsi="宋体"/>
          <w:b/>
          <w:bCs/>
          <w:szCs w:val="21"/>
        </w:rPr>
      </w:pPr>
      <w:r>
        <w:rPr>
          <w:rFonts w:hint="eastAsia" w:ascii="宋体" w:hAnsi="宋体"/>
          <w:b/>
          <w:bCs/>
          <w:szCs w:val="21"/>
        </w:rPr>
        <w:t>争议解决</w:t>
      </w:r>
    </w:p>
    <w:p>
      <w:pPr>
        <w:spacing w:line="360" w:lineRule="auto"/>
        <w:ind w:firstLine="420" w:firstLineChars="200"/>
        <w:rPr>
          <w:rFonts w:ascii="宋体" w:hAnsi="宋体"/>
          <w:szCs w:val="21"/>
        </w:rPr>
      </w:pPr>
      <w:r>
        <w:rPr>
          <w:rFonts w:hint="eastAsia" w:ascii="宋体" w:hAnsi="宋体"/>
          <w:szCs w:val="21"/>
        </w:rPr>
        <w:t>合同执行过程中发生的任何争议，双方应友好协商解决，无法协商一致的，任何一方均可向甲方所在地有管辖权的人民法院提起诉讼。</w:t>
      </w:r>
    </w:p>
    <w:p>
      <w:pPr>
        <w:numPr>
          <w:ilvl w:val="0"/>
          <w:numId w:val="17"/>
        </w:numPr>
        <w:spacing w:line="360" w:lineRule="auto"/>
        <w:ind w:left="420"/>
        <w:rPr>
          <w:rFonts w:hint="eastAsia" w:ascii="宋体" w:hAnsi="宋体"/>
          <w:b/>
          <w:bCs/>
          <w:szCs w:val="21"/>
        </w:rPr>
      </w:pPr>
      <w:r>
        <w:rPr>
          <w:rFonts w:hint="eastAsia" w:ascii="宋体" w:hAnsi="宋体"/>
          <w:b/>
          <w:bCs/>
          <w:szCs w:val="21"/>
        </w:rPr>
        <w:t>其它约定</w:t>
      </w:r>
    </w:p>
    <w:p>
      <w:pPr>
        <w:spacing w:line="360" w:lineRule="auto"/>
        <w:ind w:firstLine="420" w:firstLineChars="200"/>
        <w:rPr>
          <w:rFonts w:ascii="宋体" w:hAnsi="宋体"/>
          <w:szCs w:val="21"/>
        </w:rPr>
      </w:pPr>
      <w:r>
        <w:rPr>
          <w:rFonts w:hint="eastAsia" w:ascii="宋体" w:hAnsi="宋体"/>
          <w:bCs/>
          <w:szCs w:val="21"/>
        </w:rPr>
        <w:t>（一）</w:t>
      </w:r>
      <w:r>
        <w:rPr>
          <w:rFonts w:hint="eastAsia" w:ascii="宋体" w:hAnsi="宋体"/>
          <w:szCs w:val="21"/>
        </w:rPr>
        <w:t>在执行本合同的过程中，所有经双方签署确认的文件（包括会议纪要、补充协议、往来信函）即成为本合同的有效组成部分。</w:t>
      </w:r>
    </w:p>
    <w:p>
      <w:pPr>
        <w:spacing w:line="360" w:lineRule="auto"/>
        <w:ind w:firstLine="424" w:firstLineChars="202"/>
        <w:rPr>
          <w:rFonts w:hint="eastAsia" w:ascii="宋体" w:hAnsi="宋体"/>
          <w:color w:val="000000"/>
          <w:szCs w:val="21"/>
        </w:rPr>
      </w:pPr>
      <w:r>
        <w:rPr>
          <w:rFonts w:hint="eastAsia" w:ascii="宋体" w:hAnsi="宋体"/>
          <w:szCs w:val="21"/>
        </w:rPr>
        <w:t>（二）</w:t>
      </w:r>
      <w:r>
        <w:rPr>
          <w:rFonts w:hint="eastAsia" w:ascii="宋体" w:hAnsi="宋体"/>
          <w:color w:val="000000"/>
          <w:szCs w:val="21"/>
        </w:rPr>
        <w:t>双方履行本合同过程中所有的文件往来，均按以下地址和联系人送达</w:t>
      </w:r>
    </w:p>
    <w:p>
      <w:pPr>
        <w:spacing w:line="360" w:lineRule="auto"/>
        <w:ind w:firstLine="424" w:firstLineChars="202"/>
        <w:rPr>
          <w:rFonts w:hint="eastAsia" w:ascii="宋体" w:hAnsi="宋体"/>
          <w:color w:val="000000"/>
          <w:szCs w:val="21"/>
        </w:rPr>
      </w:pPr>
      <w:r>
        <w:rPr>
          <w:rFonts w:hint="eastAsia" w:ascii="宋体" w:hAnsi="宋体"/>
          <w:color w:val="000000"/>
          <w:szCs w:val="21"/>
        </w:rPr>
        <w:t>甲方联系人：</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联系电话： </w:t>
      </w:r>
    </w:p>
    <w:p>
      <w:pPr>
        <w:spacing w:line="360" w:lineRule="auto"/>
        <w:ind w:firstLine="424" w:firstLineChars="202"/>
        <w:rPr>
          <w:rFonts w:hint="eastAsia" w:ascii="宋体" w:hAnsi="宋体"/>
          <w:color w:val="000000"/>
          <w:szCs w:val="21"/>
        </w:rPr>
      </w:pPr>
      <w:r>
        <w:rPr>
          <w:rFonts w:hint="eastAsia" w:ascii="宋体" w:hAnsi="宋体"/>
          <w:color w:val="000000"/>
          <w:szCs w:val="21"/>
        </w:rPr>
        <w:t>送达地址：</w:t>
      </w:r>
      <w:r>
        <w:rPr>
          <w:rFonts w:hint="eastAsia" w:ascii="宋体" w:hAnsi="宋体"/>
          <w:color w:val="000000"/>
          <w:szCs w:val="21"/>
        </w:rPr>
        <w:tab/>
      </w:r>
      <w:r>
        <w:rPr>
          <w:rFonts w:hint="eastAsia" w:ascii="宋体" w:hAnsi="宋体"/>
          <w:color w:val="000000"/>
          <w:szCs w:val="21"/>
        </w:rPr>
        <w:t xml:space="preserve"> </w:t>
      </w:r>
    </w:p>
    <w:p>
      <w:pPr>
        <w:spacing w:line="360" w:lineRule="auto"/>
        <w:ind w:firstLine="424" w:firstLineChars="202"/>
        <w:rPr>
          <w:rFonts w:hint="eastAsia" w:ascii="宋体" w:hAnsi="宋体"/>
          <w:color w:val="000000"/>
          <w:szCs w:val="21"/>
        </w:rPr>
      </w:pPr>
      <w:r>
        <w:rPr>
          <w:rFonts w:hint="eastAsia" w:ascii="宋体" w:hAnsi="宋体"/>
          <w:color w:val="000000"/>
          <w:szCs w:val="21"/>
        </w:rPr>
        <w:t>乙方联系人：               联系电话：</w:t>
      </w:r>
      <w:r>
        <w:rPr>
          <w:rFonts w:hint="eastAsia" w:ascii="宋体" w:hAnsi="宋体"/>
          <w:color w:val="000000"/>
          <w:szCs w:val="21"/>
        </w:rPr>
        <w:tab/>
      </w:r>
      <w:r>
        <w:rPr>
          <w:rFonts w:hint="eastAsia" w:ascii="宋体" w:hAnsi="宋体"/>
          <w:color w:val="000000"/>
          <w:szCs w:val="21"/>
        </w:rPr>
        <w:t xml:space="preserve"> </w:t>
      </w:r>
    </w:p>
    <w:p>
      <w:pPr>
        <w:spacing w:line="360" w:lineRule="auto"/>
        <w:ind w:firstLine="424" w:firstLineChars="202"/>
        <w:rPr>
          <w:rFonts w:hint="eastAsia" w:ascii="宋体" w:hAnsi="宋体"/>
          <w:color w:val="000000"/>
          <w:szCs w:val="21"/>
        </w:rPr>
      </w:pPr>
      <w:r>
        <w:rPr>
          <w:rFonts w:hint="eastAsia" w:ascii="宋体" w:hAnsi="宋体"/>
          <w:color w:val="000000"/>
          <w:szCs w:val="21"/>
        </w:rPr>
        <w:t>送达地址：</w:t>
      </w:r>
      <w:r>
        <w:rPr>
          <w:rFonts w:hint="eastAsia" w:ascii="宋体" w:hAnsi="宋体"/>
          <w:color w:val="000000"/>
          <w:szCs w:val="21"/>
        </w:rPr>
        <w:tab/>
      </w:r>
      <w:r>
        <w:rPr>
          <w:rFonts w:hint="eastAsia" w:ascii="宋体" w:hAnsi="宋体"/>
          <w:color w:val="000000"/>
          <w:szCs w:val="21"/>
        </w:rPr>
        <w:t xml:space="preserve"> </w:t>
      </w:r>
    </w:p>
    <w:p>
      <w:pPr>
        <w:spacing w:line="360" w:lineRule="auto"/>
        <w:ind w:firstLine="424" w:firstLineChars="202"/>
        <w:rPr>
          <w:rFonts w:hint="eastAsia" w:ascii="宋体" w:hAnsi="宋体"/>
          <w:color w:val="000000"/>
          <w:szCs w:val="21"/>
        </w:rPr>
      </w:pPr>
      <w:r>
        <w:rPr>
          <w:rFonts w:hint="eastAsia" w:ascii="宋体" w:hAnsi="宋体"/>
          <w:color w:val="000000"/>
          <w:szCs w:val="21"/>
        </w:rPr>
        <w:t>文件当面送达的，以签收日为送达日；文件通过邮政快递送达的，以快递被签收日为送达日。任何一方变更联系人或送达地址的，应于变更之日起三日内书面通知对方。否则，应承担无法被通知的一切责任。如一方按上述地址送达的邮政快递被退回的，视为已送达，以邮政快递被退回之日为送达日。</w:t>
      </w:r>
    </w:p>
    <w:p>
      <w:pPr>
        <w:spacing w:line="360" w:lineRule="auto"/>
        <w:ind w:firstLine="420" w:firstLineChars="200"/>
        <w:rPr>
          <w:rFonts w:ascii="宋体" w:hAnsi="宋体"/>
          <w:szCs w:val="21"/>
        </w:rPr>
      </w:pPr>
      <w:r>
        <w:rPr>
          <w:rFonts w:hint="eastAsia" w:ascii="宋体" w:hAnsi="宋体"/>
          <w:szCs w:val="21"/>
        </w:rPr>
        <w:t>（三） 除甲方事先书面同意外，乙方不得全部转让其在本合同项下应履行的义务。</w:t>
      </w:r>
    </w:p>
    <w:p>
      <w:pPr>
        <w:numPr>
          <w:ilvl w:val="0"/>
          <w:numId w:val="17"/>
        </w:numPr>
        <w:spacing w:line="360" w:lineRule="auto"/>
        <w:ind w:left="420"/>
        <w:rPr>
          <w:rFonts w:hint="eastAsia" w:ascii="宋体" w:hAnsi="宋体"/>
          <w:b/>
          <w:bCs/>
          <w:szCs w:val="21"/>
        </w:rPr>
      </w:pPr>
      <w:r>
        <w:rPr>
          <w:rFonts w:hint="eastAsia" w:ascii="宋体" w:hAnsi="宋体"/>
          <w:b/>
          <w:bCs/>
          <w:szCs w:val="21"/>
        </w:rPr>
        <w:t>合同生效</w:t>
      </w:r>
    </w:p>
    <w:p>
      <w:pPr>
        <w:spacing w:line="360" w:lineRule="auto"/>
        <w:ind w:firstLine="420" w:firstLineChars="200"/>
        <w:rPr>
          <w:rFonts w:ascii="宋体" w:hAnsi="宋体"/>
          <w:szCs w:val="21"/>
        </w:rPr>
      </w:pPr>
      <w:r>
        <w:rPr>
          <w:rFonts w:hint="eastAsia" w:ascii="宋体" w:hAnsi="宋体"/>
          <w:bCs/>
          <w:szCs w:val="21"/>
        </w:rPr>
        <w:t>（一）</w:t>
      </w:r>
      <w:r>
        <w:rPr>
          <w:rFonts w:hint="eastAsia" w:ascii="宋体" w:hAnsi="宋体"/>
          <w:szCs w:val="21"/>
        </w:rPr>
        <w:t>本合同在甲乙双方法</w:t>
      </w:r>
      <w:r>
        <w:rPr>
          <w:rFonts w:hint="eastAsia" w:ascii="宋体" w:hAnsi="宋体"/>
          <w:szCs w:val="21"/>
          <w:lang w:eastAsia="zh-CN"/>
        </w:rPr>
        <w:t>定</w:t>
      </w:r>
      <w:r>
        <w:rPr>
          <w:rFonts w:hint="eastAsia" w:ascii="宋体" w:hAnsi="宋体"/>
          <w:szCs w:val="21"/>
        </w:rPr>
        <w:t>代表</w:t>
      </w:r>
      <w:r>
        <w:rPr>
          <w:rFonts w:hint="eastAsia" w:ascii="宋体" w:hAnsi="宋体"/>
          <w:szCs w:val="21"/>
          <w:lang w:eastAsia="zh-CN"/>
        </w:rPr>
        <w:t>人</w:t>
      </w:r>
      <w:r>
        <w:rPr>
          <w:rFonts w:hint="eastAsia" w:ascii="宋体" w:hAnsi="宋体"/>
          <w:szCs w:val="21"/>
        </w:rPr>
        <w:t>或其授权代表签字、加盖双方印章后生效。</w:t>
      </w:r>
      <w:r>
        <w:rPr>
          <w:rFonts w:hint="eastAsia"/>
          <w:szCs w:val="21"/>
        </w:rPr>
        <w:t>最后一方签署日期为本合同生效日。</w:t>
      </w:r>
    </w:p>
    <w:p>
      <w:pPr>
        <w:spacing w:line="360" w:lineRule="auto"/>
        <w:ind w:firstLine="420" w:firstLineChars="200"/>
        <w:rPr>
          <w:rFonts w:ascii="宋体" w:hAnsi="宋体"/>
          <w:szCs w:val="21"/>
        </w:rPr>
      </w:pPr>
      <w:r>
        <w:rPr>
          <w:rFonts w:hint="eastAsia" w:ascii="宋体" w:hAnsi="宋体"/>
          <w:szCs w:val="21"/>
        </w:rPr>
        <w:t>（二）本合同一式陆份，甲</w:t>
      </w:r>
      <w:r>
        <w:rPr>
          <w:rFonts w:hint="eastAsia" w:ascii="宋体" w:hAnsi="宋体"/>
          <w:szCs w:val="21"/>
          <w:lang w:val="en-US" w:eastAsia="zh-CN"/>
        </w:rPr>
        <w:t>乙方各持</w:t>
      </w:r>
      <w:r>
        <w:rPr>
          <w:rFonts w:hint="eastAsia" w:ascii="宋体" w:hAnsi="宋体"/>
          <w:szCs w:val="21"/>
        </w:rPr>
        <w:t>叁份，均具有同等法律效力。</w:t>
      </w:r>
    </w:p>
    <w:p>
      <w:pPr>
        <w:spacing w:line="360" w:lineRule="auto"/>
        <w:ind w:firstLine="424" w:firstLineChars="202"/>
        <w:rPr>
          <w:rFonts w:ascii="宋体" w:hAnsi="宋体"/>
          <w:color w:val="000000"/>
          <w:szCs w:val="21"/>
        </w:rPr>
      </w:pPr>
      <w:r>
        <w:rPr>
          <w:rFonts w:hint="eastAsia" w:ascii="宋体" w:hAnsi="宋体"/>
          <w:color w:val="000000"/>
          <w:szCs w:val="21"/>
        </w:rPr>
        <w:t>（三）本合同附件为本合同不可分割的组成部分，与合同正文具有同等法律效力。</w:t>
      </w:r>
    </w:p>
    <w:p>
      <w:pPr>
        <w:spacing w:line="360" w:lineRule="auto"/>
        <w:ind w:firstLine="420" w:firstLineChars="200"/>
        <w:rPr>
          <w:rFonts w:hint="eastAsia" w:ascii="宋体" w:hAnsi="宋体"/>
          <w:bCs/>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甲方（盖章）：                                 乙方（盖章）：</w:t>
      </w:r>
    </w:p>
    <w:p>
      <w:pPr>
        <w:spacing w:line="360" w:lineRule="auto"/>
        <w:rPr>
          <w:rFonts w:ascii="宋体" w:hAnsi="宋体"/>
          <w:szCs w:val="21"/>
        </w:rPr>
      </w:pPr>
      <w:r>
        <w:rPr>
          <w:rFonts w:hint="eastAsia" w:ascii="宋体" w:hAnsi="宋体"/>
          <w:b/>
          <w:szCs w:val="21"/>
        </w:rPr>
        <w:t xml:space="preserve">法定代表人或其授权代表：                      法定代表人或其授权代表：     </w:t>
      </w:r>
    </w:p>
    <w:p>
      <w:pPr>
        <w:spacing w:line="360" w:lineRule="auto"/>
        <w:rPr>
          <w:rFonts w:hint="eastAsia" w:ascii="宋体" w:hAnsi="宋体"/>
          <w:szCs w:val="21"/>
        </w:rPr>
      </w:pPr>
      <w:r>
        <w:rPr>
          <w:rFonts w:hint="eastAsia" w:ascii="宋体" w:hAnsi="宋体"/>
          <w:szCs w:val="21"/>
        </w:rPr>
        <w:t xml:space="preserve">签定日期：        年     月    日             签定日期：        年     月     日  </w:t>
      </w:r>
    </w:p>
    <w:p>
      <w:pPr>
        <w:spacing w:line="360" w:lineRule="auto"/>
        <w:rPr>
          <w:rFonts w:ascii="宋体" w:hAnsi="宋体"/>
          <w:szCs w:val="21"/>
        </w:rPr>
        <w:sectPr>
          <w:footerReference r:id="rId18" w:type="default"/>
          <w:pgSz w:w="11907" w:h="16840"/>
          <w:pgMar w:top="1134" w:right="1134" w:bottom="1134" w:left="1134" w:header="567" w:footer="567" w:gutter="0"/>
          <w:cols w:space="720" w:num="1"/>
          <w:docGrid w:type="linesAndChars" w:linePitch="312" w:charSpace="0"/>
        </w:sectPr>
      </w:pPr>
    </w:p>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p>
    <w:p>
      <w:pPr>
        <w:jc w:val="center"/>
        <w:outlineLvl w:val="0"/>
        <w:rPr>
          <w:rFonts w:hint="eastAsia" w:eastAsia="黑体"/>
          <w:b/>
          <w:sz w:val="52"/>
        </w:rPr>
      </w:pPr>
      <w:r>
        <w:rPr>
          <w:rFonts w:hint="eastAsia" w:eastAsia="黑体"/>
          <w:b/>
          <w:sz w:val="52"/>
        </w:rPr>
        <w:t>第四部分</w:t>
      </w:r>
    </w:p>
    <w:p>
      <w:pPr>
        <w:jc w:val="left"/>
        <w:rPr>
          <w:rFonts w:eastAsia="黑体"/>
          <w:b/>
          <w:sz w:val="52"/>
        </w:rPr>
      </w:pPr>
    </w:p>
    <w:p>
      <w:pPr>
        <w:jc w:val="left"/>
        <w:rPr>
          <w:rFonts w:eastAsia="黑体"/>
          <w:b/>
          <w:sz w:val="52"/>
        </w:rPr>
      </w:pPr>
    </w:p>
    <w:p>
      <w:pPr>
        <w:jc w:val="center"/>
        <w:rPr>
          <w:rFonts w:eastAsia="黑体"/>
          <w:b/>
          <w:sz w:val="52"/>
        </w:rPr>
      </w:pPr>
      <w:r>
        <w:rPr>
          <w:rFonts w:hint="eastAsia" w:eastAsia="黑体"/>
          <w:b/>
          <w:sz w:val="52"/>
        </w:rPr>
        <w:t>项目报价文件格式</w:t>
      </w:r>
    </w:p>
    <w:p>
      <w:pPr>
        <w:jc w:val="center"/>
        <w:rPr>
          <w:rFonts w:eastAsia="黑体"/>
          <w:b/>
        </w:rPr>
      </w:pPr>
    </w:p>
    <w:p>
      <w:pPr>
        <w:jc w:val="center"/>
        <w:rPr>
          <w:rFonts w:hint="eastAsia"/>
          <w:b/>
          <w:sz w:val="44"/>
        </w:rPr>
      </w:pPr>
    </w:p>
    <w:p>
      <w:pPr>
        <w:pStyle w:val="3"/>
        <w:snapToGrid w:val="0"/>
        <w:spacing w:before="240" w:after="240" w:line="240" w:lineRule="auto"/>
        <w:jc w:val="left"/>
        <w:rPr>
          <w:rFonts w:ascii="宋体" w:hAnsi="宋体"/>
          <w:sz w:val="24"/>
        </w:rPr>
      </w:pPr>
      <w:bookmarkStart w:id="59" w:name="_Toc22149480"/>
      <w:bookmarkStart w:id="60" w:name="_Toc187235503"/>
      <w:bookmarkStart w:id="61" w:name="_Toc41125554"/>
      <w:bookmarkStart w:id="62" w:name="_Toc49317161"/>
      <w:bookmarkStart w:id="63" w:name="_Toc272229620"/>
      <w:bookmarkStart w:id="64" w:name="_Toc353536760"/>
      <w:bookmarkStart w:id="65" w:name="_Toc237246981"/>
      <w:bookmarkStart w:id="66" w:name="_Toc41129151"/>
      <w:bookmarkStart w:id="67" w:name="_Toc41208028"/>
      <w:bookmarkStart w:id="68" w:name="_Toc98040837"/>
      <w:bookmarkStart w:id="69" w:name="_Toc520148232"/>
      <w:r>
        <w:rPr>
          <w:rFonts w:hint="eastAsia" w:ascii="宋体" w:hAnsi="宋体"/>
          <w:sz w:val="24"/>
        </w:rPr>
        <w:t>附录</w:t>
      </w:r>
      <w:r>
        <w:rPr>
          <w:rFonts w:ascii="宋体" w:hAnsi="宋体"/>
          <w:sz w:val="24"/>
        </w:rPr>
        <w:t>1</w:t>
      </w:r>
      <w:bookmarkEnd w:id="59"/>
      <w:r>
        <w:rPr>
          <w:rFonts w:hint="eastAsia" w:ascii="宋体" w:hAnsi="宋体"/>
          <w:sz w:val="24"/>
        </w:rPr>
        <w:tab/>
      </w:r>
      <w:bookmarkEnd w:id="60"/>
      <w:bookmarkEnd w:id="61"/>
      <w:bookmarkEnd w:id="62"/>
      <w:bookmarkEnd w:id="63"/>
      <w:bookmarkEnd w:id="64"/>
      <w:bookmarkEnd w:id="65"/>
      <w:bookmarkEnd w:id="66"/>
      <w:bookmarkEnd w:id="67"/>
      <w:bookmarkEnd w:id="68"/>
      <w:bookmarkEnd w:id="69"/>
    </w:p>
    <w:p>
      <w:pPr>
        <w:jc w:val="center"/>
        <w:rPr>
          <w:b/>
          <w:sz w:val="32"/>
        </w:rPr>
      </w:pPr>
      <w:bookmarkStart w:id="70" w:name="_Toc23795_WPSOffice_Level1"/>
      <w:r>
        <w:rPr>
          <w:rFonts w:hint="eastAsia"/>
          <w:b/>
          <w:sz w:val="32"/>
        </w:rPr>
        <w:t>供 应 商 登 记 函</w:t>
      </w:r>
      <w:bookmarkEnd w:id="70"/>
    </w:p>
    <w:p>
      <w:pPr>
        <w:widowControl/>
        <w:spacing w:line="360" w:lineRule="auto"/>
        <w:jc w:val="left"/>
        <w:rPr>
          <w:rFonts w:ascii="宋体" w:hAnsi="宋体" w:cs="宋体"/>
          <w:color w:val="000000"/>
          <w:kern w:val="0"/>
          <w:szCs w:val="21"/>
        </w:rPr>
      </w:pPr>
      <w:bookmarkStart w:id="71" w:name="_Toc133028962"/>
      <w:r>
        <w:rPr>
          <w:rFonts w:hint="eastAsia" w:ascii="宋体" w:hAnsi="宋体"/>
          <w:szCs w:val="21"/>
        </w:rPr>
        <w:t>广东省机场管理集团有限公司</w:t>
      </w:r>
      <w:r>
        <w:rPr>
          <w:rFonts w:hint="eastAsia" w:ascii="宋体" w:hAnsi="宋体" w:cs="宋体"/>
          <w:color w:val="000000"/>
          <w:kern w:val="0"/>
          <w:szCs w:val="21"/>
        </w:rPr>
        <w:t>:</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我单位报名参加</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r>
        <w:rPr>
          <w:rFonts w:hint="eastAsia" w:ascii="宋体" w:hAnsi="宋体" w:cs="宋体"/>
          <w:color w:val="000000"/>
          <w:kern w:val="0"/>
          <w:szCs w:val="21"/>
        </w:rPr>
        <w:t>的报价，严格遵守有关规定，并按采购文件的规定，准时报送报价文件。</w:t>
      </w:r>
    </w:p>
    <w:p>
      <w:pPr>
        <w:widowControl/>
        <w:spacing w:line="360" w:lineRule="auto"/>
        <w:jc w:val="center"/>
        <w:rPr>
          <w:rFonts w:ascii="宋体" w:hAnsi="宋体" w:cs="宋体"/>
          <w:color w:val="000000"/>
          <w:kern w:val="0"/>
          <w:szCs w:val="21"/>
        </w:rPr>
      </w:pPr>
    </w:p>
    <w:p>
      <w:pPr>
        <w:widowControl/>
        <w:spacing w:line="360" w:lineRule="auto"/>
        <w:jc w:val="center"/>
        <w:rPr>
          <w:rFonts w:ascii="宋体" w:hAnsi="宋体" w:cs="宋体"/>
          <w:color w:val="000000"/>
          <w:kern w:val="0"/>
          <w:szCs w:val="21"/>
        </w:rPr>
      </w:pPr>
    </w:p>
    <w:p>
      <w:pPr>
        <w:widowControl/>
        <w:ind w:right="84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2" w:name="_Toc14851_WPSOffice_Level1"/>
      <w:r>
        <w:rPr>
          <w:rFonts w:hint="eastAsia"/>
        </w:rPr>
        <w:t>供应商名称</w:t>
      </w:r>
      <w:r>
        <w:rPr>
          <w:rFonts w:hint="eastAsia" w:ascii="宋体" w:hAnsi="宋体" w:cs="宋体"/>
          <w:color w:val="000000"/>
          <w:kern w:val="0"/>
          <w:szCs w:val="21"/>
        </w:rPr>
        <w:t>（公章）：</w:t>
      </w:r>
      <w:bookmarkEnd w:id="72"/>
      <w:r>
        <w:rPr>
          <w:rFonts w:hint="eastAsia" w:ascii="宋体" w:hAnsi="宋体" w:cs="宋体"/>
          <w:color w:val="000000"/>
          <w:kern w:val="0"/>
          <w:szCs w:val="21"/>
        </w:rPr>
        <w:t xml:space="preserve">    </w:t>
      </w:r>
    </w:p>
    <w:p>
      <w:pPr>
        <w:widowControl/>
        <w:ind w:right="84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ind w:right="2310"/>
        <w:jc w:val="right"/>
        <w:rPr>
          <w:rFonts w:hint="eastAsia" w:ascii="宋体" w:hAnsi="宋体" w:cs="宋体"/>
          <w:color w:val="000000"/>
          <w:kern w:val="0"/>
          <w:szCs w:val="21"/>
        </w:rPr>
      </w:pPr>
      <w:r>
        <w:rPr>
          <w:rFonts w:hint="eastAsia" w:ascii="宋体" w:hAnsi="宋体" w:cs="宋体"/>
          <w:color w:val="000000"/>
          <w:kern w:val="0"/>
          <w:szCs w:val="21"/>
        </w:rPr>
        <w:t xml:space="preserve">法定代表人或授权代表签字：            </w:t>
      </w:r>
    </w:p>
    <w:p>
      <w:pPr>
        <w:widowControl/>
        <w:ind w:right="840" w:firstLine="420" w:firstLineChars="200"/>
        <w:rPr>
          <w:rFonts w:hint="eastAsia" w:ascii="宋体" w:hAnsi="宋体" w:cs="宋体"/>
          <w:color w:val="000000"/>
          <w:kern w:val="0"/>
          <w:szCs w:val="21"/>
        </w:rPr>
      </w:pPr>
    </w:p>
    <w:p>
      <w:pPr>
        <w:widowControl/>
        <w:ind w:right="840" w:firstLine="5250" w:firstLineChars="2500"/>
        <w:rPr>
          <w:rFonts w:ascii="宋体" w:hAnsi="宋体" w:cs="宋体"/>
          <w:color w:val="000000"/>
          <w:kern w:val="0"/>
          <w:szCs w:val="21"/>
        </w:rPr>
      </w:pPr>
      <w:r>
        <w:rPr>
          <w:rFonts w:hint="eastAsia" w:ascii="宋体" w:hAnsi="宋体" w:cs="宋体"/>
          <w:color w:val="000000"/>
          <w:kern w:val="0"/>
          <w:szCs w:val="21"/>
        </w:rPr>
        <w:t xml:space="preserve">年    月    日             </w:t>
      </w:r>
    </w:p>
    <w:p>
      <w:pPr>
        <w:ind w:right="210"/>
        <w:rPr>
          <w:sz w:val="28"/>
          <w:szCs w:val="28"/>
        </w:rPr>
      </w:pPr>
    </w:p>
    <w:p>
      <w:pPr>
        <w:widowControl/>
        <w:ind w:right="210" w:firstLine="562"/>
        <w:jc w:val="center"/>
        <w:rPr>
          <w:rFonts w:ascii="宋体" w:hAnsi="宋体" w:cs="宋体"/>
          <w:color w:val="000000"/>
          <w:kern w:val="0"/>
          <w:sz w:val="28"/>
          <w:szCs w:val="28"/>
        </w:rPr>
      </w:pPr>
      <w:bookmarkStart w:id="73" w:name="_Toc25510_WPSOffice_Level2"/>
      <w:r>
        <w:rPr>
          <w:rFonts w:hint="eastAsia" w:ascii="宋体" w:hAnsi="宋体" w:cs="宋体"/>
          <w:b/>
          <w:bCs/>
          <w:color w:val="000000"/>
          <w:kern w:val="0"/>
          <w:sz w:val="28"/>
          <w:szCs w:val="28"/>
        </w:rPr>
        <w:t>报价企业概况表</w:t>
      </w:r>
      <w:bookmarkEnd w:id="73"/>
    </w:p>
    <w:tbl>
      <w:tblPr>
        <w:tblStyle w:val="14"/>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营业执照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r>
              <w:rPr>
                <w:rFonts w:hint="eastAsia" w:ascii="宋体" w:hAnsi="宋体" w:cs="宋体"/>
                <w:color w:val="000000"/>
                <w:kern w:val="0"/>
                <w:szCs w:val="21"/>
              </w:rPr>
              <w:t>1、编 号</w:t>
            </w: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2、营业范围</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r>
              <w:rPr>
                <w:rFonts w:hint="eastAsia" w:ascii="宋体" w:hAnsi="宋体" w:cs="宋体"/>
                <w:color w:val="000000"/>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现在职工</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法人代表</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ind w:right="28" w:firstLine="48" w:firstLineChars="23"/>
              <w:jc w:val="center"/>
              <w:rPr>
                <w:rFonts w:ascii="宋体" w:hAnsi="宋体" w:cs="宋体"/>
                <w:color w:val="000000"/>
                <w:kern w:val="0"/>
                <w:szCs w:val="21"/>
              </w:rPr>
            </w:pPr>
          </w:p>
        </w:tc>
        <w:tc>
          <w:tcPr>
            <w:tcW w:w="2631"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2601"/>
              </w:tabs>
              <w:ind w:right="210" w:firstLine="81" w:firstLineChars="39"/>
              <w:jc w:val="center"/>
              <w:rPr>
                <w:rFonts w:ascii="宋体" w:hAnsi="宋体" w:cs="宋体"/>
                <w:color w:val="000000"/>
                <w:kern w:val="0"/>
                <w:szCs w:val="21"/>
              </w:rPr>
            </w:pPr>
            <w:r>
              <w:rPr>
                <w:rFonts w:hint="eastAsia" w:ascii="宋体" w:hAnsi="宋体" w:cs="宋体"/>
                <w:color w:val="000000"/>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noWrap w:val="0"/>
            <w:vAlign w:val="center"/>
          </w:tcPr>
          <w:p>
            <w:pPr>
              <w:widowControl/>
              <w:ind w:firstLine="2" w:firstLineChars="1"/>
              <w:jc w:val="center"/>
              <w:rPr>
                <w:rFonts w:ascii="宋体" w:hAnsi="宋体"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noWrap w:val="0"/>
            <w:vAlign w:val="center"/>
          </w:tcPr>
          <w:p>
            <w:pPr>
              <w:widowControl/>
              <w:tabs>
                <w:tab w:val="left" w:pos="1339"/>
              </w:tabs>
              <w:ind w:right="210"/>
              <w:jc w:val="center"/>
              <w:rPr>
                <w:rFonts w:ascii="宋体" w:hAnsi="宋体" w:cs="宋体"/>
                <w:color w:val="000000"/>
                <w:kern w:val="0"/>
                <w:szCs w:val="21"/>
              </w:rPr>
            </w:pPr>
            <w:r>
              <w:rPr>
                <w:rFonts w:hint="eastAsia" w:ascii="宋体" w:hAnsi="宋体" w:cs="宋体"/>
                <w:color w:val="000000"/>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noWrap w:val="0"/>
            <w:vAlign w:val="center"/>
          </w:tcPr>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 xml:space="preserve">手 </w:t>
            </w:r>
            <w:r>
              <w:rPr>
                <w:rFonts w:ascii="宋体" w:hAnsi="宋体" w:cs="宋体"/>
                <w:color w:val="000000"/>
                <w:kern w:val="0"/>
                <w:szCs w:val="21"/>
              </w:rPr>
              <w:t xml:space="preserve">   </w:t>
            </w:r>
            <w:r>
              <w:rPr>
                <w:rFonts w:hint="eastAsia" w:ascii="宋体" w:hAnsi="宋体" w:cs="宋体"/>
                <w:color w:val="000000"/>
                <w:kern w:val="0"/>
                <w:szCs w:val="21"/>
              </w:rPr>
              <w:t>机：       传  真：</w:t>
            </w:r>
          </w:p>
          <w:p>
            <w:pPr>
              <w:widowControl/>
              <w:ind w:right="210" w:firstLine="420"/>
              <w:jc w:val="left"/>
              <w:rPr>
                <w:rFonts w:ascii="宋体" w:hAnsi="宋体" w:cs="宋体"/>
                <w:color w:val="000000"/>
                <w:kern w:val="0"/>
                <w:szCs w:val="21"/>
              </w:rPr>
            </w:pPr>
            <w:r>
              <w:rPr>
                <w:rFonts w:hint="eastAsia" w:ascii="宋体" w:hAnsi="宋体" w:cs="宋体"/>
                <w:color w:val="000000"/>
                <w:kern w:val="0"/>
                <w:szCs w:val="21"/>
              </w:rPr>
              <w:t>邮政编码：          E-mail：</w:t>
            </w:r>
          </w:p>
        </w:tc>
      </w:tr>
    </w:tbl>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p>
    <w:p>
      <w:pPr>
        <w:widowControl/>
        <w:ind w:right="168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4" w:name="_Toc31091_WPSOffice_Level1"/>
      <w:r>
        <w:rPr>
          <w:rFonts w:hint="eastAsia" w:ascii="宋体" w:hAnsi="宋体" w:cs="宋体"/>
          <w:color w:val="000000"/>
          <w:kern w:val="0"/>
          <w:szCs w:val="21"/>
        </w:rPr>
        <w:t>供应</w:t>
      </w:r>
      <w:r>
        <w:rPr>
          <w:rFonts w:hint="eastAsia"/>
        </w:rPr>
        <w:t>商名称</w:t>
      </w:r>
      <w:r>
        <w:rPr>
          <w:rFonts w:hint="eastAsia" w:ascii="宋体" w:hAnsi="宋体" w:cs="宋体"/>
          <w:color w:val="000000"/>
          <w:kern w:val="0"/>
          <w:szCs w:val="21"/>
        </w:rPr>
        <w:t>（章）：</w:t>
      </w:r>
      <w:bookmarkEnd w:id="74"/>
      <w:r>
        <w:rPr>
          <w:rFonts w:hint="eastAsia" w:ascii="宋体" w:hAnsi="宋体" w:cs="宋体"/>
          <w:color w:val="000000"/>
          <w:kern w:val="0"/>
          <w:szCs w:val="21"/>
        </w:rPr>
        <w:t xml:space="preserve">  </w:t>
      </w:r>
    </w:p>
    <w:p>
      <w:pPr>
        <w:widowControl/>
        <w:ind w:right="1680" w:firstLine="560"/>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1050" w:firstLine="560"/>
        <w:jc w:val="center"/>
        <w:rPr>
          <w:rFonts w:hint="eastAsia" w:ascii="宋体" w:hAnsi="宋体" w:cs="宋体"/>
          <w:color w:val="000000"/>
          <w:kern w:val="0"/>
          <w:szCs w:val="21"/>
        </w:rPr>
      </w:pPr>
      <w:r>
        <w:rPr>
          <w:rFonts w:hint="eastAsia" w:ascii="宋体" w:hAnsi="宋体" w:cs="宋体"/>
          <w:color w:val="000000"/>
          <w:kern w:val="0"/>
          <w:szCs w:val="21"/>
        </w:rPr>
        <w:t xml:space="preserve">                                 </w:t>
      </w:r>
      <w:bookmarkStart w:id="75" w:name="_Toc16478_WPSOffice_Level1"/>
      <w:r>
        <w:rPr>
          <w:rFonts w:hint="eastAsia" w:ascii="宋体" w:hAnsi="宋体" w:cs="宋体"/>
          <w:color w:val="000000"/>
          <w:kern w:val="0"/>
          <w:szCs w:val="21"/>
        </w:rPr>
        <w:t>法定代表人或授权代表签字：</w:t>
      </w:r>
      <w:bookmarkEnd w:id="75"/>
      <w:r>
        <w:rPr>
          <w:rFonts w:hint="eastAsia" w:ascii="宋体" w:hAnsi="宋体" w:cs="宋体"/>
          <w:color w:val="000000"/>
          <w:kern w:val="0"/>
          <w:szCs w:val="21"/>
        </w:rPr>
        <w:t xml:space="preserve">     </w:t>
      </w:r>
    </w:p>
    <w:p>
      <w:pPr>
        <w:widowControl/>
        <w:wordWrap w:val="0"/>
        <w:ind w:right="1050" w:firstLine="4830" w:firstLineChars="2300"/>
        <w:rPr>
          <w:rFonts w:hint="eastAsia" w:ascii="宋体" w:hAnsi="宋体" w:cs="宋体"/>
          <w:color w:val="000000"/>
          <w:kern w:val="0"/>
          <w:szCs w:val="21"/>
        </w:rPr>
      </w:pPr>
    </w:p>
    <w:p>
      <w:pPr>
        <w:widowControl/>
        <w:wordWrap w:val="0"/>
        <w:ind w:right="1050" w:firstLine="4830" w:firstLineChars="2300"/>
        <w:rPr>
          <w:rFonts w:hint="eastAsia" w:ascii="宋体" w:hAnsi="宋体" w:cs="宋体"/>
          <w:color w:val="000000"/>
          <w:kern w:val="0"/>
          <w:szCs w:val="21"/>
        </w:rPr>
      </w:pPr>
      <w:r>
        <w:rPr>
          <w:rFonts w:hint="eastAsia" w:ascii="宋体" w:hAnsi="宋体" w:cs="宋体"/>
          <w:color w:val="000000"/>
          <w:kern w:val="0"/>
          <w:szCs w:val="21"/>
        </w:rPr>
        <w:t xml:space="preserve">日期：  年    月    日 </w:t>
      </w:r>
      <w:bookmarkEnd w:id="71"/>
    </w:p>
    <w:p>
      <w:pPr>
        <w:pStyle w:val="3"/>
        <w:snapToGrid w:val="0"/>
        <w:spacing w:before="240" w:after="240" w:line="240" w:lineRule="auto"/>
        <w:jc w:val="left"/>
        <w:rPr>
          <w:rFonts w:ascii="宋体" w:hAnsi="宋体"/>
          <w:sz w:val="24"/>
        </w:rPr>
      </w:pPr>
      <w:bookmarkStart w:id="76" w:name="_Toc22149481"/>
      <w:r>
        <w:rPr>
          <w:rFonts w:hint="eastAsia" w:ascii="宋体" w:hAnsi="宋体"/>
          <w:sz w:val="24"/>
        </w:rPr>
        <w:t>附录</w:t>
      </w:r>
      <w:r>
        <w:rPr>
          <w:rFonts w:ascii="宋体" w:hAnsi="宋体"/>
          <w:sz w:val="24"/>
        </w:rPr>
        <w:t>2</w:t>
      </w:r>
      <w:bookmarkEnd w:id="76"/>
    </w:p>
    <w:p>
      <w:pPr>
        <w:rPr>
          <w:rFonts w:hint="eastAsia" w:ascii="宋体" w:hAnsi="宋体"/>
          <w:sz w:val="24"/>
        </w:rPr>
      </w:pPr>
      <w:r>
        <w:rPr>
          <w:rFonts w:hint="eastAsia" w:ascii="宋体" w:hAnsi="宋体"/>
          <w:sz w:val="24"/>
        </w:rPr>
        <w:t>附录2-</w:t>
      </w:r>
      <w:r>
        <w:rPr>
          <w:rFonts w:ascii="宋体" w:hAnsi="宋体"/>
          <w:sz w:val="24"/>
        </w:rPr>
        <w:t>1</w:t>
      </w:r>
    </w:p>
    <w:p>
      <w:pPr>
        <w:widowControl/>
        <w:tabs>
          <w:tab w:val="left" w:pos="142"/>
        </w:tabs>
        <w:autoSpaceDE w:val="0"/>
        <w:autoSpaceDN w:val="0"/>
        <w:jc w:val="center"/>
        <w:textAlignment w:val="bottom"/>
        <w:rPr>
          <w:rFonts w:hint="eastAsia" w:ascii="宋体" w:hAnsi="宋体"/>
          <w:b/>
          <w:sz w:val="32"/>
          <w:szCs w:val="32"/>
        </w:rPr>
      </w:pPr>
      <w:r>
        <w:rPr>
          <w:rFonts w:hint="eastAsia" w:ascii="宋体" w:hAnsi="宋体"/>
          <w:b/>
          <w:sz w:val="32"/>
          <w:szCs w:val="32"/>
        </w:rPr>
        <w:t>报 价 函</w:t>
      </w:r>
    </w:p>
    <w:p>
      <w:pPr>
        <w:widowControl/>
        <w:tabs>
          <w:tab w:val="left" w:pos="142"/>
        </w:tabs>
        <w:autoSpaceDE w:val="0"/>
        <w:autoSpaceDN w:val="0"/>
        <w:jc w:val="center"/>
        <w:textAlignment w:val="bottom"/>
        <w:rPr>
          <w:rFonts w:hint="eastAsia" w:ascii="宋体" w:hAnsi="宋体"/>
          <w:sz w:val="36"/>
        </w:rPr>
      </w:pPr>
    </w:p>
    <w:p>
      <w:pPr>
        <w:widowControl/>
        <w:tabs>
          <w:tab w:val="left" w:pos="142"/>
        </w:tabs>
        <w:autoSpaceDE w:val="0"/>
        <w:autoSpaceDN w:val="0"/>
        <w:textAlignment w:val="bottom"/>
        <w:rPr>
          <w:rFonts w:hint="eastAsia" w:eastAsia="宋体"/>
          <w:lang w:eastAsia="zh-CN"/>
        </w:rPr>
      </w:pPr>
      <w:r>
        <w:rPr>
          <w:rFonts w:hint="eastAsia"/>
        </w:rPr>
        <w:t>项目名称：</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p>
    <w:p>
      <w:pPr>
        <w:widowControl/>
        <w:tabs>
          <w:tab w:val="left" w:pos="142"/>
        </w:tabs>
        <w:autoSpaceDE w:val="0"/>
        <w:autoSpaceDN w:val="0"/>
        <w:textAlignment w:val="bottom"/>
      </w:pPr>
    </w:p>
    <w:p>
      <w:pPr>
        <w:pStyle w:val="9"/>
        <w:spacing w:line="288" w:lineRule="auto"/>
        <w:rPr>
          <w:rFonts w:hint="eastAsia" w:ascii="Times New Roman" w:hAnsi="Times New Roman"/>
          <w:u w:val="single"/>
        </w:rPr>
      </w:pPr>
      <w:r>
        <w:rPr>
          <w:rFonts w:hint="eastAsia" w:ascii="Times New Roman" w:hAnsi="Times New Roman"/>
        </w:rPr>
        <w:t>致</w:t>
      </w:r>
      <w:r>
        <w:rPr>
          <w:rFonts w:ascii="Times New Roman" w:hAnsi="Times New Roman"/>
        </w:rPr>
        <w:t>:</w:t>
      </w:r>
      <w:r>
        <w:rPr>
          <w:rFonts w:ascii="Times New Roman" w:hAnsi="Times New Roman"/>
          <w:u w:val="single"/>
        </w:rPr>
        <w:t xml:space="preserve"> </w:t>
      </w:r>
      <w:r>
        <w:rPr>
          <w:rFonts w:hint="eastAsia" w:ascii="Times New Roman" w:hAnsi="Times New Roman"/>
          <w:u w:val="single"/>
        </w:rPr>
        <w:t xml:space="preserve"> </w:t>
      </w:r>
      <w:r>
        <w:rPr>
          <w:rFonts w:hint="eastAsia" w:hAnsi="宋体"/>
          <w:u w:val="single"/>
        </w:rPr>
        <w:t>广东省机场管理集团有限公司</w:t>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pPr>
      <w:r>
        <w:tab/>
      </w:r>
      <w:r>
        <w:t xml:space="preserve">   </w:t>
      </w:r>
      <w:r>
        <w:rPr>
          <w:rFonts w:hint="eastAsia"/>
        </w:rPr>
        <w:t xml:space="preserve">  根据贵方为</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r>
        <w:rPr>
          <w:rFonts w:hint="eastAsia"/>
        </w:rPr>
        <w:t>采购的公告，作为经供应商正式授权代表供应商</w:t>
      </w:r>
      <w:r>
        <w:t>_______</w:t>
      </w:r>
      <w:r>
        <w:rPr>
          <w:rFonts w:hint="eastAsia"/>
          <w:u w:val="single"/>
        </w:rPr>
        <w:t xml:space="preserve">                       </w:t>
      </w:r>
      <w:r>
        <w:t>________(</w:t>
      </w:r>
      <w:r>
        <w:rPr>
          <w:rFonts w:hint="eastAsia"/>
        </w:rPr>
        <w:t>供应商名称和地址</w:t>
      </w:r>
      <w:r>
        <w:t>)</w:t>
      </w:r>
      <w:r>
        <w:rPr>
          <w:rFonts w:hint="eastAsia"/>
        </w:rPr>
        <w:t>的报价文件书签名方代表</w:t>
      </w:r>
      <w:r>
        <w:t>__________</w:t>
      </w:r>
      <w:r>
        <w:rPr>
          <w:rFonts w:hint="eastAsia"/>
        </w:rPr>
        <w:t>_</w:t>
      </w:r>
      <w:r>
        <w:t>__________(</w:t>
      </w:r>
      <w:r>
        <w:rPr>
          <w:rFonts w:hint="eastAsia"/>
        </w:rPr>
        <w:t>签名人全名</w:t>
      </w:r>
      <w:r>
        <w:rPr>
          <w:rFonts w:hint="eastAsia"/>
          <w:lang w:eastAsia="zh-CN"/>
        </w:rPr>
        <w:t>，</w:t>
      </w:r>
      <w:r>
        <w:rPr>
          <w:rFonts w:hint="eastAsia"/>
        </w:rPr>
        <w:t>职务</w:t>
      </w:r>
      <w:r>
        <w:t>)</w:t>
      </w:r>
      <w:r>
        <w:rPr>
          <w:rFonts w:hint="eastAsia"/>
          <w:lang w:eastAsia="zh-CN"/>
        </w:rPr>
        <w:t>，</w:t>
      </w:r>
      <w:r>
        <w:rPr>
          <w:rFonts w:hint="eastAsia"/>
        </w:rPr>
        <w:t>在此提交项目报价文件</w:t>
      </w:r>
      <w:r>
        <w:rPr>
          <w:rFonts w:hint="eastAsia"/>
          <w:lang w:eastAsia="zh-CN"/>
        </w:rPr>
        <w:t>，</w:t>
      </w:r>
      <w:r>
        <w:rPr>
          <w:rFonts w:hint="eastAsia"/>
        </w:rPr>
        <w:t>正本一份</w:t>
      </w:r>
      <w:r>
        <w:rPr>
          <w:rFonts w:hint="eastAsia"/>
          <w:lang w:eastAsia="zh-CN"/>
        </w:rPr>
        <w:t>，</w:t>
      </w:r>
      <w:r>
        <w:rPr>
          <w:rFonts w:hint="eastAsia"/>
        </w:rPr>
        <w:t>副本两份。</w:t>
      </w:r>
      <w:r>
        <w:t xml:space="preserve"> </w:t>
      </w:r>
    </w:p>
    <w:p>
      <w:pPr>
        <w:widowControl/>
        <w:tabs>
          <w:tab w:val="left" w:pos="142"/>
        </w:tabs>
        <w:autoSpaceDE w:val="0"/>
        <w:autoSpaceDN w:val="0"/>
        <w:spacing w:line="288" w:lineRule="auto"/>
        <w:textAlignment w:val="bottom"/>
        <w:rPr>
          <w:rFonts w:hint="eastAsia" w:eastAsia="宋体"/>
          <w:lang w:eastAsia="zh-CN"/>
        </w:rPr>
      </w:pPr>
      <w:r>
        <w:t xml:space="preserve">    </w:t>
      </w:r>
      <w:r>
        <w:rPr>
          <w:rFonts w:hint="eastAsia"/>
        </w:rPr>
        <w:t xml:space="preserve">    签字人代表以此函申明并同意</w:t>
      </w:r>
      <w:r>
        <w:rPr>
          <w:rFonts w:hint="eastAsia"/>
          <w:lang w:eastAsia="zh-CN"/>
        </w:rPr>
        <w:t>：</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对随附报价表所规定的采购内容的总价为含税价人民币</w:t>
      </w:r>
      <w:r>
        <w:t>___</w:t>
      </w:r>
      <w:r>
        <w:rPr>
          <w:rFonts w:hint="eastAsia"/>
        </w:rPr>
        <w:t>______</w:t>
      </w:r>
      <w:r>
        <w:t>_</w:t>
      </w:r>
      <w:r>
        <w:rPr>
          <w:rFonts w:hint="eastAsia"/>
        </w:rPr>
        <w:t>元（大写：</w:t>
      </w:r>
      <w:r>
        <w:t xml:space="preserve"> ________</w:t>
      </w:r>
      <w:r>
        <w:rPr>
          <w:rFonts w:hint="eastAsia"/>
        </w:rPr>
        <w:t>元）。</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本供应商将承担按照采购文件的所有条款履行合同的责任和义务。</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本供应商已详尽研究了所有采购文件包括修正文</w:t>
      </w:r>
      <w:r>
        <w:t>(</w:t>
      </w:r>
      <w:r>
        <w:rPr>
          <w:rFonts w:hint="eastAsia"/>
        </w:rPr>
        <w:t>如果有</w:t>
      </w:r>
      <w:r>
        <w:t xml:space="preserve">), </w:t>
      </w:r>
      <w:r>
        <w:rPr>
          <w:rFonts w:hint="eastAsia"/>
        </w:rPr>
        <w:t>所有已提供的参考资料以及有关附件并完全明白</w:t>
      </w:r>
      <w:r>
        <w:t xml:space="preserve">, </w:t>
      </w:r>
      <w:r>
        <w:rPr>
          <w:rFonts w:hint="eastAsia"/>
        </w:rPr>
        <w:t>本供应商必须放弃在此方面提出含糊意见或误解的一切权力。</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本供应商之报价文件有效期为自报价之日起</w:t>
      </w:r>
      <w:r>
        <w:rPr>
          <w:rFonts w:hint="eastAsia"/>
          <w:u w:val="single"/>
        </w:rPr>
        <w:t>90</w:t>
      </w:r>
      <w:r>
        <w:t xml:space="preserve"> </w:t>
      </w:r>
      <w:r>
        <w:rPr>
          <w:rFonts w:hint="eastAsia"/>
        </w:rPr>
        <w:t>个日历日。</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本供应商同意按照采购人可能提出的要求提供与其所递交报价文件有关的任何其它数据或信息和合同版本内容。</w:t>
      </w:r>
    </w:p>
    <w:p>
      <w:pPr>
        <w:widowControl/>
        <w:numPr>
          <w:ilvl w:val="0"/>
          <w:numId w:val="18"/>
        </w:numPr>
        <w:tabs>
          <w:tab w:val="left" w:pos="851"/>
        </w:tabs>
        <w:autoSpaceDE w:val="0"/>
        <w:autoSpaceDN w:val="0"/>
        <w:spacing w:line="288" w:lineRule="auto"/>
        <w:ind w:left="851" w:hanging="425"/>
        <w:jc w:val="left"/>
        <w:textAlignment w:val="bottom"/>
        <w:rPr>
          <w:rFonts w:hint="eastAsia"/>
        </w:rPr>
      </w:pPr>
      <w:r>
        <w:rPr>
          <w:rFonts w:hint="eastAsia"/>
        </w:rPr>
        <w:t>本供应商理解贵方不一定接受最低报价或任何贵方可能收到的报价文件。</w:t>
      </w:r>
    </w:p>
    <w:p>
      <w:pPr>
        <w:widowControl/>
        <w:tabs>
          <w:tab w:val="left" w:pos="142"/>
        </w:tabs>
        <w:autoSpaceDE w:val="0"/>
        <w:autoSpaceDN w:val="0"/>
        <w:spacing w:line="288" w:lineRule="auto"/>
        <w:textAlignment w:val="bottom"/>
      </w:pPr>
      <w:r>
        <w:t xml:space="preserve"> </w:t>
      </w:r>
      <w:r>
        <w:rPr>
          <w:rFonts w:hint="eastAsia"/>
        </w:rPr>
        <w:t xml:space="preserve">       本报价文件连同贵方成交通知书应构成对双方均有约束力的合同</w:t>
      </w:r>
      <w:r>
        <w:t xml:space="preserve">, </w:t>
      </w:r>
      <w:r>
        <w:rPr>
          <w:rFonts w:hint="eastAsia"/>
        </w:rPr>
        <w:t>直至正式合同编制完毕并生效。</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rPr>
      </w:pPr>
      <w:r>
        <w:rPr>
          <w:sz w:val="24"/>
        </w:rPr>
        <w:t xml:space="preserve">           </w:t>
      </w:r>
      <w:r>
        <w:rPr>
          <w:rFonts w:hint="eastAsia"/>
          <w:sz w:val="24"/>
        </w:rPr>
        <w:t>供应</w:t>
      </w:r>
      <w:r>
        <w:rPr>
          <w:rFonts w:hint="eastAsia"/>
        </w:rPr>
        <w:t xml:space="preserve">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r>
        <w:t xml:space="preserve">              </w:t>
      </w:r>
    </w:p>
    <w:p>
      <w:pPr>
        <w:widowControl/>
        <w:tabs>
          <w:tab w:val="left" w:pos="142"/>
        </w:tabs>
        <w:autoSpaceDE w:val="0"/>
        <w:autoSpaceDN w:val="0"/>
        <w:spacing w:line="288" w:lineRule="auto"/>
        <w:textAlignment w:val="bottom"/>
        <w:rPr>
          <w:rFonts w:hint="eastAsia"/>
          <w:u w:val="single"/>
        </w:rPr>
      </w:pPr>
      <w:r>
        <w:t xml:space="preserve">            </w:t>
      </w:r>
      <w:r>
        <w:rPr>
          <w:rFonts w:hint="eastAsia"/>
        </w:rPr>
        <w:t>供应商地址</w:t>
      </w:r>
      <w:r>
        <w:t xml:space="preserve"> </w:t>
      </w:r>
      <w:r>
        <w:rPr>
          <w:rFonts w:hint="eastAsia"/>
        </w:rPr>
        <w:t>：</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u w:val="single"/>
        </w:rPr>
      </w:pPr>
      <w:r>
        <w:t xml:space="preserve">             </w:t>
      </w: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rPr>
      </w:pPr>
      <w:r>
        <w:t xml:space="preserve">              </w:t>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rFonts w:hint="eastAsia"/>
        </w:rPr>
      </w:pPr>
      <w:r>
        <w:t xml:space="preserve">              </w:t>
      </w: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rPr>
      </w:pPr>
      <w:r>
        <w:t xml:space="preserve">               </w:t>
      </w:r>
    </w:p>
    <w:p>
      <w:pPr>
        <w:widowControl/>
        <w:tabs>
          <w:tab w:val="left" w:pos="142"/>
        </w:tabs>
        <w:autoSpaceDE w:val="0"/>
        <w:autoSpaceDN w:val="0"/>
        <w:spacing w:line="288" w:lineRule="auto"/>
        <w:textAlignment w:val="bottom"/>
        <w:rPr>
          <w:rFonts w:hint="eastAsia"/>
        </w:rPr>
      </w:pPr>
      <w:r>
        <w:rPr>
          <w:rFonts w:hint="eastAsia"/>
        </w:rPr>
        <w:tab/>
      </w:r>
      <w:r>
        <w:rPr>
          <w:rFonts w:hint="eastAsia"/>
        </w:rPr>
        <w:tab/>
      </w:r>
      <w:r>
        <w:rPr>
          <w:rFonts w:hint="eastAsia"/>
        </w:rPr>
        <w:t xml:space="preserve">      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pPr>
    </w:p>
    <w:p>
      <w:pPr>
        <w:widowControl/>
        <w:tabs>
          <w:tab w:val="left" w:pos="142"/>
        </w:tabs>
        <w:autoSpaceDE w:val="0"/>
        <w:autoSpaceDN w:val="0"/>
        <w:spacing w:line="288" w:lineRule="auto"/>
        <w:textAlignment w:val="bottom"/>
        <w:rPr>
          <w:u w:val="single"/>
        </w:rPr>
      </w:pPr>
      <w:r>
        <w:t xml:space="preserve">              </w:t>
      </w: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textAlignment w:val="bottom"/>
        <w:rPr>
          <w:rFonts w:hint="eastAsia" w:ascii="宋体" w:hAnsi="宋体"/>
          <w:sz w:val="24"/>
        </w:rPr>
      </w:pPr>
      <w:r>
        <w:rPr>
          <w:u w:val="single"/>
        </w:rPr>
        <w:br w:type="page"/>
      </w:r>
      <w:r>
        <w:rPr>
          <w:rFonts w:hint="eastAsia" w:ascii="宋体" w:hAnsi="宋体"/>
          <w:sz w:val="24"/>
        </w:rPr>
        <w:t>附录2-</w:t>
      </w:r>
      <w:r>
        <w:rPr>
          <w:rFonts w:ascii="宋体" w:hAnsi="宋体"/>
          <w:sz w:val="24"/>
        </w:rPr>
        <w:t>2</w:t>
      </w:r>
    </w:p>
    <w:p>
      <w:pPr>
        <w:widowControl/>
        <w:tabs>
          <w:tab w:val="left" w:pos="142"/>
        </w:tabs>
        <w:autoSpaceDE w:val="0"/>
        <w:autoSpaceDN w:val="0"/>
        <w:jc w:val="center"/>
        <w:textAlignment w:val="bottom"/>
        <w:rPr>
          <w:rFonts w:ascii="宋体" w:hAnsi="宋体"/>
          <w:b/>
          <w:sz w:val="32"/>
          <w:szCs w:val="32"/>
        </w:rPr>
      </w:pPr>
      <w:r>
        <w:rPr>
          <w:rFonts w:hint="eastAsia" w:ascii="宋体" w:hAnsi="宋体"/>
          <w:b/>
          <w:sz w:val="32"/>
          <w:szCs w:val="32"/>
        </w:rPr>
        <w:t>报价明细表</w:t>
      </w:r>
    </w:p>
    <w:p>
      <w:pPr>
        <w:widowControl/>
        <w:tabs>
          <w:tab w:val="left" w:pos="142"/>
        </w:tabs>
        <w:autoSpaceDE w:val="0"/>
        <w:autoSpaceDN w:val="0"/>
        <w:jc w:val="center"/>
        <w:textAlignment w:val="bottom"/>
        <w:rPr>
          <w:rFonts w:ascii="宋体" w:hAnsi="宋体"/>
          <w:b/>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271"/>
        <w:gridCol w:w="1701"/>
        <w:gridCol w:w="1275"/>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3271"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采购内容</w:t>
            </w:r>
          </w:p>
        </w:tc>
        <w:tc>
          <w:tcPr>
            <w:tcW w:w="1701"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总价(含税价)</w:t>
            </w:r>
          </w:p>
        </w:tc>
        <w:tc>
          <w:tcPr>
            <w:tcW w:w="1275"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税率（%）</w:t>
            </w:r>
          </w:p>
        </w:tc>
        <w:tc>
          <w:tcPr>
            <w:tcW w:w="1979"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1</w:t>
            </w:r>
          </w:p>
        </w:tc>
        <w:tc>
          <w:tcPr>
            <w:tcW w:w="3271" w:type="dxa"/>
            <w:noWrap w:val="0"/>
            <w:vAlign w:val="center"/>
          </w:tcPr>
          <w:p>
            <w:pPr>
              <w:jc w:val="left"/>
              <w:rPr>
                <w:rFonts w:hint="eastAsia" w:ascii="仿宋_GB2312" w:hAnsi="宋体" w:eastAsia="仿宋_GB2312"/>
                <w:sz w:val="22"/>
                <w:szCs w:val="22"/>
              </w:rPr>
            </w:pPr>
            <w:r>
              <w:rPr>
                <w:rFonts w:hint="eastAsia" w:ascii="宋体" w:hAnsi="Times New Roman" w:eastAsia="宋体" w:cs="Times New Roman"/>
                <w:color w:val="auto"/>
                <w:kern w:val="2"/>
                <w:sz w:val="21"/>
                <w:szCs w:val="21"/>
                <w:lang w:val="en-US" w:eastAsia="zh-CN"/>
              </w:rPr>
              <w:t>编制《安全生产专项整治三年行动实施方案中期评估表》</w:t>
            </w:r>
          </w:p>
        </w:tc>
        <w:tc>
          <w:tcPr>
            <w:tcW w:w="1701" w:type="dxa"/>
            <w:vMerge w:val="restart"/>
            <w:noWrap w:val="0"/>
            <w:vAlign w:val="center"/>
          </w:tcPr>
          <w:p>
            <w:pPr>
              <w:rPr>
                <w:rFonts w:hint="eastAsia" w:ascii="仿宋_GB2312" w:hAnsi="宋体" w:eastAsia="仿宋_GB2312"/>
                <w:sz w:val="22"/>
                <w:szCs w:val="22"/>
              </w:rPr>
            </w:pPr>
          </w:p>
        </w:tc>
        <w:tc>
          <w:tcPr>
            <w:tcW w:w="1275" w:type="dxa"/>
            <w:vMerge w:val="restart"/>
            <w:noWrap w:val="0"/>
            <w:vAlign w:val="center"/>
          </w:tcPr>
          <w:p>
            <w:pPr>
              <w:jc w:val="center"/>
              <w:rPr>
                <w:rFonts w:hint="eastAsia" w:ascii="仿宋_GB2312" w:hAnsi="宋体" w:eastAsia="仿宋_GB2312"/>
                <w:sz w:val="22"/>
                <w:szCs w:val="22"/>
              </w:rPr>
            </w:pPr>
          </w:p>
        </w:tc>
        <w:tc>
          <w:tcPr>
            <w:tcW w:w="1979" w:type="dxa"/>
            <w:vMerge w:val="restart"/>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2</w:t>
            </w:r>
          </w:p>
        </w:tc>
        <w:tc>
          <w:tcPr>
            <w:tcW w:w="3271" w:type="dxa"/>
            <w:noWrap w:val="0"/>
            <w:vAlign w:val="center"/>
          </w:tcPr>
          <w:p>
            <w:pPr>
              <w:jc w:val="left"/>
              <w:rPr>
                <w:rFonts w:hint="eastAsia" w:ascii="仿宋_GB2312" w:hAnsi="宋体" w:eastAsia="仿宋_GB2312"/>
                <w:sz w:val="22"/>
                <w:szCs w:val="22"/>
              </w:rPr>
            </w:pPr>
            <w:r>
              <w:rPr>
                <w:rFonts w:hint="eastAsia" w:ascii="宋体" w:hAnsi="Times New Roman" w:eastAsia="宋体" w:cs="Times New Roman"/>
                <w:color w:val="auto"/>
                <w:kern w:val="2"/>
                <w:sz w:val="21"/>
                <w:szCs w:val="21"/>
              </w:rPr>
              <w:t>实地对广东省机场管理集团有限公司、广州白云国际机场股份有限公司、</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安全生产专项整治三年行动开展情况进行中期评估</w:t>
            </w:r>
          </w:p>
        </w:tc>
        <w:tc>
          <w:tcPr>
            <w:tcW w:w="1701" w:type="dxa"/>
            <w:vMerge w:val="continue"/>
            <w:noWrap w:val="0"/>
            <w:vAlign w:val="center"/>
          </w:tcPr>
          <w:p>
            <w:pPr>
              <w:rPr>
                <w:rFonts w:hint="eastAsia" w:ascii="仿宋_GB2312" w:hAnsi="宋体" w:eastAsia="仿宋_GB2312"/>
                <w:sz w:val="22"/>
                <w:szCs w:val="22"/>
              </w:rPr>
            </w:pPr>
          </w:p>
        </w:tc>
        <w:tc>
          <w:tcPr>
            <w:tcW w:w="1275" w:type="dxa"/>
            <w:vMerge w:val="continue"/>
            <w:noWrap w:val="0"/>
            <w:vAlign w:val="center"/>
          </w:tcPr>
          <w:p>
            <w:pPr>
              <w:jc w:val="center"/>
              <w:rPr>
                <w:rFonts w:hint="eastAsia" w:ascii="仿宋_GB2312" w:hAnsi="宋体" w:eastAsia="仿宋_GB2312"/>
                <w:sz w:val="22"/>
                <w:szCs w:val="22"/>
              </w:rPr>
            </w:pPr>
          </w:p>
        </w:tc>
        <w:tc>
          <w:tcPr>
            <w:tcW w:w="1979" w:type="dxa"/>
            <w:vMerge w:val="continue"/>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3</w:t>
            </w:r>
          </w:p>
        </w:tc>
        <w:tc>
          <w:tcPr>
            <w:tcW w:w="3271" w:type="dxa"/>
            <w:noWrap w:val="0"/>
            <w:vAlign w:val="center"/>
          </w:tcPr>
          <w:p>
            <w:pPr>
              <w:rPr>
                <w:rFonts w:hint="eastAsia" w:ascii="仿宋_GB2312" w:hAnsi="宋体" w:eastAsia="仿宋_GB2312"/>
                <w:sz w:val="22"/>
                <w:szCs w:val="22"/>
              </w:rPr>
            </w:pPr>
            <w:r>
              <w:rPr>
                <w:rFonts w:hint="eastAsia" w:ascii="宋体" w:hAnsi="Times New Roman" w:eastAsia="宋体" w:cs="Times New Roman"/>
                <w:color w:val="auto"/>
                <w:kern w:val="2"/>
                <w:sz w:val="21"/>
                <w:szCs w:val="21"/>
              </w:rPr>
              <w:t>编制</w:t>
            </w:r>
            <w:r>
              <w:rPr>
                <w:rFonts w:hint="eastAsia"/>
                <w:lang w:eastAsia="zh-CN"/>
              </w:rPr>
              <w:t>《</w:t>
            </w:r>
            <w:r>
              <w:rPr>
                <w:rFonts w:hint="eastAsia"/>
              </w:rPr>
              <w:t>广东省机场管理集团有限公司安全生产专项整治三年行动评估报告</w:t>
            </w:r>
            <w:r>
              <w:rPr>
                <w:rFonts w:hint="eastAsia"/>
                <w:lang w:eastAsia="zh-CN"/>
              </w:rPr>
              <w:t>》《</w:t>
            </w:r>
            <w:r>
              <w:rPr>
                <w:rFonts w:hint="eastAsia"/>
              </w:rPr>
              <w:t>广州白云国际机场股份有限公司安全生产专项整治三年行动评估报告</w:t>
            </w:r>
            <w:r>
              <w:rPr>
                <w:rFonts w:hint="eastAsia"/>
                <w:lang w:eastAsia="zh-CN"/>
              </w:rPr>
              <w:t>》《</w:t>
            </w:r>
            <w:r>
              <w:rPr>
                <w:rFonts w:hint="eastAsia"/>
              </w:rPr>
              <w:t>广东机场集团工程建设指挥部安全生产专项整治三年行动评估报告</w:t>
            </w:r>
            <w:r>
              <w:rPr>
                <w:rFonts w:hint="eastAsia"/>
                <w:lang w:eastAsia="zh-CN"/>
              </w:rPr>
              <w:t>》</w:t>
            </w:r>
          </w:p>
        </w:tc>
        <w:tc>
          <w:tcPr>
            <w:tcW w:w="1701" w:type="dxa"/>
            <w:vMerge w:val="continue"/>
            <w:noWrap w:val="0"/>
            <w:vAlign w:val="center"/>
          </w:tcPr>
          <w:p>
            <w:pPr>
              <w:rPr>
                <w:rFonts w:hint="eastAsia" w:ascii="仿宋_GB2312" w:hAnsi="宋体" w:eastAsia="仿宋_GB2312"/>
                <w:sz w:val="22"/>
                <w:szCs w:val="22"/>
              </w:rPr>
            </w:pPr>
          </w:p>
        </w:tc>
        <w:tc>
          <w:tcPr>
            <w:tcW w:w="1275" w:type="dxa"/>
            <w:vMerge w:val="continue"/>
            <w:noWrap w:val="0"/>
            <w:vAlign w:val="center"/>
          </w:tcPr>
          <w:p>
            <w:pPr>
              <w:jc w:val="center"/>
              <w:rPr>
                <w:rFonts w:hint="eastAsia" w:ascii="仿宋_GB2312" w:hAnsi="宋体" w:eastAsia="仿宋_GB2312"/>
                <w:sz w:val="22"/>
                <w:szCs w:val="22"/>
              </w:rPr>
            </w:pPr>
          </w:p>
        </w:tc>
        <w:tc>
          <w:tcPr>
            <w:tcW w:w="1979" w:type="dxa"/>
            <w:vMerge w:val="continue"/>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7" w:type="dxa"/>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4</w:t>
            </w:r>
          </w:p>
        </w:tc>
        <w:tc>
          <w:tcPr>
            <w:tcW w:w="3271" w:type="dxa"/>
            <w:noWrap w:val="0"/>
            <w:vAlign w:val="center"/>
          </w:tcPr>
          <w:p>
            <w:pPr>
              <w:jc w:val="left"/>
              <w:rPr>
                <w:rFonts w:hint="eastAsia" w:ascii="仿宋_GB2312" w:hAnsi="宋体" w:eastAsia="仿宋_GB2312"/>
                <w:sz w:val="22"/>
                <w:szCs w:val="22"/>
              </w:rPr>
            </w:pPr>
            <w:r>
              <w:rPr>
                <w:rFonts w:hint="eastAsia" w:ascii="宋体" w:hAnsi="Times New Roman" w:eastAsia="宋体" w:cs="Times New Roman"/>
                <w:color w:val="auto"/>
                <w:sz w:val="21"/>
                <w:szCs w:val="21"/>
              </w:rPr>
              <w:t>协助采购人抓好安全生产专项整治三年行动中期评估情况的问题整改工作</w:t>
            </w:r>
          </w:p>
        </w:tc>
        <w:tc>
          <w:tcPr>
            <w:tcW w:w="1701" w:type="dxa"/>
            <w:vMerge w:val="continue"/>
            <w:noWrap w:val="0"/>
            <w:vAlign w:val="center"/>
          </w:tcPr>
          <w:p>
            <w:pPr>
              <w:rPr>
                <w:rFonts w:hint="eastAsia" w:ascii="仿宋_GB2312" w:hAnsi="宋体" w:eastAsia="仿宋_GB2312"/>
                <w:sz w:val="22"/>
                <w:szCs w:val="22"/>
              </w:rPr>
            </w:pPr>
          </w:p>
        </w:tc>
        <w:tc>
          <w:tcPr>
            <w:tcW w:w="1275" w:type="dxa"/>
            <w:vMerge w:val="continue"/>
            <w:noWrap w:val="0"/>
            <w:vAlign w:val="center"/>
          </w:tcPr>
          <w:p>
            <w:pPr>
              <w:jc w:val="center"/>
              <w:rPr>
                <w:rFonts w:hint="eastAsia" w:ascii="仿宋_GB2312" w:hAnsi="宋体" w:eastAsia="仿宋_GB2312"/>
                <w:sz w:val="22"/>
                <w:szCs w:val="22"/>
              </w:rPr>
            </w:pPr>
          </w:p>
        </w:tc>
        <w:tc>
          <w:tcPr>
            <w:tcW w:w="1979" w:type="dxa"/>
            <w:vMerge w:val="continue"/>
            <w:noWrap w:val="0"/>
            <w:vAlign w:val="center"/>
          </w:tcPr>
          <w:p>
            <w:pPr>
              <w:jc w:val="center"/>
              <w:rPr>
                <w:rFonts w:hint="eastAsia"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978" w:type="dxa"/>
            <w:gridSpan w:val="2"/>
            <w:noWrap w:val="0"/>
            <w:vAlign w:val="center"/>
          </w:tcPr>
          <w:p>
            <w:pPr>
              <w:jc w:val="center"/>
              <w:rPr>
                <w:rFonts w:hint="eastAsia" w:ascii="仿宋_GB2312" w:hAnsi="宋体" w:eastAsia="仿宋_GB2312"/>
                <w:sz w:val="22"/>
                <w:szCs w:val="22"/>
              </w:rPr>
            </w:pPr>
            <w:r>
              <w:rPr>
                <w:rFonts w:hint="eastAsia" w:ascii="仿宋_GB2312" w:hAnsi="宋体" w:eastAsia="仿宋_GB2312"/>
                <w:sz w:val="22"/>
                <w:szCs w:val="22"/>
              </w:rPr>
              <w:t>合计</w:t>
            </w:r>
          </w:p>
        </w:tc>
        <w:tc>
          <w:tcPr>
            <w:tcW w:w="1701" w:type="dxa"/>
            <w:noWrap w:val="0"/>
            <w:vAlign w:val="center"/>
          </w:tcPr>
          <w:p>
            <w:pPr>
              <w:rPr>
                <w:rFonts w:hint="eastAsia" w:ascii="仿宋_GB2312" w:hAnsi="宋体" w:eastAsia="仿宋_GB2312"/>
                <w:sz w:val="22"/>
                <w:szCs w:val="22"/>
              </w:rPr>
            </w:pPr>
          </w:p>
        </w:tc>
        <w:tc>
          <w:tcPr>
            <w:tcW w:w="1275" w:type="dxa"/>
            <w:noWrap w:val="0"/>
            <w:vAlign w:val="center"/>
          </w:tcPr>
          <w:p>
            <w:pPr>
              <w:jc w:val="center"/>
              <w:rPr>
                <w:rFonts w:hint="eastAsia" w:ascii="仿宋_GB2312" w:hAnsi="宋体" w:eastAsia="仿宋_GB2312"/>
                <w:sz w:val="22"/>
                <w:szCs w:val="22"/>
              </w:rPr>
            </w:pPr>
          </w:p>
        </w:tc>
        <w:tc>
          <w:tcPr>
            <w:tcW w:w="1979" w:type="dxa"/>
            <w:noWrap w:val="0"/>
            <w:vAlign w:val="center"/>
          </w:tcPr>
          <w:p>
            <w:pPr>
              <w:jc w:val="center"/>
              <w:rPr>
                <w:rFonts w:hint="eastAsia" w:ascii="仿宋_GB2312" w:hAnsi="宋体" w:eastAsia="仿宋_GB2312"/>
                <w:sz w:val="22"/>
                <w:szCs w:val="22"/>
              </w:rPr>
            </w:pPr>
          </w:p>
        </w:tc>
      </w:tr>
    </w:tbl>
    <w:p>
      <w:pPr>
        <w:spacing w:after="60"/>
      </w:pPr>
    </w:p>
    <w:p>
      <w:pPr>
        <w:ind w:firstLine="5244" w:firstLineChars="1873"/>
        <w:rPr>
          <w:rFonts w:hint="eastAsia" w:ascii="仿宋_GB2312" w:hAnsi="宋体" w:eastAsia="仿宋_GB2312"/>
          <w:sz w:val="28"/>
          <w:szCs w:val="28"/>
        </w:rPr>
      </w:pPr>
    </w:p>
    <w:p>
      <w:pPr>
        <w:adjustRightInd w:val="0"/>
        <w:snapToGrid w:val="0"/>
        <w:spacing w:line="300" w:lineRule="auto"/>
        <w:rPr>
          <w:rFonts w:ascii="仿宋_GB2312" w:hAnsi="仿宋" w:eastAsia="仿宋_GB2312"/>
          <w:sz w:val="28"/>
          <w:szCs w:val="28"/>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rPr>
          <w:rFonts w:hint="eastAsia"/>
        </w:rPr>
      </w:pPr>
      <w:r>
        <w:t xml:space="preserve">               </w:t>
      </w:r>
    </w:p>
    <w:p>
      <w:pPr>
        <w:widowControl/>
        <w:tabs>
          <w:tab w:val="left" w:pos="142"/>
        </w:tabs>
        <w:autoSpaceDE w:val="0"/>
        <w:autoSpaceDN w:val="0"/>
        <w:spacing w:line="288" w:lineRule="auto"/>
        <w:ind w:firstLine="424" w:firstLineChars="202"/>
        <w:textAlignment w:val="bottom"/>
        <w:rPr>
          <w:rFonts w:hint="eastAsia"/>
        </w:rPr>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hint="eastAsia" w:ascii="仿宋_GB2312" w:hAnsi="宋体" w:eastAsia="仿宋_GB2312"/>
          <w:sz w:val="28"/>
          <w:szCs w:val="28"/>
        </w:rPr>
      </w:pPr>
    </w:p>
    <w:p>
      <w:pPr>
        <w:widowControl/>
        <w:tabs>
          <w:tab w:val="left" w:pos="142"/>
        </w:tabs>
        <w:autoSpaceDE w:val="0"/>
        <w:autoSpaceDN w:val="0"/>
        <w:jc w:val="center"/>
        <w:textAlignment w:val="bottom"/>
        <w:rPr>
          <w:rFonts w:hint="eastAsia" w:ascii="宋体" w:hAnsi="宋体"/>
          <w:b/>
          <w:sz w:val="32"/>
          <w:szCs w:val="32"/>
        </w:rPr>
      </w:pPr>
    </w:p>
    <w:p>
      <w:pPr>
        <w:widowControl/>
        <w:tabs>
          <w:tab w:val="left" w:pos="142"/>
        </w:tabs>
        <w:autoSpaceDE w:val="0"/>
        <w:autoSpaceDN w:val="0"/>
        <w:spacing w:line="288" w:lineRule="auto"/>
        <w:textAlignment w:val="bottom"/>
        <w:rPr>
          <w:rFonts w:hint="eastAsia"/>
        </w:rPr>
      </w:pPr>
    </w:p>
    <w:p>
      <w:pPr>
        <w:pStyle w:val="3"/>
        <w:snapToGrid w:val="0"/>
        <w:spacing w:before="240" w:after="240" w:line="240" w:lineRule="auto"/>
        <w:jc w:val="left"/>
        <w:rPr>
          <w:rFonts w:ascii="宋体" w:hAnsi="宋体"/>
          <w:sz w:val="24"/>
        </w:rPr>
      </w:pPr>
      <w:bookmarkStart w:id="77" w:name="_Toc465684005"/>
      <w:bookmarkStart w:id="78" w:name="_Toc237246982"/>
      <w:bookmarkStart w:id="79" w:name="_Toc488936087"/>
      <w:bookmarkStart w:id="80" w:name="_Toc483307898"/>
      <w:bookmarkStart w:id="81" w:name="_Toc98040838"/>
      <w:bookmarkStart w:id="82" w:name="_Toc353536761"/>
      <w:bookmarkStart w:id="83" w:name="_Toc41129152"/>
      <w:bookmarkStart w:id="84" w:name="_Toc41125555"/>
      <w:bookmarkStart w:id="85" w:name="_Toc468781351"/>
      <w:bookmarkStart w:id="86" w:name="_Toc49317162"/>
      <w:bookmarkStart w:id="87" w:name="_Toc187235504"/>
      <w:bookmarkStart w:id="88" w:name="_Toc466777794"/>
      <w:bookmarkStart w:id="89" w:name="_Toc520148233"/>
      <w:bookmarkStart w:id="90" w:name="_Toc483379782"/>
      <w:bookmarkStart w:id="91" w:name="_Toc41208029"/>
      <w:bookmarkStart w:id="92" w:name="_Toc272229621"/>
      <w:bookmarkStart w:id="93" w:name="_Toc22149482"/>
      <w:r>
        <w:rPr>
          <w:rFonts w:hint="eastAsia" w:ascii="宋体" w:hAnsi="宋体"/>
          <w:sz w:val="24"/>
        </w:rPr>
        <w:t>附录</w:t>
      </w:r>
      <w:r>
        <w:rPr>
          <w:rFonts w:ascii="宋体" w:hAnsi="宋体"/>
          <w:sz w:val="24"/>
        </w:rPr>
        <w:t>3</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宋体" w:hAnsi="宋体"/>
          <w:sz w:val="24"/>
        </w:rPr>
        <w:t xml:space="preserve"> </w:t>
      </w:r>
      <w:r>
        <w:rPr>
          <w:rFonts w:hint="eastAsia" w:ascii="宋体" w:hAnsi="宋体"/>
          <w:sz w:val="24"/>
        </w:rPr>
        <w:t>诚信承诺函及企业声明</w:t>
      </w:r>
      <w:bookmarkEnd w:id="93"/>
    </w:p>
    <w:p/>
    <w:p>
      <w:pPr>
        <w:pStyle w:val="4"/>
        <w:numPr>
          <w:ilvl w:val="0"/>
          <w:numId w:val="0"/>
        </w:numPr>
        <w:spacing w:before="120" w:after="120"/>
        <w:ind w:left="425"/>
      </w:pPr>
      <w:bookmarkStart w:id="94" w:name="_Toc22149483"/>
      <w:r>
        <w:rPr>
          <w:rFonts w:hint="eastAsia"/>
        </w:rPr>
        <w:t>3</w:t>
      </w:r>
      <w:r>
        <w:t>.1</w:t>
      </w:r>
      <w:r>
        <w:rPr>
          <w:rFonts w:hint="eastAsia"/>
        </w:rPr>
        <w:t>诚信承诺函</w:t>
      </w:r>
      <w:bookmarkEnd w:id="94"/>
    </w:p>
    <w:p/>
    <w:p>
      <w:pPr>
        <w:rPr>
          <w:rFonts w:hint="eastAsia"/>
        </w:rPr>
      </w:pPr>
    </w:p>
    <w:p>
      <w:pPr>
        <w:snapToGrid w:val="0"/>
        <w:jc w:val="center"/>
        <w:rPr>
          <w:rFonts w:hint="eastAsia" w:ascii="宋体" w:hAnsi="宋体" w:cs="宋体"/>
          <w:b/>
          <w:bCs/>
          <w:color w:val="000000"/>
          <w:sz w:val="32"/>
          <w:szCs w:val="32"/>
        </w:rPr>
      </w:pPr>
      <w:r>
        <w:rPr>
          <w:rFonts w:hint="eastAsia" w:ascii="宋体" w:hAnsi="宋体" w:cs="宋体"/>
          <w:b/>
          <w:bCs/>
          <w:color w:val="000000"/>
          <w:sz w:val="32"/>
          <w:szCs w:val="32"/>
        </w:rPr>
        <w:t>诚信承诺函</w:t>
      </w:r>
    </w:p>
    <w:p>
      <w:pPr>
        <w:snapToGrid w:val="0"/>
        <w:spacing w:line="360" w:lineRule="auto"/>
        <w:jc w:val="center"/>
        <w:rPr>
          <w:rFonts w:hint="eastAsia" w:ascii="宋体" w:hAnsi="宋体" w:cs="宋体"/>
          <w:b/>
          <w:bCs/>
          <w:color w:val="000000"/>
          <w:sz w:val="40"/>
          <w:szCs w:val="44"/>
        </w:rPr>
      </w:pPr>
    </w:p>
    <w:p>
      <w:pPr>
        <w:snapToGrid w:val="0"/>
        <w:spacing w:line="360" w:lineRule="auto"/>
        <w:jc w:val="left"/>
        <w:rPr>
          <w:rFonts w:hint="eastAsia" w:ascii="宋体" w:hAnsi="宋体" w:cs="华文仿宋"/>
          <w:color w:val="000000"/>
          <w:szCs w:val="21"/>
        </w:rPr>
      </w:pPr>
      <w:r>
        <w:rPr>
          <w:rFonts w:hint="eastAsia" w:ascii="宋体" w:hAnsi="宋体" w:cs="华文仿宋"/>
          <w:color w:val="000000"/>
          <w:szCs w:val="21"/>
        </w:rPr>
        <w:t>致：</w:t>
      </w:r>
      <w:r>
        <w:rPr>
          <w:rFonts w:hint="eastAsia" w:ascii="宋体" w:hAnsi="宋体" w:cs="华文仿宋"/>
          <w:color w:val="000000"/>
          <w:szCs w:val="21"/>
          <w:u w:val="single"/>
        </w:rPr>
        <w:t xml:space="preserve">广东省机场管理集团有限公司 </w:t>
      </w:r>
    </w:p>
    <w:p>
      <w:pPr>
        <w:snapToGrid w:val="0"/>
        <w:spacing w:line="360" w:lineRule="auto"/>
        <w:jc w:val="left"/>
        <w:rPr>
          <w:rFonts w:hint="eastAsia" w:ascii="宋体" w:hAnsi="宋体"/>
          <w:color w:val="000000"/>
          <w:szCs w:val="21"/>
        </w:rPr>
      </w:pPr>
      <w:r>
        <w:rPr>
          <w:rFonts w:hint="eastAsia" w:ascii="宋体" w:hAnsi="宋体" w:cs="华文仿宋"/>
          <w:color w:val="000000"/>
          <w:szCs w:val="21"/>
        </w:rPr>
        <w:t xml:space="preserve">    我司</w:t>
      </w:r>
      <w:r>
        <w:rPr>
          <w:rFonts w:hint="eastAsia" w:ascii="宋体" w:hAnsi="宋体" w:cs="华文仿宋"/>
          <w:color w:val="000000"/>
          <w:szCs w:val="21"/>
          <w:u w:val="single"/>
          <w:lang w:val="en-US" w:eastAsia="zh-CN"/>
        </w:rPr>
        <w:t xml:space="preserve">                            </w:t>
      </w:r>
      <w:r>
        <w:rPr>
          <w:rFonts w:hint="eastAsia" w:ascii="宋体" w:hAnsi="宋体" w:cs="华文仿宋"/>
          <w:color w:val="000000"/>
          <w:szCs w:val="21"/>
          <w:u w:val="none"/>
          <w:lang w:val="en-US" w:eastAsia="zh-CN"/>
        </w:rPr>
        <w:t>（供应商名称）</w:t>
      </w:r>
      <w:r>
        <w:rPr>
          <w:rFonts w:hint="eastAsia" w:ascii="宋体" w:hAnsi="宋体" w:cs="华文仿宋"/>
          <w:color w:val="000000"/>
          <w:szCs w:val="21"/>
        </w:rPr>
        <w:t>承诺我司</w:t>
      </w:r>
      <w:r>
        <w:rPr>
          <w:rFonts w:hint="eastAsia" w:ascii="宋体" w:hAnsi="宋体"/>
          <w:color w:val="000000"/>
          <w:szCs w:val="21"/>
        </w:rPr>
        <w:t>（包括</w:t>
      </w:r>
      <w:r>
        <w:rPr>
          <w:rFonts w:hint="eastAsia" w:ascii="宋体" w:hAnsi="宋体"/>
          <w:color w:val="000000"/>
          <w:szCs w:val="21"/>
          <w:lang w:val="en-US" w:eastAsia="zh-CN"/>
        </w:rPr>
        <w:t>关联公司和法定代表人</w:t>
      </w:r>
      <w:r>
        <w:rPr>
          <w:rFonts w:hint="eastAsia" w:ascii="宋体" w:hAnsi="宋体"/>
          <w:color w:val="000000"/>
          <w:szCs w:val="21"/>
        </w:rPr>
        <w:t>）</w:t>
      </w:r>
      <w:r>
        <w:rPr>
          <w:rFonts w:hint="eastAsia" w:ascii="宋体" w:hAnsi="宋体" w:cs="华文仿宋"/>
          <w:color w:val="000000"/>
          <w:szCs w:val="21"/>
          <w:lang w:val="en-US" w:eastAsia="zh-CN"/>
        </w:rPr>
        <w:t xml:space="preserve">完全符合 </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r>
        <w:rPr>
          <w:rFonts w:hint="eastAsia" w:ascii="宋体"/>
          <w:szCs w:val="21"/>
        </w:rPr>
        <w:t>合格供应商资格条件</w:t>
      </w:r>
      <w:r>
        <w:rPr>
          <w:rFonts w:hint="eastAsia" w:ascii="宋体" w:hAnsi="宋体" w:cs="华文仿宋"/>
          <w:color w:val="000000"/>
          <w:szCs w:val="21"/>
        </w:rPr>
        <w:t>第</w:t>
      </w:r>
      <w:r>
        <w:rPr>
          <w:rFonts w:hint="eastAsia" w:ascii="宋体" w:hAnsi="宋体" w:cs="华文仿宋"/>
          <w:color w:val="000000"/>
          <w:szCs w:val="21"/>
          <w:lang w:val="en-US" w:eastAsia="zh-CN"/>
        </w:rPr>
        <w:t>5、</w:t>
      </w:r>
      <w:r>
        <w:rPr>
          <w:rFonts w:ascii="宋体" w:hAnsi="宋体" w:cs="华文仿宋"/>
          <w:color w:val="000000"/>
          <w:szCs w:val="21"/>
        </w:rPr>
        <w:t>6</w:t>
      </w:r>
      <w:r>
        <w:rPr>
          <w:rFonts w:hint="eastAsia" w:ascii="宋体" w:hAnsi="宋体" w:cs="华文仿宋"/>
          <w:color w:val="000000"/>
          <w:szCs w:val="21"/>
        </w:rPr>
        <w:t>、</w:t>
      </w:r>
      <w:r>
        <w:rPr>
          <w:rFonts w:ascii="宋体" w:hAnsi="宋体" w:cs="华文仿宋"/>
          <w:color w:val="000000"/>
          <w:szCs w:val="21"/>
        </w:rPr>
        <w:t>7</w:t>
      </w:r>
      <w:r>
        <w:rPr>
          <w:rFonts w:hint="eastAsia" w:ascii="宋体" w:hAnsi="宋体" w:cs="华文仿宋"/>
          <w:color w:val="000000"/>
          <w:szCs w:val="21"/>
        </w:rPr>
        <w:t>、</w:t>
      </w:r>
      <w:r>
        <w:rPr>
          <w:rFonts w:ascii="宋体" w:hAnsi="宋体" w:cs="华文仿宋"/>
          <w:color w:val="000000"/>
          <w:szCs w:val="21"/>
        </w:rPr>
        <w:t>8</w:t>
      </w:r>
      <w:r>
        <w:rPr>
          <w:rFonts w:hint="eastAsia" w:ascii="宋体" w:hAnsi="宋体" w:cs="华文仿宋"/>
          <w:color w:val="000000"/>
          <w:szCs w:val="21"/>
        </w:rPr>
        <w:t>条</w:t>
      </w:r>
      <w:r>
        <w:rPr>
          <w:rFonts w:hint="eastAsia" w:ascii="宋体" w:hAnsi="宋体" w:cs="华文仿宋"/>
          <w:color w:val="000000"/>
          <w:szCs w:val="21"/>
          <w:lang w:val="en-US" w:eastAsia="zh-CN"/>
        </w:rPr>
        <w:t>的规定要求</w:t>
      </w:r>
      <w:r>
        <w:rPr>
          <w:rFonts w:hint="eastAsia" w:ascii="宋体" w:hAnsi="宋体" w:cs="华文仿宋"/>
          <w:color w:val="000000"/>
          <w:szCs w:val="21"/>
        </w:rPr>
        <w:t>，</w:t>
      </w:r>
      <w:r>
        <w:rPr>
          <w:rFonts w:hint="eastAsia" w:ascii="宋体" w:hAnsi="宋体"/>
          <w:color w:val="000000"/>
          <w:szCs w:val="21"/>
        </w:rPr>
        <w:t>如有造假行为，我公司愿意无条件接受采购人的以下处理：</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1.取消本项目报价、成交资格，并在相关网站公示；</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2.由采购人没收合同履约保证金；</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3.三年至六年内停止或禁止参加广东省机场管理集团有限公司本部、各全资、控股公司及集团公司所属非法人实体单位的所有采购项目；</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4.对不良行为予以纪录，并进行公告；</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5.报广东省机场管理集团有限公司备案；</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6.其他行政处理决定。</w:t>
      </w:r>
    </w:p>
    <w:p>
      <w:pPr>
        <w:snapToGrid w:val="0"/>
        <w:spacing w:line="360" w:lineRule="auto"/>
        <w:ind w:firstLine="420" w:firstLineChars="200"/>
        <w:rPr>
          <w:rFonts w:hint="eastAsia" w:ascii="宋体" w:hAnsi="宋体"/>
          <w:color w:val="000000"/>
          <w:szCs w:val="21"/>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rPr>
          <w:rFonts w:hint="eastAsia"/>
        </w:rPr>
      </w:pPr>
      <w:r>
        <w:t xml:space="preserve">               </w:t>
      </w:r>
    </w:p>
    <w:p>
      <w:pPr>
        <w:widowControl/>
        <w:tabs>
          <w:tab w:val="left" w:pos="142"/>
        </w:tabs>
        <w:autoSpaceDE w:val="0"/>
        <w:autoSpaceDN w:val="0"/>
        <w:spacing w:line="288" w:lineRule="auto"/>
        <w:ind w:firstLine="424" w:firstLineChars="202"/>
        <w:textAlignment w:val="bottom"/>
        <w:rPr>
          <w:rFonts w:hint="eastAsia"/>
        </w:rPr>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rPr>
          <w:rFonts w:ascii="宋体" w:hAnsi="宋体"/>
          <w:snapToGrid w:val="0"/>
          <w:color w:val="000000"/>
          <w:kern w:val="0"/>
          <w:szCs w:val="21"/>
        </w:rPr>
      </w:pPr>
      <w:r>
        <w:rPr>
          <w:rFonts w:hint="eastAsia" w:ascii="宋体" w:hAnsi="宋体"/>
          <w:snapToGrid w:val="0"/>
          <w:color w:val="000000"/>
          <w:kern w:val="0"/>
          <w:szCs w:val="21"/>
        </w:rPr>
        <w:br w:type="page"/>
      </w:r>
    </w:p>
    <w:p>
      <w:pPr>
        <w:pStyle w:val="4"/>
        <w:numPr>
          <w:ilvl w:val="0"/>
          <w:numId w:val="0"/>
        </w:numPr>
        <w:spacing w:before="120" w:after="120"/>
        <w:ind w:left="425"/>
      </w:pPr>
      <w:bookmarkStart w:id="95" w:name="_Toc22149484"/>
      <w:r>
        <w:rPr>
          <w:rFonts w:hint="eastAsia"/>
        </w:rPr>
        <w:t>3</w:t>
      </w:r>
      <w:r>
        <w:t>.2</w:t>
      </w:r>
      <w:r>
        <w:rPr>
          <w:rFonts w:hint="eastAsia"/>
        </w:rPr>
        <w:t>诚信承诺函</w:t>
      </w:r>
      <w:bookmarkEnd w:id="95"/>
    </w:p>
    <w:p>
      <w:pPr>
        <w:widowControl/>
        <w:snapToGrid w:val="0"/>
        <w:spacing w:line="360" w:lineRule="auto"/>
        <w:jc w:val="left"/>
        <w:rPr>
          <w:rFonts w:hint="eastAsia" w:ascii="仿宋_GB2312" w:hAnsi="宋体" w:eastAsia="仿宋_GB2312"/>
          <w:color w:val="000000"/>
          <w:sz w:val="32"/>
          <w:szCs w:val="18"/>
        </w:rPr>
      </w:pPr>
    </w:p>
    <w:p>
      <w:pPr>
        <w:snapToGrid w:val="0"/>
        <w:jc w:val="center"/>
        <w:rPr>
          <w:rFonts w:hint="eastAsia" w:ascii="宋体" w:hAnsi="宋体" w:cs="宋体"/>
          <w:b/>
          <w:bCs/>
          <w:color w:val="000000"/>
          <w:sz w:val="44"/>
          <w:szCs w:val="44"/>
        </w:rPr>
      </w:pPr>
      <w:r>
        <w:rPr>
          <w:rFonts w:hint="eastAsia" w:ascii="宋体" w:hAnsi="宋体" w:cs="宋体"/>
          <w:b/>
          <w:bCs/>
          <w:color w:val="000000"/>
          <w:sz w:val="44"/>
          <w:szCs w:val="44"/>
        </w:rPr>
        <w:t>企业声明</w:t>
      </w:r>
    </w:p>
    <w:p>
      <w:pPr>
        <w:snapToGrid w:val="0"/>
        <w:ind w:firstLine="880" w:firstLineChars="200"/>
        <w:rPr>
          <w:rFonts w:hint="eastAsia" w:ascii="宋体" w:hAnsi="宋体" w:cs="宋体"/>
          <w:b/>
          <w:bCs/>
          <w:color w:val="000000"/>
          <w:sz w:val="44"/>
          <w:szCs w:val="44"/>
        </w:rPr>
      </w:pPr>
    </w:p>
    <w:p>
      <w:pPr>
        <w:snapToGrid w:val="0"/>
        <w:spacing w:line="360" w:lineRule="auto"/>
        <w:jc w:val="left"/>
        <w:rPr>
          <w:rFonts w:hint="eastAsia" w:ascii="宋体" w:hAnsi="宋体" w:cs="华文仿宋"/>
          <w:color w:val="000000"/>
          <w:szCs w:val="21"/>
        </w:rPr>
      </w:pPr>
      <w:r>
        <w:rPr>
          <w:rFonts w:hint="eastAsia" w:ascii="宋体" w:hAnsi="宋体" w:cs="华文仿宋"/>
          <w:color w:val="000000"/>
          <w:szCs w:val="21"/>
        </w:rPr>
        <w:t>致：</w:t>
      </w:r>
      <w:r>
        <w:rPr>
          <w:rFonts w:hint="eastAsia" w:ascii="Times New Roman" w:hAnsi="Times New Roman"/>
          <w:u w:val="single"/>
        </w:rPr>
        <w:t xml:space="preserve"> </w:t>
      </w:r>
      <w:r>
        <w:rPr>
          <w:rFonts w:hint="eastAsia" w:hAnsi="宋体"/>
          <w:u w:val="single"/>
        </w:rPr>
        <w:t>广东省机场管理集团有限公司</w:t>
      </w:r>
      <w:r>
        <w:rPr>
          <w:rFonts w:hint="eastAsia" w:ascii="宋体" w:hAnsi="宋体" w:cs="华文仿宋"/>
          <w:color w:val="000000"/>
          <w:szCs w:val="21"/>
          <w:u w:val="single"/>
        </w:rPr>
        <w:t xml:space="preserve">               </w:t>
      </w:r>
    </w:p>
    <w:p>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我公司就参加</w:t>
      </w:r>
      <w:r>
        <w:rPr>
          <w:rFonts w:hint="eastAsia" w:ascii="宋体" w:hAnsi="宋体" w:cs="华文仿宋"/>
          <w:color w:val="000000"/>
          <w:szCs w:val="21"/>
        </w:rPr>
        <w:t xml:space="preserve"> </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r>
        <w:rPr>
          <w:rFonts w:hint="eastAsia" w:ascii="宋体" w:hAnsi="宋体"/>
          <w:color w:val="000000"/>
          <w:szCs w:val="21"/>
        </w:rPr>
        <w:t>，作出郑重声明：</w:t>
      </w:r>
    </w:p>
    <w:p>
      <w:pPr>
        <w:widowControl/>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在项目采购、实施、运行过程中严格遵守贵公司相关管理规定。承诺如违反，将自愿接受：通报批评，记录不良行为，列入黑名单，禁止参加广东省机场管理集团有限公司本部、各全资、控股公司及集团公司所属非法人实体单位的所有采购项目。特此声明！</w:t>
      </w:r>
    </w:p>
    <w:p>
      <w:pPr>
        <w:widowControl/>
        <w:snapToGrid w:val="0"/>
        <w:ind w:firstLine="640" w:firstLineChars="200"/>
        <w:jc w:val="left"/>
        <w:rPr>
          <w:rFonts w:hint="eastAsia" w:ascii="仿宋_GB2312" w:hAnsi="宋体" w:eastAsia="仿宋_GB2312"/>
          <w:color w:val="000000"/>
          <w:sz w:val="32"/>
          <w:szCs w:val="18"/>
        </w:rPr>
      </w:pPr>
    </w:p>
    <w:p>
      <w:pPr>
        <w:widowControl/>
        <w:tabs>
          <w:tab w:val="left" w:pos="142"/>
        </w:tabs>
        <w:autoSpaceDE w:val="0"/>
        <w:autoSpaceDN w:val="0"/>
        <w:spacing w:line="288" w:lineRule="auto"/>
        <w:ind w:firstLine="424" w:firstLineChars="202"/>
        <w:textAlignment w:val="bottom"/>
        <w:rPr>
          <w:rFonts w:hint="eastAsia"/>
        </w:rPr>
      </w:pPr>
      <w:r>
        <w:rPr>
          <w:rFonts w:hint="eastAsia"/>
        </w:rPr>
        <w:t xml:space="preserve">供应商名称：（公章）  </w:t>
      </w:r>
      <w:r>
        <w:rPr>
          <w:rFonts w:hint="eastAsia"/>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u w:val="single"/>
        </w:rPr>
      </w:pPr>
      <w:r>
        <w:rPr>
          <w:rFonts w:hint="eastAsia"/>
        </w:rPr>
        <w:t>授权代表姓名、职务（印刷体）：</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rPr>
      </w:pPr>
      <w:r>
        <w:rPr>
          <w:rFonts w:hint="eastAsia"/>
        </w:rPr>
        <w:t>法定代表人或授权代表签名：</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rPr>
          <w:rFonts w:hint="eastAsia"/>
        </w:rPr>
      </w:pPr>
      <w:r>
        <w:t xml:space="preserve">               </w:t>
      </w:r>
    </w:p>
    <w:p>
      <w:pPr>
        <w:widowControl/>
        <w:tabs>
          <w:tab w:val="left" w:pos="142"/>
        </w:tabs>
        <w:autoSpaceDE w:val="0"/>
        <w:autoSpaceDN w:val="0"/>
        <w:spacing w:line="288" w:lineRule="auto"/>
        <w:ind w:firstLine="424" w:firstLineChars="202"/>
        <w:textAlignment w:val="bottom"/>
        <w:rPr>
          <w:rFonts w:hint="eastAsia"/>
        </w:rPr>
      </w:pPr>
      <w:r>
        <w:rPr>
          <w:rFonts w:hint="eastAsia"/>
        </w:rPr>
        <w:t>公章：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widowControl/>
        <w:tabs>
          <w:tab w:val="left" w:pos="142"/>
        </w:tabs>
        <w:autoSpaceDE w:val="0"/>
        <w:autoSpaceDN w:val="0"/>
        <w:spacing w:line="288" w:lineRule="auto"/>
        <w:ind w:firstLine="424" w:firstLineChars="202"/>
        <w:textAlignment w:val="bottom"/>
      </w:pPr>
    </w:p>
    <w:p>
      <w:pPr>
        <w:widowControl/>
        <w:tabs>
          <w:tab w:val="left" w:pos="142"/>
        </w:tabs>
        <w:autoSpaceDE w:val="0"/>
        <w:autoSpaceDN w:val="0"/>
        <w:spacing w:line="288" w:lineRule="auto"/>
        <w:ind w:firstLine="424" w:firstLineChars="202"/>
        <w:textAlignment w:val="bottom"/>
        <w:rPr>
          <w:rFonts w:hint="eastAsia" w:ascii="黑体" w:hAnsi="黑体" w:eastAsia="黑体"/>
          <w:color w:val="000000"/>
          <w:sz w:val="32"/>
          <w:szCs w:val="18"/>
        </w:rPr>
      </w:pPr>
      <w:r>
        <w:rPr>
          <w:rFonts w:hint="eastAsia"/>
        </w:rPr>
        <w:t>日期：</w:t>
      </w:r>
      <w: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pPr>
        <w:pStyle w:val="9"/>
        <w:spacing w:line="360" w:lineRule="auto"/>
        <w:rPr>
          <w:rFonts w:hint="eastAsia" w:hAnsi="宋体"/>
          <w:b/>
          <w:bCs/>
          <w:kern w:val="44"/>
          <w:sz w:val="28"/>
          <w:szCs w:val="44"/>
        </w:rPr>
      </w:pPr>
    </w:p>
    <w:p>
      <w:pPr>
        <w:pStyle w:val="3"/>
        <w:snapToGrid w:val="0"/>
        <w:spacing w:before="240" w:after="240" w:line="240" w:lineRule="auto"/>
        <w:jc w:val="left"/>
        <w:rPr>
          <w:rFonts w:hint="eastAsia" w:ascii="宋体" w:hAnsi="宋体"/>
          <w:sz w:val="24"/>
        </w:rPr>
      </w:pPr>
      <w:bookmarkStart w:id="96" w:name="_Toc22149485"/>
      <w:r>
        <w:rPr>
          <w:rFonts w:hint="eastAsia" w:ascii="宋体" w:hAnsi="宋体"/>
          <w:sz w:val="24"/>
        </w:rPr>
        <w:t>附录</w:t>
      </w:r>
      <w:r>
        <w:rPr>
          <w:rFonts w:ascii="宋体" w:hAnsi="宋体"/>
          <w:sz w:val="24"/>
        </w:rPr>
        <w:t>4</w:t>
      </w:r>
      <w:bookmarkEnd w:id="96"/>
    </w:p>
    <w:p>
      <w:pPr>
        <w:pStyle w:val="4"/>
        <w:numPr>
          <w:ilvl w:val="0"/>
          <w:numId w:val="0"/>
        </w:numPr>
        <w:spacing w:before="120" w:after="120"/>
        <w:ind w:left="425"/>
      </w:pPr>
      <w:bookmarkStart w:id="97" w:name="_Toc328942813"/>
      <w:bookmarkStart w:id="98" w:name="_Toc468915640"/>
      <w:bookmarkStart w:id="99" w:name="_Toc196204536"/>
      <w:bookmarkStart w:id="100" w:name="_Toc393199696"/>
      <w:bookmarkStart w:id="101" w:name="_Toc485798083"/>
      <w:bookmarkStart w:id="102" w:name="_Toc196204746"/>
      <w:bookmarkStart w:id="103" w:name="_Toc196204640"/>
      <w:bookmarkStart w:id="104" w:name="_Toc22149486"/>
      <w:bookmarkStart w:id="105" w:name="_Toc468915202"/>
      <w:r>
        <w:t>4</w:t>
      </w:r>
      <w:r>
        <w:rPr>
          <w:rFonts w:hint="eastAsia"/>
        </w:rPr>
        <w:t>.1法定代表人证明书</w:t>
      </w:r>
      <w:bookmarkEnd w:id="97"/>
      <w:bookmarkEnd w:id="98"/>
      <w:bookmarkEnd w:id="99"/>
      <w:bookmarkEnd w:id="100"/>
      <w:bookmarkEnd w:id="101"/>
      <w:bookmarkEnd w:id="102"/>
      <w:bookmarkEnd w:id="103"/>
      <w:bookmarkEnd w:id="104"/>
      <w:bookmarkEnd w:id="105"/>
    </w:p>
    <w:p>
      <w:pPr>
        <w:wordWrap w:val="0"/>
        <w:snapToGrid w:val="0"/>
        <w:spacing w:line="360" w:lineRule="auto"/>
        <w:jc w:val="center"/>
        <w:rPr>
          <w:rFonts w:hint="eastAsia" w:ascii="宋体" w:cs="宋体"/>
          <w:b/>
          <w:sz w:val="32"/>
          <w:szCs w:val="21"/>
        </w:rPr>
      </w:pPr>
    </w:p>
    <w:p>
      <w:pPr>
        <w:wordWrap w:val="0"/>
        <w:snapToGrid w:val="0"/>
        <w:spacing w:line="360" w:lineRule="auto"/>
        <w:jc w:val="center"/>
        <w:rPr>
          <w:rFonts w:ascii="宋体" w:cs="宋体"/>
          <w:b/>
          <w:sz w:val="32"/>
          <w:szCs w:val="21"/>
        </w:rPr>
      </w:pPr>
      <w:r>
        <w:rPr>
          <w:rFonts w:hint="eastAsia" w:ascii="宋体" w:cs="宋体"/>
          <w:b/>
          <w:sz w:val="32"/>
          <w:szCs w:val="21"/>
        </w:rPr>
        <w:t>法定代表人证明书</w:t>
      </w:r>
    </w:p>
    <w:p>
      <w:pPr>
        <w:wordWrap w:val="0"/>
        <w:spacing w:before="156" w:beforeLines="50"/>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现任我单位</w:t>
      </w:r>
      <w:r>
        <w:rPr>
          <w:rFonts w:hint="eastAsia" w:ascii="宋体" w:hAnsi="宋体"/>
          <w:szCs w:val="21"/>
          <w:u w:val="single"/>
        </w:rPr>
        <w:t xml:space="preserve">                  </w:t>
      </w:r>
      <w:r>
        <w:rPr>
          <w:rFonts w:hint="eastAsia" w:ascii="宋体" w:hAnsi="宋体"/>
          <w:szCs w:val="21"/>
        </w:rPr>
        <w:t>职务，为法定代表人（负责人），特此证明。</w:t>
      </w:r>
    </w:p>
    <w:p>
      <w:pPr>
        <w:wordWrap w:val="0"/>
        <w:snapToGrid w:val="0"/>
        <w:spacing w:line="480" w:lineRule="atLeast"/>
        <w:ind w:firstLine="420" w:firstLineChars="200"/>
        <w:rPr>
          <w:rFonts w:hint="eastAsia" w:ascii="宋体" w:hAnsi="宋体"/>
          <w:szCs w:val="21"/>
          <w:u w:val="single"/>
        </w:rPr>
      </w:pPr>
      <w:r>
        <w:rPr>
          <w:rFonts w:hint="eastAsia" w:ascii="宋体" w:hAnsi="宋体"/>
          <w:szCs w:val="21"/>
        </w:rPr>
        <w:t>有效期限：</w:t>
      </w:r>
      <w:r>
        <w:rPr>
          <w:rFonts w:hint="eastAsia" w:ascii="宋体" w:hAnsi="宋体"/>
          <w:szCs w:val="21"/>
          <w:u w:val="single"/>
        </w:rPr>
        <w:t xml:space="preserve">                </w:t>
      </w:r>
      <w:r>
        <w:rPr>
          <w:rFonts w:hint="eastAsia" w:ascii="宋体" w:hAnsi="宋体"/>
          <w:szCs w:val="21"/>
        </w:rPr>
        <w:t>签发日期：</w:t>
      </w:r>
      <w:r>
        <w:rPr>
          <w:rFonts w:hint="eastAsia" w:ascii="宋体" w:hAnsi="宋体"/>
          <w:szCs w:val="21"/>
          <w:u w:val="single"/>
        </w:rPr>
        <w:t xml:space="preserve">                </w:t>
      </w:r>
    </w:p>
    <w:p>
      <w:pPr>
        <w:wordWrap w:val="0"/>
        <w:snapToGrid w:val="0"/>
        <w:spacing w:line="480" w:lineRule="atLeast"/>
        <w:ind w:firstLine="420" w:firstLineChars="200"/>
        <w:rPr>
          <w:rFonts w:ascii="宋体" w:hAnsi="宋体"/>
          <w:szCs w:val="21"/>
          <w:u w:val="single"/>
        </w:rPr>
      </w:pPr>
      <w:r>
        <w:rPr>
          <w:rFonts w:hint="eastAsia" w:ascii="宋体" w:hAnsi="宋体"/>
          <w:szCs w:val="21"/>
        </w:rPr>
        <w:t>附：法定代表人（负责人）性别：</w:t>
      </w:r>
      <w:r>
        <w:rPr>
          <w:rFonts w:hint="eastAsia" w:ascii="宋体" w:hAnsi="宋体"/>
          <w:szCs w:val="21"/>
          <w:u w:val="single"/>
        </w:rPr>
        <w:t>　   　</w:t>
      </w:r>
      <w:r>
        <w:rPr>
          <w:rFonts w:hint="eastAsia" w:ascii="宋体" w:hAnsi="宋体"/>
          <w:szCs w:val="21"/>
        </w:rPr>
        <w:t>年龄：</w:t>
      </w:r>
      <w:r>
        <w:rPr>
          <w:rFonts w:hint="eastAsia" w:ascii="宋体" w:hAnsi="宋体"/>
          <w:szCs w:val="21"/>
          <w:u w:val="single"/>
        </w:rPr>
        <w:t>　 　</w:t>
      </w:r>
      <w:r>
        <w:rPr>
          <w:rFonts w:hint="eastAsia" w:ascii="宋体" w:hAnsi="宋体"/>
          <w:szCs w:val="21"/>
        </w:rPr>
        <w:t>身份证号码：</w:t>
      </w:r>
    </w:p>
    <w:p>
      <w:pPr>
        <w:wordWrap w:val="0"/>
        <w:snapToGrid w:val="0"/>
        <w:spacing w:line="480" w:lineRule="atLeast"/>
        <w:ind w:firstLine="840" w:firstLineChars="400"/>
        <w:rPr>
          <w:rFonts w:ascii="宋体" w:hAnsi="宋体"/>
          <w:szCs w:val="21"/>
          <w:u w:val="single"/>
        </w:rPr>
      </w:pPr>
      <w:r>
        <w:rPr>
          <w:rFonts w:hint="eastAsia" w:ascii="宋体" w:hAnsi="宋体"/>
          <w:szCs w:val="21"/>
        </w:rPr>
        <w:t>注册号码：</w:t>
      </w:r>
      <w:r>
        <w:rPr>
          <w:rFonts w:hint="eastAsia" w:ascii="宋体" w:hAnsi="宋体"/>
          <w:szCs w:val="21"/>
          <w:u w:val="single"/>
        </w:rPr>
        <w:t>　                  　</w:t>
      </w:r>
      <w:r>
        <w:rPr>
          <w:rFonts w:hint="eastAsia" w:ascii="宋体" w:hAnsi="宋体"/>
          <w:szCs w:val="21"/>
        </w:rPr>
        <w:t xml:space="preserve"> 企业类型：</w:t>
      </w:r>
      <w:r>
        <w:rPr>
          <w:rFonts w:hint="eastAsia" w:ascii="宋体" w:hAnsi="宋体"/>
          <w:szCs w:val="21"/>
          <w:u w:val="single"/>
        </w:rPr>
        <w:t>　                  　</w:t>
      </w:r>
    </w:p>
    <w:p>
      <w:pPr>
        <w:wordWrap w:val="0"/>
        <w:snapToGrid w:val="0"/>
        <w:spacing w:line="480" w:lineRule="atLeast"/>
        <w:ind w:firstLine="840" w:firstLineChars="400"/>
        <w:rPr>
          <w:rFonts w:hint="eastAsia" w:ascii="宋体" w:hAnsi="宋体"/>
          <w:szCs w:val="21"/>
        </w:rPr>
      </w:pPr>
      <w:r>
        <w:rPr>
          <w:rFonts w:hint="eastAsia" w:ascii="宋体" w:hAnsi="宋体"/>
          <w:szCs w:val="21"/>
        </w:rPr>
        <w:t>经营范围：</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u w:val="single"/>
        </w:rPr>
      </w:pPr>
      <w:r>
        <w:rPr>
          <w:rFonts w:hint="eastAsia" w:ascii="宋体" w:hAnsi="宋体"/>
          <w:szCs w:val="21"/>
          <w:u w:val="single"/>
        </w:rPr>
        <w:t xml:space="preserve">                                                                 </w:t>
      </w:r>
    </w:p>
    <w:p>
      <w:pPr>
        <w:wordWrap w:val="0"/>
        <w:snapToGrid w:val="0"/>
        <w:spacing w:line="480" w:lineRule="atLeast"/>
        <w:ind w:firstLine="840" w:firstLineChars="400"/>
        <w:rPr>
          <w:rFonts w:hint="eastAsia" w:ascii="宋体" w:hAnsi="宋体"/>
          <w:szCs w:val="21"/>
        </w:rPr>
      </w:pPr>
    </w:p>
    <w:p>
      <w:pPr>
        <w:wordWrap w:val="0"/>
        <w:snapToGrid w:val="0"/>
        <w:spacing w:line="480" w:lineRule="atLeast"/>
        <w:ind w:firstLine="840" w:firstLineChars="400"/>
        <w:rPr>
          <w:rFonts w:hint="eastAsia" w:ascii="宋体" w:hAnsi="宋体"/>
          <w:bCs/>
          <w:szCs w:val="21"/>
          <w:u w:val="single"/>
        </w:rPr>
      </w:pPr>
      <w:r>
        <w:rPr>
          <w:rFonts w:hint="eastAsia" w:ascii="宋体" w:hAnsi="宋体"/>
          <w:szCs w:val="21"/>
        </w:rPr>
        <w:t>单位：（盖公章）</w:t>
      </w:r>
      <w:r>
        <w:rPr>
          <w:rFonts w:hint="eastAsia" w:ascii="宋体" w:hAnsi="宋体"/>
          <w:bCs/>
          <w:szCs w:val="21"/>
          <w:u w:val="single"/>
        </w:rPr>
        <w:t xml:space="preserve">                                                  </w:t>
      </w:r>
    </w:p>
    <w:p>
      <w:pPr>
        <w:wordWrap w:val="0"/>
        <w:snapToGrid w:val="0"/>
        <w:spacing w:line="480" w:lineRule="atLeast"/>
        <w:ind w:firstLine="840" w:firstLineChars="400"/>
        <w:rPr>
          <w:rFonts w:hint="eastAsia" w:ascii="宋体" w:hAnsi="宋体"/>
          <w:bCs/>
          <w:szCs w:val="21"/>
          <w:u w:val="single"/>
        </w:rPr>
      </w:pPr>
    </w:p>
    <w:p>
      <w:pPr>
        <w:wordWrap w:val="0"/>
        <w:snapToGrid w:val="0"/>
        <w:spacing w:line="480" w:lineRule="atLeast"/>
        <w:ind w:firstLine="840" w:firstLineChars="400"/>
        <w:rPr>
          <w:rFonts w:hint="eastAsia" w:ascii="宋体" w:hAnsi="宋体"/>
          <w:szCs w:val="21"/>
        </w:rPr>
      </w:pPr>
      <w:r>
        <w:rPr>
          <w:rFonts w:hint="eastAsia" w:ascii="宋体" w:hAnsi="宋体"/>
          <w:szCs w:val="21"/>
        </w:rPr>
        <w:t>日期:　         年    月    日</w:t>
      </w:r>
    </w:p>
    <w:p>
      <w:pPr>
        <w:wordWrap w:val="0"/>
        <w:ind w:left="840"/>
        <w:rPr>
          <w:rFonts w:hint="eastAsia" w:ascii="宋体" w:hAnsi="宋体"/>
          <w:szCs w:val="21"/>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ind w:left="840"/>
        <w:rPr>
          <w:rFonts w:hint="eastAsia" w:ascii="宋体" w:hAnsi="宋体"/>
          <w:sz w:val="24"/>
        </w:rPr>
      </w:pPr>
    </w:p>
    <w:p>
      <w:pPr>
        <w:pStyle w:val="4"/>
        <w:numPr>
          <w:ilvl w:val="0"/>
          <w:numId w:val="0"/>
        </w:numPr>
        <w:spacing w:before="156" w:after="156"/>
        <w:ind w:left="424" w:leftChars="202"/>
      </w:pPr>
      <w:bookmarkStart w:id="106" w:name="_Toc22149487"/>
      <w:bookmarkStart w:id="107" w:name="_Toc328942812"/>
      <w:bookmarkStart w:id="108" w:name="_Toc393199695"/>
      <w:bookmarkStart w:id="109" w:name="_Toc468915639"/>
      <w:bookmarkStart w:id="110" w:name="_Toc485798084"/>
      <w:bookmarkStart w:id="111" w:name="_Toc468915201"/>
      <w:bookmarkStart w:id="112" w:name="_Toc196204745"/>
      <w:bookmarkStart w:id="113" w:name="_Toc196204535"/>
      <w:bookmarkStart w:id="114" w:name="_Toc196204639"/>
      <w:r>
        <w:t>4</w:t>
      </w:r>
      <w:r>
        <w:rPr>
          <w:rFonts w:hint="eastAsia"/>
        </w:rPr>
        <w:t>.2法定代表人授权书</w:t>
      </w:r>
      <w:bookmarkEnd w:id="106"/>
      <w:bookmarkEnd w:id="107"/>
      <w:bookmarkEnd w:id="108"/>
      <w:bookmarkEnd w:id="109"/>
      <w:bookmarkEnd w:id="110"/>
      <w:bookmarkEnd w:id="111"/>
      <w:bookmarkEnd w:id="112"/>
      <w:bookmarkEnd w:id="113"/>
      <w:bookmarkEnd w:id="114"/>
    </w:p>
    <w:p>
      <w:pPr>
        <w:spacing w:line="360" w:lineRule="auto"/>
        <w:ind w:left="424" w:leftChars="202"/>
        <w:jc w:val="center"/>
        <w:rPr>
          <w:rFonts w:ascii="宋体" w:hAnsi="宋体"/>
          <w:spacing w:val="20"/>
          <w:sz w:val="32"/>
          <w:szCs w:val="32"/>
        </w:rPr>
      </w:pPr>
      <w:r>
        <w:rPr>
          <w:rFonts w:hint="eastAsia" w:ascii="宋体" w:hAnsi="宋体"/>
          <w:b/>
          <w:sz w:val="32"/>
          <w:szCs w:val="32"/>
        </w:rPr>
        <w:t>法</w:t>
      </w:r>
      <w:r>
        <w:rPr>
          <w:rFonts w:hint="eastAsia" w:ascii="宋体" w:hAnsi="宋体"/>
          <w:b/>
          <w:sz w:val="32"/>
          <w:szCs w:val="32"/>
          <w:lang w:eastAsia="zh-CN"/>
        </w:rPr>
        <w:t>定代表</w:t>
      </w:r>
      <w:r>
        <w:rPr>
          <w:rFonts w:hint="eastAsia" w:ascii="宋体" w:hAnsi="宋体"/>
          <w:b/>
          <w:sz w:val="32"/>
          <w:szCs w:val="32"/>
        </w:rPr>
        <w:t>人授权书</w:t>
      </w:r>
    </w:p>
    <w:p>
      <w:pPr>
        <w:wordWrap w:val="0"/>
        <w:spacing w:line="600" w:lineRule="exact"/>
        <w:ind w:left="424" w:leftChars="202"/>
        <w:rPr>
          <w:rFonts w:hint="eastAsia" w:ascii="宋体" w:hAnsi="宋体"/>
          <w:szCs w:val="21"/>
        </w:rPr>
      </w:pPr>
      <w:r>
        <w:rPr>
          <w:rFonts w:hint="eastAsia" w:ascii="宋体" w:hAnsi="宋体"/>
          <w:szCs w:val="21"/>
        </w:rPr>
        <w:t>致：广东省机场管理集团有限公司</w:t>
      </w:r>
    </w:p>
    <w:p>
      <w:pPr>
        <w:wordWrap w:val="0"/>
        <w:spacing w:line="600" w:lineRule="exact"/>
        <w:ind w:left="424" w:leftChars="202"/>
        <w:rPr>
          <w:rFonts w:ascii="宋体" w:hAnsi="宋体"/>
          <w:szCs w:val="21"/>
        </w:rPr>
      </w:pPr>
    </w:p>
    <w:p>
      <w:pPr>
        <w:wordWrap w:val="0"/>
        <w:spacing w:line="600" w:lineRule="exact"/>
        <w:ind w:left="424" w:leftChars="202" w:firstLine="420" w:firstLineChars="200"/>
        <w:rPr>
          <w:rFonts w:ascii="宋体" w:hAnsi="宋体"/>
          <w:szCs w:val="21"/>
        </w:rPr>
      </w:pPr>
      <w:r>
        <w:rPr>
          <w:rFonts w:hint="eastAsia" w:ascii="宋体" w:hAnsi="宋体"/>
          <w:szCs w:val="21"/>
        </w:rPr>
        <w:t>本授权书宣告：</w:t>
      </w:r>
      <w:r>
        <w:rPr>
          <w:rFonts w:hint="eastAsia" w:ascii="宋体" w:hAnsi="宋体"/>
          <w:szCs w:val="21"/>
          <w:u w:val="single"/>
        </w:rPr>
        <w:t xml:space="preserve">（供应商名称）  （职务）   （法定代表人姓名） </w:t>
      </w:r>
      <w:r>
        <w:rPr>
          <w:rFonts w:hint="eastAsia" w:ascii="宋体" w:hAnsi="宋体"/>
          <w:szCs w:val="21"/>
        </w:rPr>
        <w:t xml:space="preserve">是本单位的法定代表人，授权 </w:t>
      </w:r>
      <w:r>
        <w:rPr>
          <w:rFonts w:hint="eastAsia" w:ascii="宋体" w:hAnsi="宋体"/>
          <w:szCs w:val="21"/>
          <w:u w:val="single"/>
        </w:rPr>
        <w:t xml:space="preserve">（职务）  （姓名） </w:t>
      </w:r>
      <w:r>
        <w:rPr>
          <w:rFonts w:hint="eastAsia" w:ascii="宋体" w:hAnsi="宋体"/>
          <w:szCs w:val="21"/>
        </w:rPr>
        <w:t>为我单位代理人，该代理人有权在</w:t>
      </w:r>
      <w:r>
        <w:rPr>
          <w:rFonts w:hint="eastAsia" w:ascii="宋体"/>
          <w:szCs w:val="21"/>
        </w:rPr>
        <w:t>广东省机场管理集团有限公司</w:t>
      </w:r>
      <w:r>
        <w:rPr>
          <w:rFonts w:hint="eastAsia" w:ascii="宋体" w:hAnsi="宋体"/>
          <w:color w:val="auto"/>
          <w:szCs w:val="21"/>
          <w:lang w:eastAsia="zh-CN"/>
        </w:rPr>
        <w:t>安全生产专项整治三年行动中期评估项目</w:t>
      </w:r>
      <w:r>
        <w:rPr>
          <w:rFonts w:hint="eastAsia" w:ascii="宋体" w:hAnsi="宋体"/>
          <w:szCs w:val="21"/>
        </w:rPr>
        <w:t>的报价活动中，以我单位的名义签署报价文件，与采购人协商、签订合同协议书以及执行一切与此有关的事项。</w:t>
      </w:r>
    </w:p>
    <w:p>
      <w:pPr>
        <w:wordWrap w:val="0"/>
        <w:spacing w:line="600" w:lineRule="exact"/>
        <w:ind w:left="424" w:leftChars="202"/>
        <w:rPr>
          <w:rFonts w:ascii="宋体" w:hAnsi="宋体"/>
          <w:szCs w:val="21"/>
        </w:rPr>
      </w:pPr>
    </w:p>
    <w:p>
      <w:pPr>
        <w:wordWrap w:val="0"/>
        <w:spacing w:line="600" w:lineRule="exact"/>
        <w:ind w:left="424" w:leftChars="202"/>
        <w:rPr>
          <w:rFonts w:ascii="宋体" w:hAnsi="宋体"/>
          <w:bCs/>
          <w:szCs w:val="21"/>
          <w:u w:val="single"/>
        </w:rPr>
      </w:pPr>
      <w:r>
        <w:rPr>
          <w:rFonts w:hint="eastAsia" w:ascii="宋体" w:hAnsi="宋体"/>
          <w:bCs/>
          <w:szCs w:val="21"/>
        </w:rPr>
        <w:t>供应商：（盖公章）</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bCs/>
          <w:szCs w:val="21"/>
        </w:rPr>
      </w:pPr>
      <w:r>
        <w:rPr>
          <w:rFonts w:hint="eastAsia" w:ascii="宋体" w:hAnsi="宋体"/>
          <w:bCs/>
          <w:szCs w:val="21"/>
        </w:rPr>
        <w:t>法定代表人：（签字）</w:t>
      </w:r>
      <w:r>
        <w:rPr>
          <w:rFonts w:hint="eastAsia" w:ascii="宋体" w:hAnsi="宋体"/>
          <w:bCs/>
          <w:szCs w:val="21"/>
          <w:u w:val="single"/>
        </w:rPr>
        <w:t xml:space="preserve">                                         </w:t>
      </w:r>
    </w:p>
    <w:p>
      <w:pPr>
        <w:wordWrap w:val="0"/>
        <w:spacing w:line="600" w:lineRule="exact"/>
        <w:ind w:left="424" w:leftChars="202"/>
        <w:rPr>
          <w:rFonts w:ascii="宋体" w:hAnsi="宋体"/>
          <w:bCs/>
          <w:szCs w:val="21"/>
        </w:rPr>
      </w:pPr>
    </w:p>
    <w:p>
      <w:pPr>
        <w:wordWrap w:val="0"/>
        <w:spacing w:line="600" w:lineRule="exact"/>
        <w:ind w:left="424" w:leftChars="202"/>
        <w:rPr>
          <w:rFonts w:ascii="宋体" w:hAnsi="宋体"/>
          <w:szCs w:val="21"/>
          <w:u w:val="single"/>
        </w:rPr>
      </w:pPr>
      <w:r>
        <w:rPr>
          <w:rFonts w:hint="eastAsia" w:ascii="宋体" w:hAnsi="宋体"/>
          <w:bCs/>
          <w:szCs w:val="21"/>
        </w:rPr>
        <w:t>被授权人（代理人）：（签字）</w:t>
      </w:r>
      <w:r>
        <w:rPr>
          <w:rFonts w:hint="eastAsia" w:ascii="宋体" w:hAnsi="宋体"/>
          <w:bCs/>
          <w:szCs w:val="21"/>
          <w:u w:val="single"/>
        </w:rPr>
        <w:t xml:space="preserve">                                  </w:t>
      </w:r>
    </w:p>
    <w:p>
      <w:pPr>
        <w:wordWrap w:val="0"/>
        <w:spacing w:line="600" w:lineRule="exact"/>
        <w:ind w:left="424" w:leftChars="202"/>
        <w:rPr>
          <w:rFonts w:ascii="宋体" w:hAnsi="宋体"/>
          <w:szCs w:val="21"/>
        </w:rPr>
      </w:pPr>
    </w:p>
    <w:p>
      <w:pPr>
        <w:wordWrap w:val="0"/>
        <w:spacing w:line="360" w:lineRule="auto"/>
        <w:ind w:left="424" w:leftChars="202"/>
        <w:rPr>
          <w:rFonts w:ascii="宋体"/>
          <w:bCs/>
          <w:szCs w:val="21"/>
        </w:rPr>
      </w:pPr>
      <w:r>
        <w:rPr>
          <w:rFonts w:hint="eastAsia" w:ascii="宋体" w:hAnsi="宋体"/>
          <w:szCs w:val="21"/>
        </w:rPr>
        <w:t>日期：  年  月  日</w:t>
      </w:r>
    </w:p>
    <w:p>
      <w:pPr>
        <w:wordWrap w:val="0"/>
        <w:spacing w:line="360" w:lineRule="auto"/>
        <w:ind w:left="424" w:leftChars="202"/>
        <w:rPr>
          <w:rFonts w:ascii="宋体" w:hAnsi="宋体"/>
          <w:bCs/>
        </w:rPr>
        <w:sectPr>
          <w:pgSz w:w="11907" w:h="16840"/>
          <w:pgMar w:top="1134" w:right="1134" w:bottom="1134" w:left="1134" w:header="567" w:footer="567" w:gutter="0"/>
          <w:cols w:space="720" w:num="1"/>
          <w:docGrid w:type="linesAndChars" w:linePitch="312" w:charSpace="0"/>
        </w:sectPr>
      </w:pPr>
    </w:p>
    <w:p>
      <w:pPr>
        <w:pStyle w:val="3"/>
        <w:snapToGrid w:val="0"/>
        <w:spacing w:before="240" w:after="240" w:line="240" w:lineRule="auto"/>
        <w:jc w:val="left"/>
        <w:rPr>
          <w:rFonts w:hint="eastAsia" w:ascii="宋体" w:hAnsi="宋体"/>
          <w:sz w:val="24"/>
        </w:rPr>
      </w:pPr>
      <w:bookmarkStart w:id="115" w:name="_Toc22149488"/>
      <w:r>
        <w:rPr>
          <w:rFonts w:hint="eastAsia" w:ascii="宋体" w:hAnsi="宋体"/>
          <w:sz w:val="24"/>
        </w:rPr>
        <w:t xml:space="preserve">附录5 </w:t>
      </w:r>
      <w:bookmarkEnd w:id="115"/>
    </w:p>
    <w:p>
      <w:pPr>
        <w:jc w:val="center"/>
        <w:rPr>
          <w:b/>
        </w:rPr>
      </w:pPr>
      <w:r>
        <w:rPr>
          <w:rFonts w:hint="eastAsia" w:ascii="宋体" w:hAnsi="宋体"/>
          <w:b/>
          <w:sz w:val="32"/>
        </w:rPr>
        <w:t>组织机构和人员</w:t>
      </w:r>
    </w:p>
    <w:p>
      <w:pPr>
        <w:pStyle w:val="4"/>
        <w:numPr>
          <w:ilvl w:val="0"/>
          <w:numId w:val="0"/>
        </w:numPr>
        <w:spacing w:before="120" w:after="120"/>
        <w:ind w:left="425"/>
        <w:rPr>
          <w:sz w:val="21"/>
          <w:szCs w:val="21"/>
        </w:rPr>
      </w:pPr>
      <w:bookmarkStart w:id="116" w:name="_Toc468915642"/>
      <w:bookmarkStart w:id="117" w:name="_Toc326763625"/>
      <w:bookmarkStart w:id="118" w:name="_Toc64905059"/>
      <w:bookmarkStart w:id="119" w:name="_Toc485798087"/>
      <w:bookmarkStart w:id="120" w:name="_Toc22149489"/>
      <w:bookmarkStart w:id="121" w:name="_Toc468915204"/>
      <w:bookmarkStart w:id="122" w:name="_Toc328942816"/>
      <w:bookmarkStart w:id="123" w:name="_Toc393199699"/>
      <w:bookmarkStart w:id="124" w:name="_Toc64906895"/>
      <w:r>
        <w:rPr>
          <w:rFonts w:hint="eastAsia"/>
          <w:sz w:val="21"/>
          <w:szCs w:val="21"/>
        </w:rPr>
        <w:t>5</w:t>
      </w:r>
      <w:r>
        <w:rPr>
          <w:sz w:val="21"/>
          <w:szCs w:val="21"/>
        </w:rPr>
        <w:t>.1</w:t>
      </w:r>
      <w:r>
        <w:rPr>
          <w:rFonts w:hint="eastAsia"/>
          <w:sz w:val="21"/>
          <w:szCs w:val="21"/>
        </w:rPr>
        <w:tab/>
      </w:r>
      <w:r>
        <w:rPr>
          <w:rFonts w:hint="eastAsia"/>
          <w:sz w:val="21"/>
          <w:szCs w:val="21"/>
        </w:rPr>
        <w:t>组织机构</w:t>
      </w:r>
      <w:bookmarkEnd w:id="116"/>
      <w:bookmarkEnd w:id="117"/>
      <w:bookmarkEnd w:id="118"/>
      <w:bookmarkEnd w:id="119"/>
      <w:bookmarkEnd w:id="120"/>
      <w:bookmarkEnd w:id="121"/>
      <w:bookmarkEnd w:id="122"/>
      <w:bookmarkEnd w:id="123"/>
      <w:bookmarkEnd w:id="124"/>
    </w:p>
    <w:p>
      <w:pPr>
        <w:spacing w:line="360" w:lineRule="auto"/>
        <w:ind w:firstLine="359" w:firstLineChars="171"/>
        <w:rPr>
          <w:rFonts w:ascii="宋体" w:hAnsi="宋体"/>
          <w:szCs w:val="21"/>
        </w:rPr>
      </w:pPr>
      <w:r>
        <w:rPr>
          <w:rFonts w:hint="eastAsia" w:ascii="宋体" w:hAnsi="宋体"/>
          <w:szCs w:val="21"/>
        </w:rPr>
        <w:t>供应商应提供拟委派本项目的管理机构和组织机构图，并在图中表明与供应商总部的关系。注明在项目组织机构图中各主要设计人员的具体安排情况。</w:t>
      </w:r>
    </w:p>
    <w:p>
      <w:pPr>
        <w:pStyle w:val="4"/>
        <w:numPr>
          <w:ilvl w:val="0"/>
          <w:numId w:val="0"/>
        </w:numPr>
        <w:spacing w:before="120" w:after="120"/>
        <w:ind w:left="425"/>
        <w:rPr>
          <w:sz w:val="21"/>
          <w:szCs w:val="21"/>
        </w:rPr>
      </w:pPr>
      <w:bookmarkStart w:id="125" w:name="_Toc468915205"/>
      <w:bookmarkStart w:id="126" w:name="_Toc22149490"/>
      <w:bookmarkStart w:id="127" w:name="_Toc64905060"/>
      <w:bookmarkStart w:id="128" w:name="_Toc64906896"/>
      <w:bookmarkStart w:id="129" w:name="_Toc328942817"/>
      <w:bookmarkStart w:id="130" w:name="_Toc468915643"/>
      <w:bookmarkStart w:id="131" w:name="_Toc326763626"/>
      <w:bookmarkStart w:id="132" w:name="_Toc485798088"/>
      <w:bookmarkStart w:id="133" w:name="_Toc393199700"/>
      <w:r>
        <w:rPr>
          <w:rFonts w:hint="eastAsia"/>
          <w:sz w:val="21"/>
          <w:szCs w:val="21"/>
        </w:rPr>
        <w:t>5</w:t>
      </w:r>
      <w:r>
        <w:rPr>
          <w:sz w:val="21"/>
          <w:szCs w:val="21"/>
        </w:rPr>
        <w:t>.2</w:t>
      </w:r>
      <w:r>
        <w:rPr>
          <w:rFonts w:hint="eastAsia"/>
          <w:sz w:val="21"/>
          <w:szCs w:val="21"/>
        </w:rPr>
        <w:tab/>
      </w:r>
      <w:r>
        <w:rPr>
          <w:rFonts w:hint="eastAsia"/>
          <w:sz w:val="21"/>
          <w:szCs w:val="21"/>
        </w:rPr>
        <w:t>现场主要人员安排</w:t>
      </w:r>
      <w:bookmarkEnd w:id="125"/>
      <w:bookmarkEnd w:id="126"/>
      <w:bookmarkEnd w:id="127"/>
      <w:bookmarkEnd w:id="128"/>
      <w:bookmarkEnd w:id="129"/>
      <w:bookmarkEnd w:id="130"/>
      <w:bookmarkEnd w:id="131"/>
      <w:bookmarkEnd w:id="132"/>
      <w:bookmarkEnd w:id="133"/>
    </w:p>
    <w:p>
      <w:pPr>
        <w:spacing w:line="360" w:lineRule="auto"/>
        <w:ind w:firstLine="359" w:firstLineChars="171"/>
        <w:rPr>
          <w:rFonts w:ascii="宋体" w:hAnsi="宋体"/>
          <w:szCs w:val="21"/>
        </w:rPr>
      </w:pPr>
      <w:r>
        <w:rPr>
          <w:rFonts w:hint="eastAsia" w:ascii="宋体" w:hAnsi="宋体"/>
          <w:szCs w:val="21"/>
        </w:rPr>
        <w:t>供应商应列出拟在本项目中任职的主要管理人员和专业人员的安排，应包括项目总负责人，项目经理、项目组工作人员等，详见如下表格：</w:t>
      </w:r>
    </w:p>
    <w:p>
      <w:pPr>
        <w:spacing w:line="360" w:lineRule="auto"/>
        <w:jc w:val="center"/>
        <w:rPr>
          <w:rFonts w:hint="eastAsia" w:ascii="宋体" w:hAnsi="宋体"/>
          <w:b/>
          <w:bCs/>
          <w:szCs w:val="21"/>
        </w:rPr>
      </w:pPr>
      <w:r>
        <w:rPr>
          <w:rFonts w:hint="eastAsia" w:ascii="宋体" w:hAnsi="宋体"/>
          <w:b/>
          <w:bCs/>
          <w:szCs w:val="21"/>
        </w:rPr>
        <w:t>本项目主要管理与服务人员安排（表一）</w:t>
      </w:r>
    </w:p>
    <w:p>
      <w:pPr>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rPr>
        <w:tab/>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序号</w:t>
            </w: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姓名</w:t>
            </w: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性别</w:t>
            </w: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年龄</w:t>
            </w: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职称</w:t>
            </w:r>
          </w:p>
        </w:tc>
        <w:tc>
          <w:tcPr>
            <w:tcW w:w="886"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专业</w:t>
            </w:r>
          </w:p>
        </w:tc>
        <w:tc>
          <w:tcPr>
            <w:tcW w:w="884"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最高学历</w:t>
            </w:r>
          </w:p>
        </w:tc>
        <w:tc>
          <w:tcPr>
            <w:tcW w:w="1250" w:type="dxa"/>
            <w:noWrap w:val="0"/>
            <w:vAlign w:val="center"/>
          </w:tcPr>
          <w:p>
            <w:pPr>
              <w:snapToGrid w:val="0"/>
              <w:jc w:val="center"/>
              <w:rPr>
                <w:rFonts w:hint="eastAsia" w:ascii="宋体" w:hAnsi="宋体" w:cs="宋体"/>
                <w:kern w:val="0"/>
                <w:szCs w:val="21"/>
              </w:rPr>
            </w:pPr>
            <w:r>
              <w:rPr>
                <w:rFonts w:hint="eastAsia" w:ascii="宋体" w:hAnsi="宋体" w:cs="宋体"/>
                <w:kern w:val="0"/>
                <w:szCs w:val="21"/>
              </w:rPr>
              <w:t>相关注</w:t>
            </w:r>
          </w:p>
          <w:p>
            <w:pPr>
              <w:pStyle w:val="21"/>
              <w:keepNext w:val="0"/>
              <w:adjustRightInd/>
              <w:spacing w:before="0" w:after="0" w:line="240" w:lineRule="auto"/>
              <w:rPr>
                <w:rFonts w:hint="eastAsia" w:ascii="宋体" w:hAnsi="宋体"/>
                <w:spacing w:val="0"/>
                <w:kern w:val="2"/>
                <w:sz w:val="21"/>
                <w:szCs w:val="21"/>
              </w:rPr>
            </w:pPr>
            <w:r>
              <w:rPr>
                <w:rFonts w:hint="eastAsia" w:ascii="宋体" w:hAnsi="宋体" w:cs="宋体"/>
                <w:sz w:val="21"/>
                <w:szCs w:val="21"/>
              </w:rPr>
              <w:t>册资格</w:t>
            </w: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r>
              <w:rPr>
                <w:rFonts w:hint="eastAsia" w:ascii="宋体" w:hAnsi="宋体"/>
                <w:spacing w:val="0"/>
                <w:kern w:val="2"/>
                <w:sz w:val="21"/>
                <w:szCs w:val="21"/>
              </w:rPr>
              <w:t>拟承担工作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68" w:type="dxa"/>
            <w:gridSpan w:val="9"/>
            <w:noWrap w:val="0"/>
            <w:vAlign w:val="center"/>
          </w:tcPr>
          <w:p>
            <w:pPr>
              <w:pStyle w:val="21"/>
              <w:keepNext w:val="0"/>
              <w:adjustRightInd/>
              <w:spacing w:before="0" w:after="0" w:line="240" w:lineRule="auto"/>
              <w:jc w:val="left"/>
              <w:rPr>
                <w:rFonts w:hint="eastAsia" w:ascii="宋体" w:hAnsi="宋体"/>
                <w:spacing w:val="0"/>
                <w:kern w:val="2"/>
                <w:sz w:val="21"/>
                <w:szCs w:val="21"/>
              </w:rPr>
            </w:pPr>
            <w:r>
              <w:rPr>
                <w:rFonts w:hint="eastAsia" w:ascii="宋体" w:hAnsi="宋体"/>
                <w:spacing w:val="0"/>
                <w:kern w:val="2"/>
                <w:sz w:val="21"/>
                <w:szCs w:val="21"/>
              </w:rPr>
              <w:t>项目总负责人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68" w:type="dxa"/>
            <w:gridSpan w:val="9"/>
            <w:noWrap w:val="0"/>
            <w:vAlign w:val="center"/>
          </w:tcPr>
          <w:p>
            <w:pPr>
              <w:pStyle w:val="21"/>
              <w:keepNext w:val="0"/>
              <w:adjustRightInd/>
              <w:spacing w:before="0" w:after="0" w:line="240" w:lineRule="auto"/>
              <w:jc w:val="left"/>
              <w:rPr>
                <w:rFonts w:hint="eastAsia" w:ascii="宋体" w:hAnsi="宋体"/>
                <w:spacing w:val="0"/>
                <w:kern w:val="2"/>
                <w:sz w:val="21"/>
                <w:szCs w:val="21"/>
              </w:rPr>
            </w:pPr>
            <w:r>
              <w:rPr>
                <w:rFonts w:hint="eastAsia" w:ascii="宋体" w:hAnsi="宋体"/>
                <w:spacing w:val="0"/>
                <w:kern w:val="2"/>
                <w:sz w:val="21"/>
                <w:szCs w:val="21"/>
              </w:rPr>
              <w:t>项目经理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768" w:type="dxa"/>
            <w:gridSpan w:val="9"/>
            <w:noWrap w:val="0"/>
            <w:vAlign w:val="center"/>
          </w:tcPr>
          <w:p>
            <w:pPr>
              <w:pStyle w:val="21"/>
              <w:keepNext w:val="0"/>
              <w:adjustRightInd/>
              <w:spacing w:before="0" w:after="0" w:line="240" w:lineRule="auto"/>
              <w:jc w:val="left"/>
              <w:rPr>
                <w:rFonts w:hint="eastAsia" w:ascii="宋体" w:hAnsi="宋体"/>
                <w:spacing w:val="0"/>
                <w:kern w:val="2"/>
                <w:sz w:val="21"/>
                <w:szCs w:val="21"/>
              </w:rPr>
            </w:pPr>
            <w:r>
              <w:rPr>
                <w:rFonts w:hint="eastAsia" w:ascii="宋体" w:hAnsi="宋体"/>
                <w:spacing w:val="0"/>
                <w:kern w:val="2"/>
                <w:sz w:val="21"/>
                <w:szCs w:val="21"/>
              </w:rPr>
              <w:t>项目组工作人员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52"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715"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7"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066"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886"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884" w:type="dxa"/>
            <w:noWrap w:val="0"/>
            <w:vAlign w:val="center"/>
          </w:tcPr>
          <w:p>
            <w:pPr>
              <w:pStyle w:val="21"/>
              <w:keepNext w:val="0"/>
              <w:adjustRightInd/>
              <w:spacing w:before="0" w:after="0" w:line="240" w:lineRule="auto"/>
              <w:jc w:val="both"/>
              <w:rPr>
                <w:rFonts w:hint="eastAsia" w:ascii="宋体" w:hAnsi="宋体"/>
                <w:spacing w:val="0"/>
                <w:kern w:val="2"/>
                <w:sz w:val="21"/>
                <w:szCs w:val="21"/>
              </w:rPr>
            </w:pPr>
          </w:p>
        </w:tc>
        <w:tc>
          <w:tcPr>
            <w:tcW w:w="1250" w:type="dxa"/>
            <w:noWrap w:val="0"/>
            <w:vAlign w:val="center"/>
          </w:tcPr>
          <w:p>
            <w:pPr>
              <w:pStyle w:val="21"/>
              <w:keepNext w:val="0"/>
              <w:adjustRightInd/>
              <w:spacing w:before="0" w:after="0" w:line="240" w:lineRule="auto"/>
              <w:rPr>
                <w:rFonts w:hint="eastAsia" w:ascii="宋体" w:hAnsi="宋体"/>
                <w:spacing w:val="0"/>
                <w:kern w:val="2"/>
                <w:sz w:val="21"/>
                <w:szCs w:val="21"/>
              </w:rPr>
            </w:pPr>
          </w:p>
        </w:tc>
        <w:tc>
          <w:tcPr>
            <w:tcW w:w="1441" w:type="dxa"/>
            <w:noWrap w:val="0"/>
            <w:vAlign w:val="center"/>
          </w:tcPr>
          <w:p>
            <w:pPr>
              <w:pStyle w:val="21"/>
              <w:keepNext w:val="0"/>
              <w:adjustRightInd/>
              <w:spacing w:before="0" w:after="0" w:line="240" w:lineRule="auto"/>
              <w:rPr>
                <w:rFonts w:hint="eastAsia" w:ascii="宋体" w:hAnsi="宋体"/>
                <w:spacing w:val="0"/>
                <w:kern w:val="2"/>
                <w:sz w:val="21"/>
                <w:szCs w:val="21"/>
              </w:rPr>
            </w:pPr>
          </w:p>
        </w:tc>
      </w:tr>
    </w:tbl>
    <w:p>
      <w:pPr>
        <w:spacing w:line="360" w:lineRule="auto"/>
        <w:jc w:val="center"/>
        <w:rPr>
          <w:rFonts w:hint="eastAsia" w:ascii="宋体" w:hAnsi="宋体"/>
          <w:b/>
          <w:bCs/>
          <w:szCs w:val="21"/>
        </w:rPr>
      </w:pPr>
      <w:r>
        <w:rPr>
          <w:rFonts w:hint="eastAsia" w:ascii="宋体" w:hAnsi="宋体"/>
          <w:bCs/>
          <w:szCs w:val="21"/>
        </w:rPr>
        <w:t>注：供应商应附上有关个人学历、学位、职称等证明文件（复印件，并加盖公章）</w:t>
      </w:r>
    </w:p>
    <w:p>
      <w:pPr>
        <w:spacing w:line="360" w:lineRule="auto"/>
        <w:jc w:val="center"/>
        <w:rPr>
          <w:rFonts w:ascii="宋体" w:hAnsi="宋体"/>
          <w:b/>
          <w:bCs/>
          <w:szCs w:val="21"/>
        </w:rPr>
      </w:pPr>
      <w:r>
        <w:rPr>
          <w:rFonts w:hint="eastAsia" w:ascii="宋体" w:hAnsi="宋体"/>
          <w:b/>
          <w:bCs/>
          <w:szCs w:val="21"/>
        </w:rPr>
        <w:t>主要人员简历与经验（表二）</w:t>
      </w:r>
    </w:p>
    <w:p>
      <w:pPr>
        <w:spacing w:line="360" w:lineRule="auto"/>
        <w:jc w:val="center"/>
        <w:rPr>
          <w:rFonts w:hint="eastAsia" w:ascii="宋体" w:hAnsi="宋体"/>
          <w:szCs w:val="21"/>
        </w:rPr>
      </w:pPr>
      <w:r>
        <w:rPr>
          <w:rFonts w:hint="eastAsia" w:ascii="宋体" w:hAnsi="宋体"/>
          <w:szCs w:val="21"/>
        </w:rPr>
        <w:t>（至少列写</w:t>
      </w:r>
      <w:r>
        <w:rPr>
          <w:rFonts w:hint="eastAsia" w:ascii="宋体" w:hAnsi="宋体"/>
          <w:szCs w:val="21"/>
          <w:lang w:val="en-US" w:eastAsia="zh-CN"/>
        </w:rPr>
        <w:t>3</w:t>
      </w:r>
      <w:r>
        <w:rPr>
          <w:rFonts w:hint="eastAsia" w:ascii="宋体" w:hAnsi="宋体"/>
          <w:szCs w:val="21"/>
        </w:rPr>
        <w:t>人）</w:t>
      </w:r>
    </w:p>
    <w:tbl>
      <w:tblPr>
        <w:tblStyle w:val="14"/>
        <w:tblW w:w="0" w:type="auto"/>
        <w:tblInd w:w="130" w:type="dxa"/>
        <w:tblLayout w:type="fixed"/>
        <w:tblCellMar>
          <w:top w:w="15" w:type="dxa"/>
          <w:left w:w="15" w:type="dxa"/>
          <w:bottom w:w="15" w:type="dxa"/>
          <w:right w:w="15" w:type="dxa"/>
        </w:tblCellMar>
      </w:tblPr>
      <w:tblGrid>
        <w:gridCol w:w="1134"/>
        <w:gridCol w:w="1591"/>
        <w:gridCol w:w="354"/>
        <w:gridCol w:w="403"/>
        <w:gridCol w:w="1542"/>
        <w:gridCol w:w="1670"/>
        <w:gridCol w:w="275"/>
        <w:gridCol w:w="1945"/>
      </w:tblGrid>
      <w:tr>
        <w:tblPrEx>
          <w:tblCellMar>
            <w:top w:w="15" w:type="dxa"/>
            <w:left w:w="15" w:type="dxa"/>
            <w:bottom w:w="15" w:type="dxa"/>
            <w:right w:w="15" w:type="dxa"/>
          </w:tblCellMar>
        </w:tblPrEx>
        <w:trPr>
          <w:trHeight w:val="456" w:hRule="atLeast"/>
        </w:trPr>
        <w:tc>
          <w:tcPr>
            <w:tcW w:w="1134" w:type="dxa"/>
            <w:tcBorders>
              <w:top w:val="single" w:color="000000" w:sz="2" w:space="0"/>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姓名</w:t>
            </w:r>
          </w:p>
        </w:tc>
        <w:tc>
          <w:tcPr>
            <w:tcW w:w="1591" w:type="dxa"/>
            <w:tcBorders>
              <w:top w:val="single" w:color="000000" w:sz="2" w:space="0"/>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757" w:type="dxa"/>
            <w:gridSpan w:val="2"/>
            <w:tcBorders>
              <w:top w:val="single" w:color="000000" w:sz="2" w:space="0"/>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年龄</w:t>
            </w:r>
          </w:p>
        </w:tc>
        <w:tc>
          <w:tcPr>
            <w:tcW w:w="1542" w:type="dxa"/>
            <w:tcBorders>
              <w:top w:val="single" w:color="000000" w:sz="2" w:space="0"/>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1670" w:type="dxa"/>
            <w:tcBorders>
              <w:top w:val="single" w:color="000000" w:sz="2" w:space="0"/>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出生日期</w:t>
            </w:r>
          </w:p>
        </w:tc>
        <w:tc>
          <w:tcPr>
            <w:tcW w:w="2220" w:type="dxa"/>
            <w:gridSpan w:val="2"/>
            <w:tcBorders>
              <w:top w:val="single" w:color="000000" w:sz="2" w:space="0"/>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r>
      <w:tr>
        <w:tblPrEx>
          <w:tblCellMar>
            <w:top w:w="15" w:type="dxa"/>
            <w:left w:w="15" w:type="dxa"/>
            <w:bottom w:w="15" w:type="dxa"/>
            <w:right w:w="15" w:type="dxa"/>
          </w:tblCellMar>
        </w:tblPrEx>
        <w:trPr>
          <w:trHeight w:val="449" w:hRule="atLeast"/>
        </w:trPr>
        <w:tc>
          <w:tcPr>
            <w:tcW w:w="1134" w:type="dxa"/>
            <w:tcBorders>
              <w:top w:val="nil"/>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最高学历</w:t>
            </w:r>
          </w:p>
        </w:tc>
        <w:tc>
          <w:tcPr>
            <w:tcW w:w="1591" w:type="dxa"/>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757"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专业</w:t>
            </w:r>
          </w:p>
        </w:tc>
        <w:tc>
          <w:tcPr>
            <w:tcW w:w="1542" w:type="dxa"/>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1670" w:type="dxa"/>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职称</w:t>
            </w:r>
          </w:p>
        </w:tc>
        <w:tc>
          <w:tcPr>
            <w:tcW w:w="2220"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r>
      <w:tr>
        <w:tblPrEx>
          <w:tblCellMar>
            <w:top w:w="15" w:type="dxa"/>
            <w:left w:w="15" w:type="dxa"/>
            <w:bottom w:w="15" w:type="dxa"/>
            <w:right w:w="15" w:type="dxa"/>
          </w:tblCellMar>
        </w:tblPrEx>
        <w:trPr>
          <w:trHeight w:val="800" w:hRule="atLeast"/>
        </w:trPr>
        <w:tc>
          <w:tcPr>
            <w:tcW w:w="1134" w:type="dxa"/>
            <w:tcBorders>
              <w:top w:val="nil"/>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相关注</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册资格</w:t>
            </w: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rPr>
                <w:rFonts w:hint="eastAsia" w:ascii="宋体" w:hAnsi="宋体" w:cs="宋体"/>
                <w:kern w:val="0"/>
                <w:szCs w:val="21"/>
              </w:rPr>
            </w:pPr>
            <w:r>
              <w:rPr>
                <w:rFonts w:hint="eastAsia" w:ascii="宋体" w:hAnsi="宋体" w:cs="宋体"/>
                <w:kern w:val="0"/>
                <w:szCs w:val="21"/>
              </w:rPr>
              <w:t xml:space="preserve">   </w:t>
            </w:r>
          </w:p>
        </w:tc>
      </w:tr>
      <w:tr>
        <w:tblPrEx>
          <w:tblCellMar>
            <w:top w:w="15" w:type="dxa"/>
            <w:left w:w="15" w:type="dxa"/>
            <w:bottom w:w="15" w:type="dxa"/>
            <w:right w:w="15" w:type="dxa"/>
          </w:tblCellMar>
        </w:tblPrEx>
        <w:trPr>
          <w:trHeight w:val="1594" w:hRule="atLeast"/>
        </w:trPr>
        <w:tc>
          <w:tcPr>
            <w:tcW w:w="1134" w:type="dxa"/>
            <w:tcBorders>
              <w:top w:val="nil"/>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工作</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简历</w:t>
            </w: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rPr>
                <w:rFonts w:hint="eastAsia" w:ascii="宋体" w:hAnsi="宋体" w:cs="宋体"/>
                <w:kern w:val="0"/>
                <w:szCs w:val="21"/>
              </w:rPr>
            </w:pPr>
            <w:r>
              <w:rPr>
                <w:rFonts w:hint="eastAsia" w:ascii="宋体" w:hAnsi="宋体" w:cs="宋体"/>
                <w:kern w:val="0"/>
                <w:szCs w:val="21"/>
              </w:rPr>
              <w:t xml:space="preserve">   </w:t>
            </w:r>
          </w:p>
        </w:tc>
      </w:tr>
      <w:tr>
        <w:tblPrEx>
          <w:tblCellMar>
            <w:top w:w="15" w:type="dxa"/>
            <w:left w:w="15" w:type="dxa"/>
            <w:bottom w:w="15" w:type="dxa"/>
            <w:right w:w="15" w:type="dxa"/>
          </w:tblCellMar>
        </w:tblPrEx>
        <w:trPr>
          <w:trHeight w:val="764" w:hRule="atLeast"/>
        </w:trPr>
        <w:tc>
          <w:tcPr>
            <w:tcW w:w="1134" w:type="dxa"/>
            <w:vMerge w:val="restart"/>
            <w:tcBorders>
              <w:top w:val="nil"/>
              <w:left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承担相关项目业绩状况</w:t>
            </w: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top"/>
          </w:tcPr>
          <w:p>
            <w:pPr>
              <w:widowControl/>
              <w:adjustRightInd w:val="0"/>
              <w:snapToGrid w:val="0"/>
              <w:rPr>
                <w:rFonts w:hint="eastAsia" w:ascii="宋体" w:hAnsi="宋体" w:cs="宋体"/>
                <w:kern w:val="0"/>
                <w:szCs w:val="21"/>
              </w:rPr>
            </w:pPr>
          </w:p>
        </w:tc>
      </w:tr>
      <w:tr>
        <w:tblPrEx>
          <w:tblCellMar>
            <w:top w:w="15" w:type="dxa"/>
            <w:left w:w="15" w:type="dxa"/>
            <w:bottom w:w="15" w:type="dxa"/>
            <w:right w:w="15" w:type="dxa"/>
          </w:tblCellMar>
        </w:tblPrEx>
        <w:trPr>
          <w:trHeight w:val="453" w:hRule="atLeast"/>
        </w:trPr>
        <w:tc>
          <w:tcPr>
            <w:tcW w:w="1134" w:type="dxa"/>
            <w:vMerge w:val="continue"/>
            <w:tcBorders>
              <w:left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top"/>
          </w:tcPr>
          <w:p>
            <w:pPr>
              <w:widowControl/>
              <w:adjustRightInd w:val="0"/>
              <w:snapToGrid w:val="0"/>
              <w:rPr>
                <w:rFonts w:hint="eastAsia" w:ascii="宋体" w:hAnsi="宋体" w:cs="宋体"/>
                <w:kern w:val="0"/>
                <w:szCs w:val="21"/>
              </w:rPr>
            </w:pPr>
          </w:p>
        </w:tc>
      </w:tr>
      <w:tr>
        <w:tblPrEx>
          <w:tblCellMar>
            <w:top w:w="15" w:type="dxa"/>
            <w:left w:w="15" w:type="dxa"/>
            <w:bottom w:w="15" w:type="dxa"/>
            <w:right w:w="15" w:type="dxa"/>
          </w:tblCellMar>
        </w:tblPrEx>
        <w:trPr>
          <w:trHeight w:val="453" w:hRule="atLeast"/>
        </w:trPr>
        <w:tc>
          <w:tcPr>
            <w:tcW w:w="1134" w:type="dxa"/>
            <w:vMerge w:val="continue"/>
            <w:tcBorders>
              <w:left w:val="single" w:color="000000" w:sz="2" w:space="0"/>
              <w:bottom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top"/>
          </w:tcPr>
          <w:p>
            <w:pPr>
              <w:widowControl/>
              <w:adjustRightInd w:val="0"/>
              <w:snapToGrid w:val="0"/>
              <w:rPr>
                <w:rFonts w:hint="eastAsia" w:ascii="宋体" w:hAnsi="宋体" w:cs="宋体"/>
                <w:kern w:val="0"/>
                <w:szCs w:val="21"/>
              </w:rPr>
            </w:pPr>
          </w:p>
        </w:tc>
      </w:tr>
      <w:tr>
        <w:tblPrEx>
          <w:tblCellMar>
            <w:top w:w="15" w:type="dxa"/>
            <w:left w:w="15" w:type="dxa"/>
            <w:bottom w:w="15" w:type="dxa"/>
            <w:right w:w="15" w:type="dxa"/>
          </w:tblCellMar>
        </w:tblPrEx>
        <w:trPr>
          <w:trHeight w:val="392" w:hRule="atLeast"/>
        </w:trPr>
        <w:tc>
          <w:tcPr>
            <w:tcW w:w="1134" w:type="dxa"/>
            <w:vMerge w:val="restart"/>
            <w:tcBorders>
              <w:top w:val="nil"/>
              <w:left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现在手</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持业务</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的状况</w:t>
            </w:r>
          </w:p>
        </w:tc>
        <w:tc>
          <w:tcPr>
            <w:tcW w:w="1945"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业务名称</w:t>
            </w: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业主名称</w:t>
            </w: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业务金额</w:t>
            </w:r>
          </w:p>
        </w:tc>
        <w:tc>
          <w:tcPr>
            <w:tcW w:w="1945" w:type="dxa"/>
            <w:tcBorders>
              <w:top w:val="nil"/>
              <w:left w:val="nil"/>
              <w:bottom w:val="single" w:color="000000" w:sz="2" w:space="0"/>
              <w:right w:val="single" w:color="000000" w:sz="2" w:space="0"/>
            </w:tcBorders>
            <w:noWrap w:val="0"/>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预定完成时间</w:t>
            </w:r>
          </w:p>
        </w:tc>
      </w:tr>
      <w:tr>
        <w:tblPrEx>
          <w:tblCellMar>
            <w:top w:w="15" w:type="dxa"/>
            <w:left w:w="15" w:type="dxa"/>
            <w:bottom w:w="15" w:type="dxa"/>
            <w:right w:w="15" w:type="dxa"/>
          </w:tblCellMar>
        </w:tblPrEx>
        <w:trPr>
          <w:trHeight w:val="390" w:hRule="atLeast"/>
        </w:trPr>
        <w:tc>
          <w:tcPr>
            <w:tcW w:w="1134"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r>
      <w:tr>
        <w:tblPrEx>
          <w:tblCellMar>
            <w:top w:w="15" w:type="dxa"/>
            <w:left w:w="15" w:type="dxa"/>
            <w:bottom w:w="15" w:type="dxa"/>
            <w:right w:w="15" w:type="dxa"/>
          </w:tblCellMar>
        </w:tblPrEx>
        <w:trPr>
          <w:trHeight w:val="390" w:hRule="atLeast"/>
        </w:trPr>
        <w:tc>
          <w:tcPr>
            <w:tcW w:w="1134" w:type="dxa"/>
            <w:vMerge w:val="continue"/>
            <w:tcBorders>
              <w:left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r>
      <w:tr>
        <w:tblPrEx>
          <w:tblCellMar>
            <w:top w:w="15" w:type="dxa"/>
            <w:left w:w="15" w:type="dxa"/>
            <w:bottom w:w="15" w:type="dxa"/>
            <w:right w:w="15" w:type="dxa"/>
          </w:tblCellMar>
        </w:tblPrEx>
        <w:trPr>
          <w:trHeight w:val="390" w:hRule="atLeast"/>
        </w:trPr>
        <w:tc>
          <w:tcPr>
            <w:tcW w:w="1134" w:type="dxa"/>
            <w:vMerge w:val="continue"/>
            <w:tcBorders>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gridSpan w:val="2"/>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c>
          <w:tcPr>
            <w:tcW w:w="1945" w:type="dxa"/>
            <w:tcBorders>
              <w:top w:val="nil"/>
              <w:left w:val="nil"/>
              <w:bottom w:val="single" w:color="000000" w:sz="2" w:space="0"/>
              <w:right w:val="single" w:color="000000" w:sz="2" w:space="0"/>
            </w:tcBorders>
            <w:noWrap w:val="0"/>
            <w:vAlign w:val="center"/>
          </w:tcPr>
          <w:p>
            <w:pPr>
              <w:widowControl/>
              <w:adjustRightInd w:val="0"/>
              <w:snapToGrid w:val="0"/>
              <w:spacing w:line="400" w:lineRule="exact"/>
              <w:jc w:val="center"/>
              <w:rPr>
                <w:rFonts w:hint="eastAsia" w:ascii="宋体" w:hAnsi="宋体" w:cs="宋体"/>
                <w:kern w:val="0"/>
                <w:szCs w:val="21"/>
              </w:rPr>
            </w:pPr>
          </w:p>
        </w:tc>
      </w:tr>
      <w:tr>
        <w:tblPrEx>
          <w:tblCellMar>
            <w:top w:w="15" w:type="dxa"/>
            <w:left w:w="15" w:type="dxa"/>
            <w:bottom w:w="15" w:type="dxa"/>
            <w:right w:w="15" w:type="dxa"/>
          </w:tblCellMar>
        </w:tblPrEx>
        <w:trPr>
          <w:trHeight w:val="1265" w:hRule="atLeast"/>
        </w:trPr>
        <w:tc>
          <w:tcPr>
            <w:tcW w:w="1134" w:type="dxa"/>
            <w:tcBorders>
              <w:top w:val="nil"/>
              <w:left w:val="single" w:color="000000" w:sz="2" w:space="0"/>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jc w:val="center"/>
              <w:rPr>
                <w:rFonts w:hint="eastAsia" w:ascii="宋体" w:hAnsi="宋体" w:cs="宋体"/>
                <w:kern w:val="0"/>
                <w:szCs w:val="21"/>
              </w:rPr>
            </w:pPr>
            <w:r>
              <w:rPr>
                <w:rFonts w:hint="eastAsia" w:ascii="宋体" w:hAnsi="宋体" w:cs="宋体"/>
                <w:kern w:val="0"/>
                <w:szCs w:val="21"/>
              </w:rPr>
              <w:t>拟在本项</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目中担任</w:t>
            </w:r>
          </w:p>
          <w:p>
            <w:pPr>
              <w:widowControl/>
              <w:adjustRightInd w:val="0"/>
              <w:snapToGrid w:val="0"/>
              <w:jc w:val="center"/>
              <w:rPr>
                <w:rFonts w:hint="eastAsia" w:ascii="宋体" w:hAnsi="宋体" w:cs="宋体"/>
                <w:kern w:val="0"/>
                <w:szCs w:val="21"/>
              </w:rPr>
            </w:pPr>
            <w:r>
              <w:rPr>
                <w:rFonts w:hint="eastAsia" w:ascii="宋体" w:hAnsi="宋体" w:cs="宋体"/>
                <w:kern w:val="0"/>
                <w:szCs w:val="21"/>
              </w:rPr>
              <w:t>角色</w:t>
            </w:r>
          </w:p>
        </w:tc>
        <w:tc>
          <w:tcPr>
            <w:tcW w:w="7780" w:type="dxa"/>
            <w:gridSpan w:val="7"/>
            <w:tcBorders>
              <w:top w:val="nil"/>
              <w:left w:val="nil"/>
              <w:bottom w:val="single" w:color="000000" w:sz="2" w:space="0"/>
              <w:right w:val="single" w:color="000000" w:sz="2" w:space="0"/>
            </w:tcBorders>
            <w:noWrap w:val="0"/>
            <w:tcMar>
              <w:top w:w="0" w:type="dxa"/>
              <w:left w:w="0" w:type="dxa"/>
              <w:bottom w:w="0" w:type="dxa"/>
              <w:right w:w="0" w:type="dxa"/>
            </w:tcMar>
            <w:vAlign w:val="center"/>
          </w:tcPr>
          <w:p>
            <w:pPr>
              <w:widowControl/>
              <w:adjustRightInd w:val="0"/>
              <w:snapToGrid w:val="0"/>
              <w:ind w:firstLine="315" w:firstLineChars="150"/>
              <w:rPr>
                <w:rFonts w:hint="eastAsia" w:ascii="宋体" w:hAnsi="宋体" w:cs="宋体"/>
                <w:kern w:val="0"/>
                <w:szCs w:val="21"/>
              </w:rPr>
            </w:pPr>
          </w:p>
        </w:tc>
      </w:tr>
    </w:tbl>
    <w:p>
      <w:pPr>
        <w:spacing w:line="360" w:lineRule="auto"/>
        <w:rPr>
          <w:rFonts w:hint="eastAsia"/>
          <w:b/>
          <w:szCs w:val="21"/>
        </w:rPr>
      </w:pPr>
      <w:r>
        <w:rPr>
          <w:rFonts w:hint="eastAsia"/>
          <w:b/>
          <w:szCs w:val="21"/>
        </w:rPr>
        <w:t>注：项目总负责人，项目经理业绩须提供证明材料。</w:t>
      </w:r>
    </w:p>
    <w:p>
      <w:pPr>
        <w:spacing w:line="360" w:lineRule="auto"/>
        <w:rPr>
          <w:rFonts w:ascii="宋体" w:hAnsi="宋体"/>
          <w:szCs w:val="21"/>
        </w:rPr>
      </w:pPr>
    </w:p>
    <w:p>
      <w:pPr>
        <w:adjustRightInd w:val="0"/>
        <w:snapToGrid w:val="0"/>
        <w:spacing w:before="93" w:beforeLines="30" w:line="400" w:lineRule="exact"/>
        <w:rPr>
          <w:rFonts w:ascii="宋体" w:hAnsi="宋体"/>
          <w:szCs w:val="21"/>
        </w:rPr>
      </w:pPr>
      <w:r>
        <w:rPr>
          <w:rFonts w:hint="eastAsia" w:ascii="宋体" w:hAnsi="宋体"/>
          <w:szCs w:val="21"/>
        </w:rPr>
        <w:t>供应商名称（盖章）：</w:t>
      </w:r>
    </w:p>
    <w:p>
      <w:pPr>
        <w:adjustRightInd w:val="0"/>
        <w:snapToGrid w:val="0"/>
        <w:spacing w:before="93" w:beforeLines="30" w:line="400" w:lineRule="exact"/>
        <w:rPr>
          <w:rFonts w:ascii="宋体" w:hAnsi="宋体"/>
          <w:szCs w:val="21"/>
        </w:rPr>
      </w:pPr>
      <w:r>
        <w:rPr>
          <w:rFonts w:hint="eastAsia" w:ascii="宋体" w:hAnsi="宋体"/>
          <w:szCs w:val="21"/>
        </w:rPr>
        <w:t>授权代表（签名或签章）：</w:t>
      </w:r>
      <w:r>
        <w:rPr>
          <w:rFonts w:hint="eastAsia" w:ascii="宋体" w:hAnsi="宋体"/>
          <w:bCs/>
          <w:szCs w:val="21"/>
          <w:u w:val="single"/>
        </w:rPr>
        <w:t xml:space="preserve">       </w:t>
      </w:r>
    </w:p>
    <w:p>
      <w:pPr>
        <w:adjustRightInd w:val="0"/>
        <w:snapToGrid w:val="0"/>
        <w:spacing w:before="93" w:beforeLines="30" w:line="400" w:lineRule="exact"/>
        <w:rPr>
          <w:rFonts w:hint="eastAsia"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年</w:t>
      </w:r>
      <w:r>
        <w:rPr>
          <w:rFonts w:hint="eastAsia" w:ascii="宋体" w:hAnsi="宋体"/>
          <w:bCs/>
          <w:szCs w:val="21"/>
          <w:u w:val="single"/>
        </w:rPr>
        <w:t xml:space="preserve">   </w:t>
      </w:r>
      <w:r>
        <w:rPr>
          <w:rFonts w:hint="eastAsia" w:ascii="宋体" w:hAnsi="宋体"/>
          <w:szCs w:val="21"/>
        </w:rPr>
        <w:t>月</w:t>
      </w:r>
      <w:r>
        <w:rPr>
          <w:rFonts w:hint="eastAsia" w:ascii="宋体" w:hAnsi="宋体"/>
          <w:bCs/>
          <w:szCs w:val="21"/>
          <w:u w:val="single"/>
        </w:rPr>
        <w:t xml:space="preserve">  </w:t>
      </w:r>
      <w:r>
        <w:rPr>
          <w:rFonts w:hint="eastAsia" w:ascii="宋体" w:hAnsi="宋体"/>
          <w:szCs w:val="21"/>
        </w:rPr>
        <w:t>日</w:t>
      </w:r>
    </w:p>
    <w:p>
      <w:pPr>
        <w:spacing w:line="360" w:lineRule="auto"/>
        <w:rPr>
          <w:rFonts w:hint="eastAsia" w:ascii="宋体" w:hAnsi="宋体"/>
          <w:sz w:val="24"/>
        </w:rPr>
      </w:pPr>
    </w:p>
    <w:p>
      <w:pPr>
        <w:pStyle w:val="3"/>
        <w:snapToGrid w:val="0"/>
        <w:spacing w:before="240" w:after="240" w:line="240" w:lineRule="auto"/>
        <w:jc w:val="left"/>
        <w:rPr>
          <w:rFonts w:ascii="宋体" w:hAnsi="宋体"/>
          <w:sz w:val="24"/>
        </w:rPr>
      </w:pPr>
      <w:bookmarkStart w:id="134" w:name="_Toc64906898"/>
      <w:bookmarkStart w:id="135" w:name="_Toc524853186"/>
      <w:bookmarkStart w:id="136" w:name="_Toc468915207"/>
      <w:bookmarkStart w:id="137" w:name="_Toc393199702"/>
      <w:bookmarkStart w:id="138" w:name="_Toc468915645"/>
      <w:bookmarkStart w:id="139" w:name="_Toc416004229"/>
      <w:bookmarkStart w:id="140" w:name="_Toc472430604"/>
      <w:bookmarkStart w:id="141" w:name="_Toc524235009"/>
      <w:bookmarkStart w:id="142" w:name="_Toc524853095"/>
      <w:bookmarkStart w:id="143" w:name="_Toc326763628"/>
      <w:bookmarkStart w:id="144" w:name="_Toc328942819"/>
      <w:bookmarkStart w:id="145" w:name="_Toc64905062"/>
      <w:bookmarkStart w:id="146" w:name="_Toc416003703"/>
      <w:bookmarkStart w:id="147" w:name="_Toc22149491"/>
      <w:r>
        <w:rPr>
          <w:rFonts w:hint="eastAsia" w:ascii="宋体" w:hAnsi="宋体"/>
          <w:sz w:val="24"/>
        </w:rPr>
        <w:t>附录</w:t>
      </w:r>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宋体" w:hAnsi="宋体"/>
          <w:sz w:val="24"/>
        </w:rPr>
        <w:t>6</w:t>
      </w:r>
      <w:bookmarkEnd w:id="147"/>
      <w:r>
        <w:rPr>
          <w:rFonts w:ascii="宋体" w:hAnsi="宋体"/>
          <w:sz w:val="24"/>
        </w:rPr>
        <w:t xml:space="preserve"> </w:t>
      </w:r>
    </w:p>
    <w:p>
      <w:pPr>
        <w:spacing w:line="360" w:lineRule="auto"/>
        <w:jc w:val="center"/>
        <w:rPr>
          <w:rFonts w:hint="eastAsia" w:ascii="宋体" w:hAnsi="宋体"/>
          <w:b/>
          <w:bCs/>
          <w:sz w:val="32"/>
          <w:szCs w:val="32"/>
        </w:rPr>
      </w:pPr>
      <w:bookmarkStart w:id="148" w:name="_Toc22149492"/>
      <w:r>
        <w:rPr>
          <w:rFonts w:hint="eastAsia" w:ascii="宋体" w:hAnsi="宋体" w:eastAsia="宋体" w:cs="Times New Roman"/>
          <w:b/>
          <w:bCs/>
          <w:sz w:val="32"/>
          <w:szCs w:val="32"/>
        </w:rPr>
        <w:t>供应商</w:t>
      </w:r>
      <w:r>
        <w:rPr>
          <w:rFonts w:hint="eastAsia" w:ascii="宋体" w:hAnsi="宋体" w:eastAsia="宋体" w:cs="Times New Roman"/>
          <w:b/>
          <w:bCs/>
          <w:color w:val="auto"/>
          <w:sz w:val="32"/>
          <w:szCs w:val="32"/>
          <w:lang w:val="en-US" w:eastAsia="zh-CN"/>
        </w:rPr>
        <w:t>2016</w:t>
      </w:r>
      <w:r>
        <w:rPr>
          <w:rFonts w:hint="eastAsia" w:ascii="宋体" w:hAnsi="宋体" w:eastAsia="宋体" w:cs="Times New Roman"/>
          <w:b/>
          <w:bCs/>
          <w:sz w:val="32"/>
          <w:szCs w:val="32"/>
        </w:rPr>
        <w:t>年</w:t>
      </w:r>
      <w:r>
        <w:rPr>
          <w:rFonts w:hint="eastAsia" w:ascii="宋体" w:hAnsi="宋体" w:eastAsia="宋体" w:cs="Times New Roman"/>
          <w:b/>
          <w:bCs/>
          <w:color w:val="auto"/>
          <w:sz w:val="32"/>
          <w:szCs w:val="32"/>
          <w:lang w:val="en-US" w:eastAsia="zh-CN"/>
        </w:rPr>
        <w:t>1</w:t>
      </w:r>
      <w:r>
        <w:rPr>
          <w:rFonts w:hint="eastAsia" w:ascii="宋体" w:hAnsi="宋体" w:eastAsia="宋体" w:cs="Times New Roman"/>
          <w:b/>
          <w:bCs/>
          <w:sz w:val="32"/>
          <w:szCs w:val="32"/>
        </w:rPr>
        <w:t>月</w:t>
      </w:r>
      <w:r>
        <w:rPr>
          <w:rFonts w:hint="eastAsia" w:ascii="宋体" w:hAnsi="宋体" w:eastAsia="宋体" w:cs="Times New Roman"/>
          <w:b/>
          <w:bCs/>
          <w:color w:val="auto"/>
          <w:sz w:val="32"/>
          <w:szCs w:val="32"/>
          <w:lang w:val="en-US" w:eastAsia="zh-CN"/>
        </w:rPr>
        <w:t>1</w:t>
      </w:r>
      <w:r>
        <w:rPr>
          <w:rFonts w:hint="eastAsia" w:ascii="宋体" w:hAnsi="宋体" w:eastAsia="宋体" w:cs="Times New Roman"/>
          <w:b/>
          <w:bCs/>
          <w:sz w:val="32"/>
          <w:szCs w:val="32"/>
        </w:rPr>
        <w:t>日起类似项目业绩一览表</w:t>
      </w:r>
    </w:p>
    <w:p>
      <w:pPr>
        <w:spacing w:line="360" w:lineRule="auto"/>
        <w:rPr>
          <w:rFonts w:ascii="宋体" w:hAnsi="宋体"/>
          <w:szCs w:val="21"/>
        </w:rPr>
      </w:pPr>
    </w:p>
    <w:p>
      <w:pPr>
        <w:spacing w:line="360" w:lineRule="auto"/>
        <w:rPr>
          <w:rFonts w:hint="eastAsia" w:ascii="宋体" w:hAnsi="宋体"/>
          <w:szCs w:val="21"/>
          <w:u w:val="single"/>
        </w:rPr>
      </w:pPr>
      <w:r>
        <w:rPr>
          <w:rFonts w:hint="eastAsia" w:ascii="宋体" w:hAnsi="宋体"/>
          <w:szCs w:val="21"/>
        </w:rPr>
        <w:t>项目名称：</w:t>
      </w:r>
      <w:r>
        <w:rPr>
          <w:rFonts w:hint="eastAsia" w:ascii="宋体" w:hAnsi="宋体"/>
          <w:szCs w:val="21"/>
        </w:rPr>
        <w:tab/>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2032"/>
        <w:gridCol w:w="4159"/>
        <w:gridCol w:w="106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r>
              <w:rPr>
                <w:rFonts w:hint="eastAsia" w:hAnsi="宋体"/>
                <w:szCs w:val="21"/>
              </w:rPr>
              <w:t>序号</w:t>
            </w:r>
          </w:p>
        </w:tc>
        <w:tc>
          <w:tcPr>
            <w:tcW w:w="2032" w:type="dxa"/>
            <w:noWrap w:val="0"/>
            <w:vAlign w:val="center"/>
          </w:tcPr>
          <w:p>
            <w:pPr>
              <w:jc w:val="center"/>
              <w:rPr>
                <w:rFonts w:hint="eastAsia" w:hAnsi="宋体"/>
                <w:szCs w:val="21"/>
              </w:rPr>
            </w:pPr>
            <w:r>
              <w:rPr>
                <w:rFonts w:hint="eastAsia" w:hAnsi="宋体"/>
                <w:szCs w:val="21"/>
              </w:rPr>
              <w:t>主要业绩名称</w:t>
            </w:r>
          </w:p>
        </w:tc>
        <w:tc>
          <w:tcPr>
            <w:tcW w:w="4159" w:type="dxa"/>
            <w:noWrap w:val="0"/>
            <w:vAlign w:val="center"/>
          </w:tcPr>
          <w:p>
            <w:pPr>
              <w:jc w:val="center"/>
              <w:rPr>
                <w:rFonts w:hint="eastAsia" w:ascii="宋体" w:hAnsi="宋体"/>
                <w:szCs w:val="21"/>
              </w:rPr>
            </w:pPr>
            <w:r>
              <w:rPr>
                <w:rFonts w:hint="eastAsia" w:hAnsi="宋体"/>
                <w:szCs w:val="21"/>
              </w:rPr>
              <w:t>业绩</w:t>
            </w:r>
            <w:r>
              <w:rPr>
                <w:rFonts w:hint="eastAsia" w:ascii="宋体" w:hAnsi="宋体"/>
                <w:szCs w:val="21"/>
              </w:rPr>
              <w:t>简介</w:t>
            </w:r>
          </w:p>
        </w:tc>
        <w:tc>
          <w:tcPr>
            <w:tcW w:w="1060" w:type="dxa"/>
            <w:noWrap w:val="0"/>
            <w:vAlign w:val="center"/>
          </w:tcPr>
          <w:p>
            <w:pPr>
              <w:jc w:val="center"/>
              <w:rPr>
                <w:rFonts w:hint="eastAsia" w:ascii="宋体" w:hAnsi="宋体"/>
                <w:szCs w:val="21"/>
              </w:rPr>
            </w:pPr>
            <w:r>
              <w:rPr>
                <w:rFonts w:hint="eastAsia" w:ascii="宋体" w:hAnsi="宋体"/>
                <w:szCs w:val="21"/>
              </w:rPr>
              <w:t>合同额（万元）</w:t>
            </w:r>
          </w:p>
        </w:tc>
        <w:tc>
          <w:tcPr>
            <w:tcW w:w="1241" w:type="dxa"/>
            <w:noWrap w:val="0"/>
            <w:vAlign w:val="center"/>
          </w:tcPr>
          <w:p>
            <w:pPr>
              <w:jc w:val="center"/>
              <w:rPr>
                <w:rFonts w:hint="eastAsia" w:ascii="宋体" w:hAnsi="宋体"/>
                <w:szCs w:val="21"/>
              </w:rPr>
            </w:pPr>
            <w:r>
              <w:rPr>
                <w:rFonts w:hint="eastAsia" w:ascii="宋体" w:hAnsi="宋体"/>
                <w:szCs w:val="21"/>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center"/>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474" w:type="dxa"/>
            <w:noWrap w:val="0"/>
            <w:vAlign w:val="center"/>
          </w:tcPr>
          <w:p>
            <w:pPr>
              <w:jc w:val="center"/>
              <w:rPr>
                <w:rFonts w:hint="eastAsia" w:hAnsi="宋体"/>
                <w:szCs w:val="21"/>
              </w:rPr>
            </w:pPr>
          </w:p>
        </w:tc>
        <w:tc>
          <w:tcPr>
            <w:tcW w:w="2032" w:type="dxa"/>
            <w:noWrap w:val="0"/>
            <w:vAlign w:val="center"/>
          </w:tcPr>
          <w:p>
            <w:pPr>
              <w:jc w:val="center"/>
              <w:rPr>
                <w:rFonts w:hint="eastAsia" w:hAnsi="宋体"/>
                <w:szCs w:val="21"/>
              </w:rPr>
            </w:pPr>
          </w:p>
        </w:tc>
        <w:tc>
          <w:tcPr>
            <w:tcW w:w="4159" w:type="dxa"/>
            <w:noWrap w:val="0"/>
            <w:vAlign w:val="center"/>
          </w:tcPr>
          <w:p>
            <w:pPr>
              <w:jc w:val="center"/>
              <w:rPr>
                <w:rFonts w:hint="eastAsia" w:ascii="宋体" w:hAnsi="宋体"/>
                <w:szCs w:val="21"/>
              </w:rPr>
            </w:pPr>
          </w:p>
        </w:tc>
        <w:tc>
          <w:tcPr>
            <w:tcW w:w="1060" w:type="dxa"/>
            <w:noWrap w:val="0"/>
            <w:vAlign w:val="top"/>
          </w:tcPr>
          <w:p>
            <w:pPr>
              <w:jc w:val="center"/>
              <w:rPr>
                <w:rFonts w:hint="eastAsia" w:ascii="宋体" w:hAnsi="宋体"/>
                <w:szCs w:val="21"/>
              </w:rPr>
            </w:pPr>
          </w:p>
        </w:tc>
        <w:tc>
          <w:tcPr>
            <w:tcW w:w="1241" w:type="dxa"/>
            <w:noWrap w:val="0"/>
            <w:vAlign w:val="center"/>
          </w:tcPr>
          <w:p>
            <w:pPr>
              <w:jc w:val="center"/>
              <w:rPr>
                <w:rFonts w:hint="eastAsia" w:ascii="宋体" w:hAnsi="宋体"/>
                <w:szCs w:val="21"/>
              </w:rPr>
            </w:pPr>
          </w:p>
        </w:tc>
      </w:tr>
    </w:tbl>
    <w:p>
      <w:pPr>
        <w:spacing w:before="156" w:beforeLines="50"/>
        <w:ind w:left="720" w:leftChars="-85" w:hanging="898" w:hangingChars="428"/>
      </w:pPr>
      <w:r>
        <w:rPr>
          <w:szCs w:val="21"/>
        </w:rPr>
        <w:t>注：</w:t>
      </w:r>
      <w:r>
        <w:rPr>
          <w:szCs w:val="21"/>
        </w:rPr>
        <w:tab/>
      </w:r>
      <w:r>
        <w:rPr>
          <w:rFonts w:hint="eastAsia" w:hAnsi="宋体"/>
          <w:szCs w:val="21"/>
        </w:rPr>
        <w:t>类似项目业绩指</w:t>
      </w:r>
      <w:r>
        <w:rPr>
          <w:rStyle w:val="22"/>
          <w:rFonts w:hint="eastAsia" w:eastAsia="宋体"/>
          <w:sz w:val="21"/>
          <w:szCs w:val="21"/>
          <w:lang w:val="en-US" w:eastAsia="zh-CN"/>
        </w:rPr>
        <w:t>2016</w:t>
      </w:r>
      <w:r>
        <w:rPr>
          <w:rStyle w:val="22"/>
          <w:rFonts w:hint="eastAsia"/>
          <w:sz w:val="21"/>
          <w:szCs w:val="21"/>
        </w:rPr>
        <w:t>年至今，供应商具有完成与本项目类似的项目业绩</w:t>
      </w:r>
      <w:r>
        <w:rPr>
          <w:rFonts w:hint="eastAsia"/>
        </w:rPr>
        <w:t>，</w:t>
      </w:r>
      <w:r>
        <w:t>须</w:t>
      </w:r>
      <w:r>
        <w:rPr>
          <w:rFonts w:hint="eastAsia"/>
        </w:rPr>
        <w:t>提供合同复印件并加盖供应商单位公章</w:t>
      </w:r>
    </w:p>
    <w:p>
      <w:pPr>
        <w:spacing w:before="156" w:beforeLines="50"/>
        <w:ind w:left="849" w:leftChars="-85" w:hanging="1027" w:hangingChars="428"/>
        <w:rPr>
          <w:rFonts w:hint="eastAsia" w:ascii="宋体" w:hAnsi="宋体"/>
          <w:sz w:val="24"/>
        </w:rPr>
      </w:pPr>
    </w:p>
    <w:p>
      <w:pPr>
        <w:adjustRightInd w:val="0"/>
        <w:snapToGrid w:val="0"/>
        <w:spacing w:before="93" w:beforeLines="30" w:line="400" w:lineRule="exact"/>
        <w:rPr>
          <w:rFonts w:ascii="宋体" w:hAnsi="宋体"/>
          <w:szCs w:val="21"/>
        </w:rPr>
      </w:pPr>
      <w:r>
        <w:rPr>
          <w:rFonts w:hint="eastAsia" w:ascii="宋体" w:hAnsi="宋体"/>
          <w:szCs w:val="21"/>
        </w:rPr>
        <w:t>供应商名称（盖章）：</w:t>
      </w:r>
    </w:p>
    <w:p>
      <w:pPr>
        <w:adjustRightInd w:val="0"/>
        <w:snapToGrid w:val="0"/>
        <w:spacing w:before="93" w:beforeLines="30" w:line="400" w:lineRule="exact"/>
        <w:rPr>
          <w:rFonts w:ascii="宋体" w:hAnsi="宋体"/>
          <w:szCs w:val="21"/>
        </w:rPr>
      </w:pPr>
      <w:r>
        <w:rPr>
          <w:rFonts w:hint="eastAsia" w:ascii="宋体" w:hAnsi="宋体"/>
          <w:szCs w:val="21"/>
        </w:rPr>
        <w:t>授权代表（签名或签章）：</w:t>
      </w:r>
      <w:r>
        <w:rPr>
          <w:rFonts w:hint="eastAsia" w:ascii="宋体" w:hAnsi="宋体"/>
          <w:bCs/>
          <w:szCs w:val="21"/>
          <w:u w:val="single"/>
        </w:rPr>
        <w:t xml:space="preserve">       </w:t>
      </w:r>
    </w:p>
    <w:p>
      <w:pPr>
        <w:adjustRightInd w:val="0"/>
        <w:snapToGrid w:val="0"/>
        <w:spacing w:before="93" w:beforeLines="30" w:line="400" w:lineRule="exac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年</w:t>
      </w:r>
      <w:r>
        <w:rPr>
          <w:rFonts w:hint="eastAsia" w:ascii="宋体" w:hAnsi="宋体"/>
          <w:bCs/>
          <w:szCs w:val="21"/>
          <w:u w:val="single"/>
        </w:rPr>
        <w:t xml:space="preserve">   </w:t>
      </w:r>
      <w:r>
        <w:rPr>
          <w:rFonts w:hint="eastAsia" w:ascii="宋体" w:hAnsi="宋体"/>
          <w:szCs w:val="21"/>
        </w:rPr>
        <w:t>月</w:t>
      </w:r>
      <w:r>
        <w:rPr>
          <w:rFonts w:hint="eastAsia" w:ascii="宋体" w:hAnsi="宋体"/>
          <w:bCs/>
          <w:szCs w:val="21"/>
          <w:u w:val="single"/>
        </w:rPr>
        <w:t xml:space="preserve">  </w:t>
      </w:r>
      <w:r>
        <w:rPr>
          <w:rFonts w:hint="eastAsia" w:ascii="宋体" w:hAnsi="宋体"/>
          <w:szCs w:val="21"/>
        </w:rPr>
        <w:t>日</w:t>
      </w:r>
    </w:p>
    <w:p>
      <w:pPr>
        <w:pStyle w:val="6"/>
        <w:tabs>
          <w:tab w:val="left" w:pos="1200"/>
        </w:tabs>
        <w:spacing w:line="360" w:lineRule="auto"/>
        <w:rPr>
          <w:rFonts w:ascii="宋体"/>
          <w:szCs w:val="21"/>
        </w:rPr>
      </w:pPr>
    </w:p>
    <w:p>
      <w:pPr>
        <w:pStyle w:val="3"/>
        <w:snapToGrid w:val="0"/>
        <w:spacing w:before="240" w:after="240" w:line="240" w:lineRule="auto"/>
        <w:jc w:val="left"/>
        <w:rPr>
          <w:rFonts w:ascii="宋体" w:hAnsi="宋体"/>
          <w:sz w:val="24"/>
        </w:rPr>
      </w:pPr>
      <w:r>
        <w:rPr>
          <w:rFonts w:hint="eastAsia" w:ascii="宋体" w:hAnsi="宋体"/>
          <w:sz w:val="24"/>
        </w:rPr>
        <w:t>附录</w:t>
      </w:r>
      <w:r>
        <w:rPr>
          <w:rFonts w:ascii="宋体" w:hAnsi="宋体"/>
          <w:sz w:val="24"/>
        </w:rPr>
        <w:t>7</w:t>
      </w:r>
      <w:bookmarkEnd w:id="148"/>
      <w:r>
        <w:rPr>
          <w:rFonts w:ascii="宋体" w:hAnsi="宋体"/>
          <w:sz w:val="24"/>
        </w:rPr>
        <w:t xml:space="preserve"> </w:t>
      </w:r>
      <w:bookmarkStart w:id="149" w:name="_Toc517693670"/>
    </w:p>
    <w:p>
      <w:pPr>
        <w:rPr>
          <w:rFonts w:hint="eastAsia" w:ascii="宋体" w:hAnsi="宋体"/>
          <w:b/>
          <w:sz w:val="18"/>
          <w:szCs w:val="18"/>
        </w:rPr>
      </w:pPr>
    </w:p>
    <w:p>
      <w:pPr>
        <w:jc w:val="center"/>
        <w:rPr>
          <w:rFonts w:ascii="宋体" w:hAnsi="宋体"/>
          <w:b/>
          <w:sz w:val="32"/>
          <w:szCs w:val="32"/>
        </w:rPr>
      </w:pPr>
      <w:r>
        <w:rPr>
          <w:rFonts w:hint="eastAsia" w:ascii="宋体" w:hAnsi="宋体"/>
          <w:b/>
          <w:sz w:val="32"/>
          <w:szCs w:val="32"/>
        </w:rPr>
        <w:t>国家企业信用信息公式系统网站（www.gsxt.gov.cn）截图格式要求</w:t>
      </w:r>
    </w:p>
    <w:p>
      <w:pPr>
        <w:rPr>
          <w:rFonts w:ascii="Calibri" w:hAnsi="Calibri"/>
        </w:rPr>
      </w:pPr>
    </w:p>
    <w:p>
      <w:pPr>
        <w:rPr>
          <w:rFonts w:ascii="Calibri" w:hAnsi="Calibri"/>
        </w:rPr>
      </w:pPr>
    </w:p>
    <w:p>
      <w:pPr>
        <w:rPr>
          <w:rFonts w:ascii="Calibri" w:hAnsi="Calibri"/>
        </w:rPr>
      </w:pPr>
      <w:r>
        <w:rPr>
          <w:rFonts w:ascii="Calibri" w:hAnsi="Calibri"/>
        </w:rPr>
        <w:drawing>
          <wp:inline distT="0" distB="0" distL="114300" distR="114300">
            <wp:extent cx="5758180" cy="3580765"/>
            <wp:effectExtent l="0" t="0" r="13970" b="635"/>
            <wp:docPr id="10" name="图片 1" descr="88596360896740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885963608967404215"/>
                    <pic:cNvPicPr>
                      <a:picLocks noChangeAspect="1"/>
                    </pic:cNvPicPr>
                  </pic:nvPicPr>
                  <pic:blipFill>
                    <a:blip r:embed="rId28"/>
                    <a:srcRect t="13112" b="17850"/>
                    <a:stretch>
                      <a:fillRect/>
                    </a:stretch>
                  </pic:blipFill>
                  <pic:spPr>
                    <a:xfrm>
                      <a:off x="0" y="0"/>
                      <a:ext cx="5758180" cy="3580765"/>
                    </a:xfrm>
                    <a:prstGeom prst="rect">
                      <a:avLst/>
                    </a:prstGeom>
                    <a:noFill/>
                    <a:ln>
                      <a:noFill/>
                    </a:ln>
                  </pic:spPr>
                </pic:pic>
              </a:graphicData>
            </a:graphic>
          </wp:inline>
        </w:drawing>
      </w:r>
    </w:p>
    <w:p>
      <w:pPr>
        <w:rPr>
          <w:rFonts w:hint="eastAsia" w:ascii="宋体" w:hAnsi="宋体"/>
          <w:szCs w:val="21"/>
        </w:rPr>
      </w:pPr>
      <w:r>
        <w:rPr>
          <w:rFonts w:hint="eastAsia" w:ascii="宋体" w:hAnsi="宋体"/>
          <w:szCs w:val="21"/>
        </w:rPr>
        <w:t>注：供应商须按上述格式要求截图并加盖公章，截图清晰显示供应商单位名称及列入严重违法失信企业名单（黑名单）信息，否则将被认定为无效报价文件。</w:t>
      </w:r>
    </w:p>
    <w:p>
      <w:pPr>
        <w:pStyle w:val="3"/>
        <w:snapToGrid w:val="0"/>
        <w:spacing w:before="240" w:after="240" w:line="240" w:lineRule="auto"/>
        <w:jc w:val="left"/>
        <w:rPr>
          <w:rFonts w:hint="eastAsia" w:ascii="宋体" w:hAnsi="宋体"/>
          <w:sz w:val="24"/>
        </w:rPr>
      </w:pPr>
      <w:bookmarkStart w:id="150" w:name="_Toc22149494"/>
      <w:r>
        <w:rPr>
          <w:rFonts w:hint="eastAsia" w:ascii="宋体" w:hAnsi="宋体"/>
          <w:sz w:val="24"/>
        </w:rPr>
        <w:t>附录</w:t>
      </w:r>
      <w:bookmarkEnd w:id="150"/>
      <w:r>
        <w:rPr>
          <w:rFonts w:hint="eastAsia" w:ascii="宋体" w:hAnsi="宋体"/>
          <w:sz w:val="24"/>
        </w:rPr>
        <w:t>8</w:t>
      </w:r>
    </w:p>
    <w:p>
      <w:pPr>
        <w:rPr>
          <w:rFonts w:hint="eastAsia" w:ascii="宋体" w:hAnsi="宋体"/>
          <w:b/>
          <w:sz w:val="18"/>
          <w:szCs w:val="18"/>
        </w:rPr>
      </w:pPr>
    </w:p>
    <w:p>
      <w:pPr>
        <w:jc w:val="center"/>
        <w:rPr>
          <w:rFonts w:hint="eastAsia" w:ascii="宋体" w:hAnsi="宋体"/>
          <w:b/>
          <w:sz w:val="32"/>
          <w:szCs w:val="32"/>
        </w:rPr>
      </w:pPr>
      <w:r>
        <w:rPr>
          <w:rFonts w:hint="eastAsia" w:ascii="宋体" w:hAnsi="宋体"/>
          <w:b/>
          <w:sz w:val="32"/>
          <w:szCs w:val="32"/>
        </w:rPr>
        <w:t>“信用中国”网站（www.creditchina.gov.cn）截图格式要求</w:t>
      </w:r>
    </w:p>
    <w:p>
      <w:pPr>
        <w:jc w:val="center"/>
        <w:rPr>
          <w:rFonts w:ascii="宋体" w:hAnsi="宋体"/>
          <w:b/>
          <w:sz w:val="18"/>
          <w:szCs w:val="18"/>
        </w:rPr>
      </w:pPr>
    </w:p>
    <w:p>
      <w:pPr>
        <w:rPr>
          <w:rFonts w:hint="eastAsia"/>
        </w:rPr>
      </w:pPr>
      <w:r>
        <w:rPr>
          <w:rFonts w:hint="eastAsia"/>
        </w:rPr>
        <w:drawing>
          <wp:inline distT="0" distB="0" distL="114300" distR="114300">
            <wp:extent cx="5759450" cy="5160010"/>
            <wp:effectExtent l="0" t="0" r="12700" b="2540"/>
            <wp:docPr id="13" name="图片 2" descr="1555307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1555307063(1)"/>
                    <pic:cNvPicPr>
                      <a:picLocks noChangeAspect="1"/>
                    </pic:cNvPicPr>
                  </pic:nvPicPr>
                  <pic:blipFill>
                    <a:blip r:embed="rId29"/>
                    <a:stretch>
                      <a:fillRect/>
                    </a:stretch>
                  </pic:blipFill>
                  <pic:spPr>
                    <a:xfrm>
                      <a:off x="0" y="0"/>
                      <a:ext cx="5759450" cy="5160010"/>
                    </a:xfrm>
                    <a:prstGeom prst="rect">
                      <a:avLst/>
                    </a:prstGeom>
                    <a:noFill/>
                    <a:ln>
                      <a:noFill/>
                    </a:ln>
                  </pic:spPr>
                </pic:pic>
              </a:graphicData>
            </a:graphic>
          </wp:inline>
        </w:drawing>
      </w:r>
    </w:p>
    <w:p/>
    <w:p>
      <w:pPr>
        <w:rPr>
          <w:rFonts w:hint="eastAsia" w:ascii="宋体" w:hAnsi="宋体"/>
          <w:szCs w:val="21"/>
        </w:rPr>
      </w:pPr>
      <w:r>
        <w:rPr>
          <w:rFonts w:hint="eastAsia" w:ascii="宋体" w:hAnsi="宋体"/>
          <w:szCs w:val="21"/>
        </w:rPr>
        <w:t>注：供应商须按上述格式要求截图并加盖公章，截图清晰显示供应商单位名称及列入黑名单信息，否则将被认定为无效报价文件。</w:t>
      </w:r>
    </w:p>
    <w:p>
      <w:pPr>
        <w:pStyle w:val="3"/>
        <w:snapToGrid w:val="0"/>
        <w:spacing w:before="240" w:after="240" w:line="240" w:lineRule="auto"/>
        <w:jc w:val="left"/>
        <w:rPr>
          <w:rFonts w:hint="eastAsia" w:ascii="宋体" w:hAnsi="宋体"/>
          <w:sz w:val="24"/>
        </w:rPr>
      </w:pPr>
      <w:bookmarkStart w:id="151" w:name="_Toc22149495"/>
      <w:r>
        <w:rPr>
          <w:rFonts w:hint="eastAsia" w:ascii="宋体" w:hAnsi="宋体"/>
          <w:sz w:val="24"/>
        </w:rPr>
        <w:t>附录</w:t>
      </w:r>
      <w:bookmarkEnd w:id="151"/>
      <w:r>
        <w:rPr>
          <w:rFonts w:hint="eastAsia" w:ascii="宋体" w:hAnsi="宋体"/>
          <w:sz w:val="24"/>
        </w:rPr>
        <w:t>9：</w:t>
      </w:r>
    </w:p>
    <w:p>
      <w:pPr>
        <w:pStyle w:val="9"/>
        <w:ind w:left="640" w:hanging="640"/>
        <w:jc w:val="center"/>
        <w:rPr>
          <w:rFonts w:hint="eastAsia" w:hAnsi="宋体"/>
          <w:b/>
          <w:sz w:val="32"/>
        </w:rPr>
      </w:pPr>
      <w:r>
        <w:rPr>
          <w:rFonts w:hint="eastAsia" w:hAnsi="宋体"/>
          <w:b/>
          <w:sz w:val="32"/>
        </w:rPr>
        <w:t>资格审查和报价文件有效性审查表</w:t>
      </w:r>
    </w:p>
    <w:p>
      <w:pPr>
        <w:pStyle w:val="9"/>
        <w:ind w:left="420" w:hanging="420"/>
        <w:rPr>
          <w:rFonts w:hint="eastAsia" w:hAnsi="宋体"/>
          <w:b/>
          <w:sz w:val="32"/>
        </w:rPr>
      </w:pPr>
      <w:r>
        <w:rPr>
          <w:rFonts w:hint="eastAsia" w:hAnsi="宋体"/>
        </w:rPr>
        <w:t>项目名称：</w:t>
      </w:r>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1044"/>
        <w:gridCol w:w="1116"/>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序号</w:t>
            </w:r>
          </w:p>
        </w:tc>
        <w:tc>
          <w:tcPr>
            <w:tcW w:w="4860" w:type="dxa"/>
            <w:tcBorders>
              <w:tl2br w:val="single" w:color="auto" w:sz="4" w:space="0"/>
            </w:tcBorders>
            <w:noWrap w:val="0"/>
            <w:vAlign w:val="top"/>
          </w:tcPr>
          <w:p>
            <w:pPr>
              <w:pStyle w:val="9"/>
              <w:ind w:left="420" w:hanging="420"/>
              <w:jc w:val="center"/>
              <w:rPr>
                <w:rFonts w:hint="eastAsia"/>
                <w:color w:val="000000"/>
              </w:rPr>
            </w:pPr>
            <w:r>
              <w:rPr>
                <w:rFonts w:hint="eastAsia"/>
                <w:color w:val="000000"/>
              </w:rPr>
              <w:t xml:space="preserve">                      供应商名称</w:t>
            </w:r>
          </w:p>
          <w:p>
            <w:pPr>
              <w:pStyle w:val="9"/>
              <w:ind w:left="420" w:hanging="420"/>
              <w:rPr>
                <w:rFonts w:hint="eastAsia" w:hAnsi="宋体"/>
                <w:b/>
              </w:rPr>
            </w:pPr>
            <w:r>
              <w:rPr>
                <w:rFonts w:hint="eastAsia"/>
                <w:color w:val="000000"/>
              </w:rPr>
              <w:t>审查项目</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1</w:t>
            </w:r>
          </w:p>
        </w:tc>
        <w:tc>
          <w:tcPr>
            <w:tcW w:w="4860" w:type="dxa"/>
            <w:noWrap w:val="0"/>
            <w:vAlign w:val="center"/>
          </w:tcPr>
          <w:p>
            <w:pPr>
              <w:pStyle w:val="9"/>
              <w:rPr>
                <w:rFonts w:hint="eastAsia" w:hAnsi="宋体"/>
                <w:color w:val="auto"/>
              </w:rPr>
            </w:pPr>
            <w:r>
              <w:rPr>
                <w:rFonts w:hint="eastAsia" w:hAnsi="宋体"/>
                <w:color w:val="auto"/>
              </w:rPr>
              <w:t>供应商必须为具备本项目履约能力的在中华人民共和国注册登记的企事业法人单位，持有效的法人营业执照或事业单位法人证书（需提供相应证明文件复印件）</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2</w:t>
            </w:r>
          </w:p>
        </w:tc>
        <w:tc>
          <w:tcPr>
            <w:tcW w:w="4860" w:type="dxa"/>
            <w:noWrap w:val="0"/>
            <w:vAlign w:val="center"/>
          </w:tcPr>
          <w:p>
            <w:pPr>
              <w:pStyle w:val="9"/>
              <w:rPr>
                <w:rFonts w:hint="eastAsia" w:hAnsi="宋体"/>
                <w:color w:val="auto"/>
              </w:rPr>
            </w:pPr>
            <w:r>
              <w:rPr>
                <w:rFonts w:hint="eastAsia" w:hAnsi="宋体"/>
                <w:color w:val="auto"/>
              </w:rPr>
              <w:t>供应商</w:t>
            </w:r>
            <w:r>
              <w:rPr>
                <w:rFonts w:hint="eastAsia" w:hAnsi="宋体"/>
                <w:color w:val="auto"/>
                <w:lang w:val="en-US" w:eastAsia="zh-CN"/>
              </w:rPr>
              <w:t>服务人员</w:t>
            </w:r>
            <w:r>
              <w:rPr>
                <w:rFonts w:hint="eastAsia" w:hAnsi="宋体"/>
                <w:color w:val="auto"/>
              </w:rPr>
              <w:t>必须具备高级工程师</w:t>
            </w:r>
            <w:r>
              <w:rPr>
                <w:rFonts w:hint="eastAsia" w:hAnsi="宋体"/>
                <w:color w:val="auto"/>
                <w:lang w:val="en-US" w:eastAsia="zh-CN"/>
              </w:rPr>
              <w:t>或</w:t>
            </w:r>
            <w:r>
              <w:rPr>
                <w:rFonts w:hint="eastAsia" w:hAnsi="宋体"/>
                <w:color w:val="auto"/>
              </w:rPr>
              <w:t>注册安全工程师</w:t>
            </w:r>
            <w:r>
              <w:rPr>
                <w:rFonts w:hint="eastAsia" w:hAnsi="宋体"/>
                <w:color w:val="auto"/>
                <w:lang w:val="en-US" w:eastAsia="zh-CN"/>
              </w:rPr>
              <w:t>或安全评价师</w:t>
            </w:r>
            <w:r>
              <w:rPr>
                <w:rFonts w:hint="eastAsia" w:hAnsi="宋体"/>
                <w:color w:val="auto"/>
              </w:rPr>
              <w:t>资格</w:t>
            </w:r>
            <w:r>
              <w:rPr>
                <w:rFonts w:hint="eastAsia" w:hAnsi="宋体"/>
                <w:color w:val="auto"/>
                <w:lang w:eastAsia="zh-CN"/>
              </w:rPr>
              <w:t>（需提供相关资质复印件）</w:t>
            </w:r>
          </w:p>
        </w:tc>
        <w:tc>
          <w:tcPr>
            <w:tcW w:w="1044" w:type="dxa"/>
            <w:noWrap w:val="0"/>
            <w:vAlign w:val="top"/>
          </w:tcPr>
          <w:p>
            <w:pPr>
              <w:pStyle w:val="9"/>
              <w:ind w:left="0" w:firstLine="0"/>
              <w:jc w:val="left"/>
              <w:rPr>
                <w:rFonts w:hint="eastAsia" w:ascii="宋体" w:hAnsi="宋体" w:eastAsia="宋体" w:cs="Courier New"/>
                <w:b w:val="0"/>
                <w:color w:val="auto"/>
                <w:sz w:val="21"/>
                <w:highlight w:val="none"/>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008" w:type="dxa"/>
            <w:noWrap w:val="0"/>
            <w:vAlign w:val="center"/>
          </w:tcPr>
          <w:p>
            <w:pPr>
              <w:pStyle w:val="9"/>
              <w:ind w:left="420" w:hanging="420"/>
              <w:jc w:val="center"/>
              <w:rPr>
                <w:rFonts w:hint="eastAsia" w:hAnsi="宋体"/>
                <w:color w:val="auto"/>
                <w:highlight w:val="none"/>
              </w:rPr>
            </w:pPr>
            <w:r>
              <w:rPr>
                <w:rFonts w:hint="eastAsia" w:hAnsi="宋体"/>
                <w:color w:val="auto"/>
                <w:highlight w:val="none"/>
              </w:rPr>
              <w:t>3</w:t>
            </w:r>
          </w:p>
        </w:tc>
        <w:tc>
          <w:tcPr>
            <w:tcW w:w="4860" w:type="dxa"/>
            <w:noWrap w:val="0"/>
            <w:vAlign w:val="center"/>
          </w:tcPr>
          <w:p>
            <w:pPr>
              <w:pStyle w:val="9"/>
              <w:rPr>
                <w:rFonts w:hint="eastAsia" w:hAnsi="宋体"/>
                <w:color w:val="auto"/>
                <w:lang w:val="en-US" w:eastAsia="zh-CN"/>
              </w:rPr>
            </w:pPr>
            <w:r>
              <w:rPr>
                <w:rFonts w:hint="eastAsia" w:hAnsi="宋体"/>
                <w:color w:val="auto"/>
                <w:lang w:val="en-US" w:eastAsia="zh-CN"/>
              </w:rPr>
              <w:t>2016年1月1日至今，供应商具有完成政府部门或企事业单位安全生产相关服务业绩（须提供反映上述要求的合同复印件和合同成果关键页复印件并加盖公章）</w:t>
            </w:r>
          </w:p>
        </w:tc>
        <w:tc>
          <w:tcPr>
            <w:tcW w:w="1044" w:type="dxa"/>
            <w:noWrap w:val="0"/>
            <w:vAlign w:val="top"/>
          </w:tcPr>
          <w:p>
            <w:pPr>
              <w:pStyle w:val="9"/>
              <w:ind w:left="420" w:hanging="420"/>
              <w:jc w:val="center"/>
              <w:rPr>
                <w:rFonts w:hint="eastAsia" w:hAnsi="宋体"/>
                <w:color w:val="auto"/>
                <w:highlight w:val="none"/>
              </w:rPr>
            </w:pPr>
          </w:p>
        </w:tc>
        <w:tc>
          <w:tcPr>
            <w:tcW w:w="1116" w:type="dxa"/>
            <w:noWrap w:val="0"/>
            <w:vAlign w:val="top"/>
          </w:tcPr>
          <w:p>
            <w:pPr>
              <w:pStyle w:val="9"/>
              <w:ind w:left="420" w:hanging="420"/>
              <w:jc w:val="center"/>
              <w:rPr>
                <w:rFonts w:hint="eastAsia" w:hAnsi="宋体"/>
                <w:color w:val="auto"/>
                <w:highlight w:val="none"/>
              </w:rPr>
            </w:pPr>
          </w:p>
        </w:tc>
        <w:tc>
          <w:tcPr>
            <w:tcW w:w="918" w:type="dxa"/>
            <w:noWrap w:val="0"/>
            <w:vAlign w:val="top"/>
          </w:tcPr>
          <w:p>
            <w:pPr>
              <w:pStyle w:val="9"/>
              <w:ind w:left="420" w:hanging="420"/>
              <w:jc w:val="center"/>
              <w:rPr>
                <w:rFonts w:hint="eastAsia"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08" w:type="dxa"/>
            <w:noWrap w:val="0"/>
            <w:vAlign w:val="center"/>
          </w:tcPr>
          <w:p>
            <w:pPr>
              <w:pStyle w:val="9"/>
              <w:ind w:left="420" w:hanging="420"/>
              <w:jc w:val="center"/>
              <w:rPr>
                <w:rFonts w:hint="eastAsia" w:hAnsi="宋体"/>
              </w:rPr>
            </w:pPr>
            <w:r>
              <w:rPr>
                <w:rFonts w:hint="eastAsia" w:hAnsi="宋体"/>
              </w:rPr>
              <w:t>4</w:t>
            </w:r>
          </w:p>
        </w:tc>
        <w:tc>
          <w:tcPr>
            <w:tcW w:w="4860" w:type="dxa"/>
            <w:noWrap w:val="0"/>
            <w:vAlign w:val="center"/>
          </w:tcPr>
          <w:p>
            <w:pPr>
              <w:pStyle w:val="9"/>
              <w:rPr>
                <w:rFonts w:hint="eastAsia" w:ascii="宋体" w:hAnsi="Courier New" w:eastAsia="宋体" w:cs="Courier New"/>
                <w:color w:val="000000"/>
                <w:kern w:val="2"/>
                <w:sz w:val="21"/>
                <w:szCs w:val="21"/>
                <w:lang w:val="en-US" w:eastAsia="zh-CN" w:bidi="ar-SA"/>
              </w:rPr>
            </w:pPr>
            <w:r>
              <w:rPr>
                <w:rFonts w:hint="eastAsia" w:ascii="宋体" w:hAnsi="Courier New" w:eastAsia="宋体" w:cs="Courier New"/>
                <w:color w:val="000000"/>
                <w:kern w:val="2"/>
                <w:sz w:val="21"/>
                <w:szCs w:val="21"/>
                <w:lang w:val="en-US" w:eastAsia="zh-CN" w:bidi="ar-SA"/>
              </w:rPr>
              <w:t>广东省机场管理集团有限公司招标、采购管理平台合作商登记表并加盖公章</w:t>
            </w:r>
          </w:p>
        </w:tc>
        <w:tc>
          <w:tcPr>
            <w:tcW w:w="1044" w:type="dxa"/>
            <w:noWrap w:val="0"/>
            <w:vAlign w:val="top"/>
          </w:tcPr>
          <w:p>
            <w:pPr>
              <w:pStyle w:val="9"/>
              <w:ind w:left="420" w:hanging="420"/>
              <w:jc w:val="center"/>
              <w:rPr>
                <w:rFonts w:hint="eastAsia" w:hAnsi="宋体"/>
              </w:rPr>
            </w:pPr>
          </w:p>
        </w:tc>
        <w:tc>
          <w:tcPr>
            <w:tcW w:w="1116" w:type="dxa"/>
            <w:noWrap w:val="0"/>
            <w:vAlign w:val="top"/>
          </w:tcPr>
          <w:p>
            <w:pPr>
              <w:pStyle w:val="9"/>
              <w:ind w:left="420" w:hanging="420"/>
              <w:jc w:val="center"/>
              <w:rPr>
                <w:rFonts w:hint="eastAsia" w:hAnsi="宋体"/>
              </w:rPr>
            </w:pPr>
          </w:p>
        </w:tc>
        <w:tc>
          <w:tcPr>
            <w:tcW w:w="918" w:type="dxa"/>
            <w:noWrap w:val="0"/>
            <w:vAlign w:val="top"/>
          </w:tcPr>
          <w:p>
            <w:pPr>
              <w:pStyle w:val="9"/>
              <w:ind w:left="420" w:hanging="420"/>
              <w:jc w:val="center"/>
              <w:rPr>
                <w:rFonts w:hint="eastAsia"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5</w:t>
            </w:r>
          </w:p>
        </w:tc>
        <w:tc>
          <w:tcPr>
            <w:tcW w:w="4860" w:type="dxa"/>
            <w:noWrap w:val="0"/>
            <w:vAlign w:val="center"/>
          </w:tcPr>
          <w:p>
            <w:pPr>
              <w:pStyle w:val="9"/>
              <w:rPr>
                <w:rFonts w:hint="eastAsia"/>
                <w:color w:val="auto"/>
              </w:rPr>
            </w:pPr>
            <w:r>
              <w:rPr>
                <w:rFonts w:hint="eastAsia" w:hAnsi="宋体"/>
                <w:color w:val="auto"/>
              </w:rPr>
              <w:t>2016年1月1日至今，供应商没有因腐败或欺诈行为而被政府或业主宣布取消投标资格；同时，2016年1月1日至今供应商（包括其关联公司）与采购人未发生过各种诉讼、仲裁和不良投诉（须就此项内容提供承诺函并加盖供应商公章）</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6</w:t>
            </w:r>
          </w:p>
        </w:tc>
        <w:tc>
          <w:tcPr>
            <w:tcW w:w="4860" w:type="dxa"/>
            <w:noWrap w:val="0"/>
            <w:vAlign w:val="center"/>
          </w:tcPr>
          <w:p>
            <w:pPr>
              <w:pStyle w:val="9"/>
              <w:rPr>
                <w:rFonts w:hint="eastAsia"/>
              </w:rPr>
            </w:pPr>
            <w:r>
              <w:rPr>
                <w:rFonts w:hint="eastAsia"/>
                <w:color w:val="000000"/>
              </w:rPr>
              <w:t>供应商不得被列入“失信惩戒”，以“信用中国”网站（www.creditchina.gov.cn）查询为准，供应商需在采购公告发布后按采购文件给定的格式要求从“信用中国”网站截图并加盖公章（未按格式要求截图或截图信息不清晰将作废标处理），同时下载信用评估报告、打印并加盖公章后附在报价文件中（供应商为事业单位，不需要审查该项）</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7</w:t>
            </w:r>
          </w:p>
        </w:tc>
        <w:tc>
          <w:tcPr>
            <w:tcW w:w="4860" w:type="dxa"/>
            <w:noWrap w:val="0"/>
            <w:vAlign w:val="center"/>
          </w:tcPr>
          <w:p>
            <w:pPr>
              <w:pStyle w:val="9"/>
              <w:rPr>
                <w:rFonts w:hint="eastAsia"/>
                <w:color w:val="000000"/>
              </w:rPr>
            </w:pPr>
            <w:r>
              <w:rPr>
                <w:rFonts w:hint="eastAsia"/>
                <w:color w:val="000000"/>
              </w:rPr>
              <w:t>供应商不得被列入中国执行信息公开网（http://zxgk.court.gov.cn/）的全国法院失信被执行人名单，供应商需在采购公告发布后从“中国执行信息公开网”网站截图并加盖公章（截图格式见附录10）（供应商为事业单位，不需要审查该项）</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8</w:t>
            </w:r>
          </w:p>
        </w:tc>
        <w:tc>
          <w:tcPr>
            <w:tcW w:w="4860" w:type="dxa"/>
            <w:noWrap w:val="0"/>
            <w:vAlign w:val="center"/>
          </w:tcPr>
          <w:p>
            <w:pPr>
              <w:pStyle w:val="9"/>
              <w:rPr>
                <w:rFonts w:hint="eastAsia"/>
                <w:color w:val="000000"/>
              </w:rPr>
            </w:pPr>
            <w:r>
              <w:rPr>
                <w:rFonts w:hint="eastAsia"/>
              </w:rPr>
              <w:t>有法定代表人证明书及法人授权书</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9</w:t>
            </w:r>
          </w:p>
        </w:tc>
        <w:tc>
          <w:tcPr>
            <w:tcW w:w="4860" w:type="dxa"/>
            <w:noWrap w:val="0"/>
            <w:vAlign w:val="center"/>
          </w:tcPr>
          <w:p>
            <w:pPr>
              <w:pStyle w:val="9"/>
              <w:rPr>
                <w:rFonts w:hint="eastAsia"/>
                <w:color w:val="000000"/>
              </w:rPr>
            </w:pPr>
            <w:r>
              <w:rPr>
                <w:rFonts w:hint="eastAsia"/>
                <w:color w:val="000000"/>
              </w:rPr>
              <w:t>报价函有法定代表人或授权代表签字且加盖公章</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10</w:t>
            </w:r>
          </w:p>
        </w:tc>
        <w:tc>
          <w:tcPr>
            <w:tcW w:w="4860" w:type="dxa"/>
            <w:noWrap w:val="0"/>
            <w:vAlign w:val="center"/>
          </w:tcPr>
          <w:p>
            <w:pPr>
              <w:pStyle w:val="9"/>
              <w:rPr>
                <w:rFonts w:hint="eastAsia" w:hAnsi="宋体"/>
                <w:b/>
              </w:rPr>
            </w:pPr>
            <w:r>
              <w:rPr>
                <w:rFonts w:hint="eastAsia"/>
                <w:color w:val="000000"/>
              </w:rPr>
              <w:t>报价表有法定代表人或授权代表签字且加盖公章</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Ansi="宋体"/>
              </w:rPr>
            </w:pPr>
            <w:r>
              <w:rPr>
                <w:rFonts w:hint="eastAsia" w:hAnsi="宋体"/>
              </w:rPr>
              <w:t>11</w:t>
            </w:r>
          </w:p>
        </w:tc>
        <w:tc>
          <w:tcPr>
            <w:tcW w:w="4860" w:type="dxa"/>
            <w:noWrap w:val="0"/>
            <w:vAlign w:val="center"/>
          </w:tcPr>
          <w:p>
            <w:pPr>
              <w:pStyle w:val="9"/>
              <w:rPr>
                <w:rFonts w:hint="eastAsia"/>
                <w:color w:val="000000"/>
              </w:rPr>
            </w:pPr>
            <w:r>
              <w:rPr>
                <w:rFonts w:hint="eastAsia"/>
                <w:color w:val="000000"/>
              </w:rPr>
              <w:t>报价有效期符合采购文件规定（9</w:t>
            </w:r>
            <w:r>
              <w:rPr>
                <w:color w:val="000000"/>
              </w:rPr>
              <w:t>0</w:t>
            </w:r>
            <w:r>
              <w:rPr>
                <w:rFonts w:hint="eastAsia"/>
                <w:color w:val="000000"/>
              </w:rPr>
              <w:t>个日历日）</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Ansi="宋体"/>
              </w:rPr>
              <w:t>12</w:t>
            </w:r>
          </w:p>
        </w:tc>
        <w:tc>
          <w:tcPr>
            <w:tcW w:w="4860" w:type="dxa"/>
            <w:noWrap w:val="0"/>
            <w:vAlign w:val="center"/>
          </w:tcPr>
          <w:p>
            <w:pPr>
              <w:pStyle w:val="9"/>
              <w:rPr>
                <w:rFonts w:hint="eastAsia"/>
                <w:color w:val="000000"/>
              </w:rPr>
            </w:pPr>
            <w:r>
              <w:rPr>
                <w:rFonts w:hint="eastAsia"/>
                <w:color w:val="000000"/>
              </w:rPr>
              <w:t>报价没有超过最高限价</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Ansi="宋体"/>
              </w:rPr>
              <w:t>13</w:t>
            </w:r>
          </w:p>
        </w:tc>
        <w:tc>
          <w:tcPr>
            <w:tcW w:w="4860" w:type="dxa"/>
            <w:noWrap w:val="0"/>
            <w:vAlign w:val="center"/>
          </w:tcPr>
          <w:p>
            <w:pPr>
              <w:pStyle w:val="9"/>
              <w:rPr>
                <w:rFonts w:hint="eastAsia"/>
                <w:color w:val="000000"/>
              </w:rPr>
            </w:pPr>
            <w:r>
              <w:rPr>
                <w:rFonts w:hint="eastAsia"/>
                <w:color w:val="000000"/>
              </w:rPr>
              <w:t>供应商递交一种报价方案和报价</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Ansi="宋体"/>
              </w:rPr>
            </w:pPr>
            <w:r>
              <w:rPr>
                <w:rFonts w:hAnsi="宋体"/>
              </w:rPr>
              <w:t>14</w:t>
            </w:r>
          </w:p>
        </w:tc>
        <w:tc>
          <w:tcPr>
            <w:tcW w:w="4860" w:type="dxa"/>
            <w:noWrap w:val="0"/>
            <w:vAlign w:val="center"/>
          </w:tcPr>
          <w:p>
            <w:pPr>
              <w:pStyle w:val="9"/>
              <w:rPr>
                <w:rFonts w:hint="eastAsia"/>
                <w:color w:val="000000"/>
              </w:rPr>
            </w:pPr>
            <w:r>
              <w:rPr>
                <w:rFonts w:hint="eastAsia" w:hAnsi="宋体"/>
              </w:rPr>
              <w:t>非联合体报价</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pStyle w:val="9"/>
              <w:ind w:left="420" w:hanging="420"/>
              <w:jc w:val="center"/>
              <w:rPr>
                <w:rFonts w:hint="eastAsia" w:hAnsi="宋体"/>
              </w:rPr>
            </w:pPr>
            <w:r>
              <w:rPr>
                <w:rFonts w:hint="eastAsia" w:hAnsi="宋体"/>
              </w:rPr>
              <w:t>结论</w:t>
            </w:r>
          </w:p>
        </w:tc>
        <w:tc>
          <w:tcPr>
            <w:tcW w:w="4860" w:type="dxa"/>
            <w:noWrap w:val="0"/>
            <w:vAlign w:val="center"/>
          </w:tcPr>
          <w:p>
            <w:pPr>
              <w:pStyle w:val="9"/>
              <w:ind w:left="420" w:hanging="420"/>
              <w:rPr>
                <w:rFonts w:hint="eastAsia" w:hAnsi="宋体"/>
                <w:b/>
              </w:rPr>
            </w:pPr>
            <w:r>
              <w:rPr>
                <w:rFonts w:hint="eastAsia"/>
                <w:color w:val="000000"/>
              </w:rPr>
              <w:t>是否通过并进入下一阶段评审</w:t>
            </w:r>
          </w:p>
        </w:tc>
        <w:tc>
          <w:tcPr>
            <w:tcW w:w="1044" w:type="dxa"/>
            <w:noWrap w:val="0"/>
            <w:vAlign w:val="top"/>
          </w:tcPr>
          <w:p>
            <w:pPr>
              <w:pStyle w:val="9"/>
              <w:ind w:left="640" w:hanging="640"/>
              <w:jc w:val="center"/>
              <w:rPr>
                <w:rFonts w:hint="eastAsia" w:hAnsi="宋体"/>
                <w:b/>
                <w:sz w:val="32"/>
              </w:rPr>
            </w:pPr>
          </w:p>
        </w:tc>
        <w:tc>
          <w:tcPr>
            <w:tcW w:w="1116" w:type="dxa"/>
            <w:noWrap w:val="0"/>
            <w:vAlign w:val="top"/>
          </w:tcPr>
          <w:p>
            <w:pPr>
              <w:pStyle w:val="9"/>
              <w:ind w:left="640" w:hanging="640"/>
              <w:jc w:val="center"/>
              <w:rPr>
                <w:rFonts w:hint="eastAsia" w:hAnsi="宋体"/>
                <w:b/>
                <w:sz w:val="32"/>
              </w:rPr>
            </w:pPr>
          </w:p>
        </w:tc>
        <w:tc>
          <w:tcPr>
            <w:tcW w:w="918" w:type="dxa"/>
            <w:noWrap w:val="0"/>
            <w:vAlign w:val="top"/>
          </w:tcPr>
          <w:p>
            <w:pPr>
              <w:pStyle w:val="9"/>
              <w:ind w:left="640" w:hanging="640"/>
              <w:jc w:val="center"/>
              <w:rPr>
                <w:rFonts w:hint="eastAsia" w:hAnsi="宋体"/>
                <w:b/>
                <w:sz w:val="32"/>
              </w:rPr>
            </w:pPr>
          </w:p>
        </w:tc>
      </w:tr>
    </w:tbl>
    <w:p>
      <w:pPr>
        <w:tabs>
          <w:tab w:val="left" w:pos="720"/>
        </w:tabs>
        <w:adjustRightInd w:val="0"/>
        <w:snapToGrid w:val="0"/>
        <w:ind w:left="630" w:hanging="630" w:hangingChars="300"/>
        <w:rPr>
          <w:rFonts w:hint="eastAsia" w:ascii="宋体" w:hAnsi="Courier New"/>
          <w:color w:val="000000"/>
          <w:szCs w:val="21"/>
        </w:rPr>
      </w:pPr>
      <w:r>
        <w:rPr>
          <w:rFonts w:hint="eastAsia" w:ascii="宋体" w:hAnsi="Courier New"/>
          <w:color w:val="000000"/>
          <w:szCs w:val="21"/>
        </w:rPr>
        <w:t>注：1.每一项目符合的打“○”，不符合的打“×”，并在备注中说明理由。出现一个“×”的结论为“不通过”。</w:t>
      </w:r>
    </w:p>
    <w:p>
      <w:pPr>
        <w:tabs>
          <w:tab w:val="left" w:pos="720"/>
        </w:tabs>
        <w:adjustRightInd w:val="0"/>
        <w:snapToGrid w:val="0"/>
        <w:ind w:firstLine="420" w:firstLineChars="200"/>
        <w:rPr>
          <w:rFonts w:hint="eastAsia" w:ascii="宋体" w:hAnsi="Courier New"/>
          <w:color w:val="000000"/>
          <w:szCs w:val="21"/>
        </w:rPr>
      </w:pPr>
      <w:r>
        <w:rPr>
          <w:rFonts w:hint="eastAsia" w:ascii="宋体" w:hAnsi="Courier New"/>
          <w:color w:val="000000"/>
          <w:szCs w:val="21"/>
        </w:rPr>
        <w:t>2.表中全部条件满足为“符合”的结论为“通过”，同意进入下一阶段评审。</w:t>
      </w:r>
    </w:p>
    <w:p>
      <w:pPr>
        <w:tabs>
          <w:tab w:val="left" w:pos="720"/>
        </w:tabs>
        <w:adjustRightInd w:val="0"/>
        <w:snapToGrid w:val="0"/>
        <w:ind w:left="630" w:leftChars="200" w:hanging="210" w:hangingChars="100"/>
        <w:rPr>
          <w:rFonts w:hint="eastAsia" w:ascii="宋体" w:hAnsi="Courier New"/>
          <w:color w:val="000000"/>
          <w:szCs w:val="21"/>
        </w:rPr>
      </w:pPr>
      <w:r>
        <w:rPr>
          <w:rFonts w:hint="eastAsia" w:ascii="宋体" w:hAnsi="Courier New"/>
          <w:color w:val="000000"/>
          <w:szCs w:val="21"/>
        </w:rPr>
        <w:t>3</w:t>
      </w:r>
      <w:r>
        <w:rPr>
          <w:rFonts w:ascii="宋体" w:hAnsi="Courier New"/>
          <w:color w:val="000000"/>
          <w:szCs w:val="21"/>
        </w:rPr>
        <w:t>.</w:t>
      </w:r>
      <w:r>
        <w:rPr>
          <w:rFonts w:hint="eastAsia" w:ascii="宋体" w:hAnsi="Courier New"/>
          <w:color w:val="000000"/>
          <w:szCs w:val="21"/>
        </w:rPr>
        <w:t>若专家意见不一致时，则按少数服从多数的原则决定该供应商是否通过资格及有效性审查，进入下一阶段评审。</w:t>
      </w:r>
    </w:p>
    <w:p>
      <w:pPr>
        <w:tabs>
          <w:tab w:val="left" w:pos="720"/>
        </w:tabs>
        <w:adjustRightInd w:val="0"/>
        <w:snapToGrid w:val="0"/>
        <w:ind w:firstLine="420" w:firstLineChars="200"/>
        <w:rPr>
          <w:rFonts w:ascii="宋体" w:hAnsi="Courier New"/>
          <w:color w:val="000000"/>
          <w:szCs w:val="21"/>
        </w:rPr>
      </w:pPr>
      <w:r>
        <w:rPr>
          <w:rFonts w:hint="eastAsia" w:ascii="宋体" w:hAnsi="Courier New"/>
          <w:color w:val="000000"/>
          <w:szCs w:val="21"/>
        </w:rPr>
        <w:t>4.结论一栏应写“通过”“不通过”。</w:t>
      </w:r>
    </w:p>
    <w:p>
      <w:pPr>
        <w:tabs>
          <w:tab w:val="left" w:pos="720"/>
        </w:tabs>
        <w:adjustRightInd w:val="0"/>
        <w:snapToGrid w:val="0"/>
        <w:ind w:firstLine="360" w:firstLineChars="200"/>
        <w:rPr>
          <w:rFonts w:ascii="宋体" w:hAnsi="Courier New"/>
          <w:color w:val="000000"/>
          <w:sz w:val="18"/>
          <w:szCs w:val="18"/>
        </w:rPr>
      </w:pPr>
    </w:p>
    <w:p>
      <w:pPr>
        <w:tabs>
          <w:tab w:val="left" w:pos="720"/>
        </w:tabs>
        <w:adjustRightInd w:val="0"/>
        <w:snapToGrid w:val="0"/>
        <w:ind w:firstLine="360" w:firstLineChars="200"/>
        <w:rPr>
          <w:rFonts w:hint="eastAsia" w:ascii="宋体" w:hAnsi="Courier New"/>
          <w:color w:val="000000"/>
          <w:sz w:val="18"/>
          <w:szCs w:val="18"/>
        </w:rPr>
      </w:pPr>
    </w:p>
    <w:p>
      <w:pPr>
        <w:pStyle w:val="9"/>
        <w:ind w:left="420" w:hanging="420"/>
        <w:rPr>
          <w:rFonts w:hint="eastAsia"/>
          <w:color w:val="000000"/>
        </w:rPr>
      </w:pPr>
      <w:r>
        <w:rPr>
          <w:rFonts w:hint="eastAsia"/>
          <w:color w:val="000000"/>
        </w:rPr>
        <w:t xml:space="preserve">评委签名：                           </w:t>
      </w:r>
    </w:p>
    <w:p>
      <w:pPr>
        <w:pStyle w:val="9"/>
        <w:ind w:left="420" w:hanging="420"/>
        <w:rPr>
          <w:rFonts w:hint="eastAsia"/>
          <w:color w:val="000000"/>
        </w:rPr>
      </w:pPr>
    </w:p>
    <w:p>
      <w:pPr>
        <w:pStyle w:val="9"/>
        <w:ind w:left="420" w:hanging="420"/>
        <w:rPr>
          <w:rFonts w:hint="eastAsia"/>
          <w:color w:val="000000"/>
        </w:rPr>
      </w:pPr>
    </w:p>
    <w:p>
      <w:pPr>
        <w:pStyle w:val="9"/>
        <w:ind w:left="420" w:hanging="420"/>
        <w:rPr>
          <w:rFonts w:hint="eastAsia"/>
          <w:color w:val="000000"/>
        </w:rPr>
      </w:pPr>
    </w:p>
    <w:p>
      <w:pPr>
        <w:pStyle w:val="9"/>
        <w:ind w:left="420" w:hanging="420"/>
        <w:rPr>
          <w:rFonts w:hint="eastAsia"/>
          <w:color w:val="000000"/>
        </w:rPr>
      </w:pPr>
      <w:r>
        <w:rPr>
          <w:rFonts w:hint="eastAsia"/>
          <w:color w:val="000000"/>
        </w:rPr>
        <w:t xml:space="preserve"> 日期：</w:t>
      </w:r>
    </w:p>
    <w:p>
      <w:pPr>
        <w:pStyle w:val="9"/>
        <w:ind w:left="420" w:hanging="420"/>
        <w:rPr>
          <w:rFonts w:hint="eastAsia"/>
          <w:color w:val="000000"/>
        </w:rPr>
      </w:pPr>
    </w:p>
    <w:p>
      <w:pPr>
        <w:pStyle w:val="9"/>
        <w:ind w:left="420" w:hanging="420"/>
        <w:rPr>
          <w:rFonts w:hint="eastAsia"/>
          <w:color w:val="000000"/>
        </w:rPr>
      </w:pPr>
    </w:p>
    <w:p>
      <w:pPr>
        <w:pStyle w:val="9"/>
        <w:ind w:left="420" w:hanging="420"/>
        <w:rPr>
          <w:rFonts w:hint="eastAsia"/>
          <w:color w:val="000000"/>
        </w:rPr>
      </w:pPr>
    </w:p>
    <w:p>
      <w:pPr>
        <w:pStyle w:val="9"/>
        <w:rPr>
          <w:rFonts w:hint="eastAsia" w:hAnsi="宋体"/>
          <w:highlight w:val="yellow"/>
        </w:rPr>
      </w:pPr>
    </w:p>
    <w:p>
      <w:pPr>
        <w:pStyle w:val="9"/>
        <w:rPr>
          <w:rFonts w:hint="eastAsia" w:hAnsi="宋体"/>
          <w:highlight w:val="yellow"/>
        </w:rPr>
      </w:pPr>
    </w:p>
    <w:p>
      <w:pPr>
        <w:pStyle w:val="9"/>
        <w:rPr>
          <w:rFonts w:hint="eastAsia" w:hAnsi="宋体"/>
          <w:highlight w:val="yellow"/>
        </w:rPr>
      </w:pPr>
    </w:p>
    <w:p>
      <w:pPr>
        <w:pStyle w:val="9"/>
        <w:rPr>
          <w:rFonts w:hint="eastAsia" w:hAnsi="宋体"/>
          <w:highlight w:val="yellow"/>
        </w:rPr>
      </w:pPr>
    </w:p>
    <w:p>
      <w:pPr>
        <w:pStyle w:val="9"/>
        <w:ind w:left="420" w:hanging="420"/>
        <w:rPr>
          <w:rFonts w:hint="eastAsia" w:hAnsi="宋体"/>
          <w:b/>
          <w:sz w:val="32"/>
        </w:rPr>
      </w:pPr>
    </w:p>
    <w:p>
      <w:pPr>
        <w:rPr>
          <w:rFonts w:ascii="宋体" w:hAnsi="宋体"/>
          <w:b/>
          <w:szCs w:val="21"/>
        </w:rPr>
      </w:pPr>
    </w:p>
    <w:bookmarkEnd w:id="149"/>
    <w:p>
      <w:pPr>
        <w:pageBreakBefore/>
        <w:jc w:val="center"/>
        <w:sectPr>
          <w:headerReference r:id="rId21" w:type="first"/>
          <w:headerReference r:id="rId19" w:type="default"/>
          <w:footerReference r:id="rId22" w:type="default"/>
          <w:headerReference r:id="rId20" w:type="even"/>
          <w:pgSz w:w="11906" w:h="16838"/>
          <w:pgMar w:top="1091" w:right="1616" w:bottom="1246" w:left="1575" w:header="737" w:footer="680" w:gutter="0"/>
          <w:cols w:space="720" w:num="1"/>
          <w:titlePg/>
          <w:docGrid w:type="linesAndChars" w:linePitch="312" w:charSpace="0"/>
        </w:sectPr>
      </w:pPr>
      <w:bookmarkStart w:id="152" w:name="_Toc49317179"/>
      <w:bookmarkStart w:id="153" w:name="_Toc41208046"/>
    </w:p>
    <w:bookmarkEnd w:id="152"/>
    <w:bookmarkEnd w:id="153"/>
    <w:p>
      <w:pPr>
        <w:jc w:val="center"/>
        <w:rPr>
          <w:rFonts w:hint="eastAsia"/>
          <w:b/>
          <w:sz w:val="28"/>
        </w:rPr>
      </w:pPr>
    </w:p>
    <w:p>
      <w:pPr>
        <w:jc w:val="center"/>
        <w:rPr>
          <w:rFonts w:hint="eastAsia"/>
          <w:b/>
          <w:sz w:val="28"/>
        </w:rPr>
      </w:pPr>
    </w:p>
    <w:p>
      <w:pPr>
        <w:tabs>
          <w:tab w:val="left" w:pos="7049"/>
        </w:tabs>
        <w:jc w:val="left"/>
        <w:rPr>
          <w:rFonts w:hint="eastAsia"/>
          <w:b/>
          <w:sz w:val="28"/>
        </w:rPr>
      </w:pPr>
      <w:r>
        <w:rPr>
          <w:b/>
          <w:sz w:val="28"/>
        </w:rPr>
        <w:tab/>
      </w:r>
    </w:p>
    <w:p>
      <w:pPr>
        <w:jc w:val="center"/>
        <w:rPr>
          <w:rFonts w:hint="eastAsia"/>
          <w:b/>
          <w:sz w:val="28"/>
        </w:rPr>
      </w:pPr>
    </w:p>
    <w:p>
      <w:pPr>
        <w:jc w:val="center"/>
        <w:rPr>
          <w:rFonts w:hint="eastAsia"/>
          <w:b/>
          <w:sz w:val="28"/>
        </w:rPr>
      </w:pPr>
    </w:p>
    <w:p>
      <w:pPr>
        <w:rPr>
          <w:rFonts w:hint="eastAsia"/>
          <w:b/>
          <w:sz w:val="28"/>
        </w:rPr>
      </w:pPr>
    </w:p>
    <w:p>
      <w:pPr>
        <w:jc w:val="center"/>
        <w:rPr>
          <w:rFonts w:hint="eastAsia"/>
          <w:b/>
          <w:sz w:val="28"/>
        </w:rPr>
      </w:pPr>
    </w:p>
    <w:p>
      <w:pPr>
        <w:widowControl/>
        <w:tabs>
          <w:tab w:val="left" w:pos="567"/>
        </w:tabs>
        <w:autoSpaceDE w:val="0"/>
        <w:autoSpaceDN w:val="0"/>
        <w:ind w:left="567" w:hanging="567"/>
        <w:jc w:val="center"/>
        <w:textAlignment w:val="bottom"/>
        <w:outlineLvl w:val="0"/>
        <w:rPr>
          <w:rFonts w:eastAsia="黑体"/>
          <w:b/>
          <w:sz w:val="52"/>
        </w:rPr>
      </w:pPr>
      <w:r>
        <w:rPr>
          <w:rFonts w:hint="eastAsia" w:eastAsia="黑体"/>
          <w:b/>
          <w:sz w:val="52"/>
        </w:rPr>
        <w:t>第五部分</w:t>
      </w:r>
    </w:p>
    <w:p>
      <w:pPr>
        <w:widowControl/>
        <w:tabs>
          <w:tab w:val="left" w:pos="567"/>
        </w:tabs>
        <w:autoSpaceDE w:val="0"/>
        <w:autoSpaceDN w:val="0"/>
        <w:ind w:left="567" w:hanging="567"/>
        <w:jc w:val="center"/>
        <w:textAlignment w:val="bottom"/>
        <w:rPr>
          <w:rFonts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r>
        <w:rPr>
          <w:rFonts w:hint="eastAsia" w:eastAsia="黑体"/>
          <w:b/>
          <w:sz w:val="52"/>
        </w:rPr>
        <w:t>用户需求书</w:t>
      </w:r>
    </w:p>
    <w:p>
      <w:pPr>
        <w:widowControl/>
        <w:tabs>
          <w:tab w:val="left" w:pos="567"/>
        </w:tabs>
        <w:autoSpaceDE w:val="0"/>
        <w:autoSpaceDN w:val="0"/>
        <w:ind w:left="567" w:hanging="567"/>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widowControl/>
        <w:tabs>
          <w:tab w:val="left" w:pos="567"/>
        </w:tabs>
        <w:autoSpaceDE w:val="0"/>
        <w:autoSpaceDN w:val="0"/>
        <w:ind w:left="567" w:hanging="567"/>
        <w:jc w:val="center"/>
        <w:textAlignment w:val="bottom"/>
        <w:outlineLvl w:val="0"/>
        <w:rPr>
          <w:rFonts w:hint="eastAsia" w:eastAsia="黑体"/>
          <w:b/>
          <w:sz w:val="52"/>
        </w:rPr>
      </w:pPr>
    </w:p>
    <w:p>
      <w:pPr>
        <w:spacing w:line="560" w:lineRule="exact"/>
        <w:jc w:val="center"/>
        <w:rPr>
          <w:rFonts w:ascii="黑体" w:eastAsia="黑体"/>
          <w:sz w:val="36"/>
          <w:szCs w:val="36"/>
          <w:shd w:val="clear" w:color="auto" w:fill="FFFFFF"/>
        </w:rPr>
      </w:pPr>
      <w:r>
        <w:rPr>
          <w:rFonts w:hint="eastAsia"/>
        </w:rPr>
        <w:br w:type="page"/>
      </w:r>
      <w:r>
        <w:rPr>
          <w:rFonts w:hint="eastAsia" w:ascii="黑体" w:eastAsia="黑体"/>
          <w:b w:val="0"/>
          <w:sz w:val="36"/>
          <w:szCs w:val="36"/>
          <w:shd w:val="clear" w:color="auto" w:fill="FFFFFF"/>
        </w:rPr>
        <w:t>用户需求书</w:t>
      </w:r>
    </w:p>
    <w:p>
      <w:pPr>
        <w:spacing w:line="360" w:lineRule="auto"/>
        <w:rPr>
          <w:rFonts w:ascii="宋体" w:hAnsi="宋体" w:cs="宋体"/>
          <w:szCs w:val="21"/>
          <w:shd w:val="clear" w:color="auto" w:fill="FFFFFF"/>
        </w:rPr>
      </w:pPr>
    </w:p>
    <w:p>
      <w:pPr>
        <w:spacing w:line="360" w:lineRule="auto"/>
        <w:ind w:firstLine="422" w:firstLineChars="200"/>
        <w:rPr>
          <w:rFonts w:ascii="宋体" w:hAnsi="宋体"/>
          <w:b/>
          <w:bCs/>
        </w:rPr>
      </w:pPr>
      <w:r>
        <w:rPr>
          <w:rFonts w:hint="eastAsia" w:ascii="宋体" w:hAnsi="宋体"/>
          <w:b/>
          <w:bCs/>
        </w:rPr>
        <w:t>一、服务内容</w:t>
      </w:r>
    </w:p>
    <w:p>
      <w:pPr>
        <w:pStyle w:val="19"/>
        <w:spacing w:line="360" w:lineRule="auto"/>
        <w:ind w:firstLine="420" w:firstLineChars="200"/>
        <w:jc w:val="both"/>
        <w:rPr>
          <w:rFonts w:hint="eastAsia" w:ascii="宋体" w:hAnsi="Times New Roman" w:eastAsia="宋体" w:cs="Times New Roman"/>
          <w:color w:val="auto"/>
          <w:kern w:val="2"/>
          <w:sz w:val="21"/>
          <w:szCs w:val="21"/>
          <w:lang w:val="en-US" w:eastAsia="zh-CN"/>
        </w:rPr>
      </w:pPr>
      <w:r>
        <w:rPr>
          <w:rFonts w:hint="eastAsia" w:ascii="宋体" w:hAnsi="Times New Roman" w:eastAsia="宋体" w:cs="Times New Roman"/>
          <w:color w:val="auto"/>
          <w:kern w:val="2"/>
          <w:sz w:val="21"/>
          <w:szCs w:val="21"/>
          <w:lang w:val="en-US" w:eastAsia="zh-CN"/>
        </w:rPr>
        <w:t>（一）编制《安全生产专项整治三年行动实施方案中期评估表》。</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（二）</w:t>
      </w:r>
      <w:r>
        <w:rPr>
          <w:rFonts w:hint="eastAsia" w:ascii="宋体" w:hAnsi="Times New Roman" w:eastAsia="宋体" w:cs="Times New Roman"/>
          <w:color w:val="auto"/>
          <w:kern w:val="2"/>
          <w:sz w:val="21"/>
          <w:szCs w:val="21"/>
        </w:rPr>
        <w:t>实地对广东省机场管理集团有限公司、广州白云国际机场股份有限公司、</w:t>
      </w:r>
      <w:r>
        <w:rPr>
          <w:rFonts w:hint="eastAsia" w:ascii="宋体" w:hAnsi="Times New Roman" w:eastAsia="宋体" w:cs="Times New Roman"/>
          <w:color w:val="auto"/>
          <w:kern w:val="2"/>
          <w:sz w:val="21"/>
          <w:szCs w:val="21"/>
          <w:lang w:val="en-US" w:eastAsia="zh-CN"/>
        </w:rPr>
        <w:t>广东机场集团工程建设指挥部</w:t>
      </w:r>
      <w:r>
        <w:rPr>
          <w:rFonts w:hint="eastAsia" w:ascii="宋体" w:hAnsi="Times New Roman" w:eastAsia="宋体" w:cs="Times New Roman"/>
          <w:color w:val="auto"/>
          <w:kern w:val="2"/>
          <w:sz w:val="21"/>
          <w:szCs w:val="21"/>
        </w:rPr>
        <w:t>安全生产专项整治三年行动开展情况进行中期评估</w:t>
      </w:r>
      <w:r>
        <w:rPr>
          <w:rFonts w:hint="eastAsia" w:ascii="宋体" w:hAnsi="Times New Roman" w:eastAsia="宋体" w:cs="Times New Roman"/>
          <w:color w:val="auto"/>
          <w:kern w:val="2"/>
          <w:sz w:val="21"/>
          <w:szCs w:val="21"/>
          <w:lang w:eastAsia="zh-CN"/>
        </w:rPr>
        <w:t>。</w:t>
      </w:r>
    </w:p>
    <w:p>
      <w:pPr>
        <w:pStyle w:val="19"/>
        <w:spacing w:line="360" w:lineRule="auto"/>
        <w:ind w:firstLine="420" w:firstLineChars="200"/>
        <w:jc w:val="both"/>
        <w:rPr>
          <w:rFonts w:hint="eastAsia" w:ascii="宋体" w:hAnsi="Times New Roman" w:eastAsia="宋体" w:cs="Times New Roman"/>
          <w:color w:val="auto"/>
          <w:kern w:val="2"/>
          <w:sz w:val="21"/>
          <w:szCs w:val="21"/>
        </w:rPr>
      </w:pPr>
      <w:r>
        <w:rPr>
          <w:rFonts w:hint="eastAsia" w:ascii="宋体" w:hAnsi="Times New Roman" w:eastAsia="宋体" w:cs="Times New Roman"/>
          <w:color w:val="auto"/>
          <w:kern w:val="2"/>
          <w:sz w:val="21"/>
          <w:szCs w:val="21"/>
          <w:lang w:val="en-US" w:eastAsia="zh-CN"/>
        </w:rPr>
        <w:t>（三）</w:t>
      </w:r>
      <w:r>
        <w:rPr>
          <w:rFonts w:hint="eastAsia" w:ascii="宋体" w:hAnsi="Times New Roman" w:eastAsia="宋体" w:cs="Times New Roman"/>
          <w:color w:val="auto"/>
          <w:kern w:val="2"/>
          <w:sz w:val="21"/>
          <w:szCs w:val="21"/>
        </w:rPr>
        <w:t>编制</w:t>
      </w:r>
      <w:r>
        <w:rPr>
          <w:rFonts w:hint="eastAsia" w:ascii="宋体" w:eastAsia="宋体" w:cs="Times New Roman"/>
          <w:color w:val="auto"/>
          <w:kern w:val="2"/>
          <w:sz w:val="21"/>
          <w:szCs w:val="21"/>
          <w:lang w:eastAsia="zh-CN"/>
        </w:rPr>
        <w:t>《广东省机场管理集团有限公司安全生产专项整治三年行动评估报告》《广州白云国际机场股份有限公司安全生产专项整治三年行动评估报告》《广东机场集团工程建设指挥部安全生产专项整治三年行动评估报告》</w:t>
      </w:r>
      <w:r>
        <w:rPr>
          <w:rFonts w:hint="eastAsia" w:ascii="宋体" w:hAnsi="Times New Roman" w:eastAsia="宋体" w:cs="Times New Roman"/>
          <w:color w:val="auto"/>
          <w:kern w:val="2"/>
          <w:sz w:val="21"/>
          <w:szCs w:val="21"/>
          <w:lang w:eastAsia="zh-CN"/>
        </w:rPr>
        <w:t>。</w:t>
      </w:r>
    </w:p>
    <w:p>
      <w:pPr>
        <w:pStyle w:val="2"/>
        <w:tabs>
          <w:tab w:val="left" w:pos="1743"/>
        </w:tabs>
        <w:spacing w:line="360" w:lineRule="auto"/>
        <w:ind w:firstLine="420" w:firstLineChars="200"/>
        <w:rPr>
          <w:rFonts w:hint="eastAsia" w:eastAsia="宋体"/>
          <w:szCs w:val="21"/>
          <w:lang w:eastAsia="zh-CN"/>
        </w:rPr>
      </w:pPr>
      <w:r>
        <w:rPr>
          <w:rFonts w:hint="eastAsia" w:ascii="宋体" w:hAnsi="Times New Roman" w:eastAsia="宋体" w:cs="Times New Roman"/>
          <w:color w:val="auto"/>
          <w:sz w:val="21"/>
          <w:szCs w:val="21"/>
          <w:lang w:val="en-US" w:eastAsia="zh-CN"/>
        </w:rPr>
        <w:t>（四）</w:t>
      </w:r>
      <w:r>
        <w:rPr>
          <w:rFonts w:hint="eastAsia" w:ascii="宋体" w:hAnsi="Times New Roman" w:eastAsia="宋体" w:cs="Times New Roman"/>
          <w:color w:val="auto"/>
          <w:sz w:val="21"/>
          <w:szCs w:val="21"/>
        </w:rPr>
        <w:t>协助采购人抓好安全生产专项整治三年行动中期评估情况的问题整改工作。</w:t>
      </w:r>
    </w:p>
    <w:p>
      <w:pPr>
        <w:spacing w:line="360" w:lineRule="auto"/>
        <w:ind w:left="420" w:leftChars="200"/>
        <w:rPr>
          <w:rFonts w:ascii="宋体" w:hAnsi="宋体"/>
        </w:rPr>
      </w:pPr>
      <w:r>
        <w:rPr>
          <w:rFonts w:hint="eastAsia" w:ascii="宋体" w:hAnsi="宋体"/>
          <w:b/>
          <w:bCs/>
        </w:rPr>
        <w:t>二、服务形式</w:t>
      </w:r>
    </w:p>
    <w:p>
      <w:pPr>
        <w:spacing w:line="360" w:lineRule="auto"/>
        <w:ind w:firstLine="420" w:firstLineChars="200"/>
        <w:rPr>
          <w:rFonts w:ascii="宋体" w:hAnsi="宋体" w:cs="宋体"/>
          <w:sz w:val="21"/>
          <w:szCs w:val="21"/>
        </w:rPr>
      </w:pPr>
      <w:r>
        <w:rPr>
          <w:rFonts w:hint="eastAsia" w:ascii="宋体" w:hAnsi="宋体"/>
          <w:szCs w:val="21"/>
          <w:lang w:eastAsia="zh-CN"/>
        </w:rPr>
        <w:t>（一）</w:t>
      </w:r>
      <w:r>
        <w:rPr>
          <w:rFonts w:hint="eastAsia" w:ascii="宋体" w:hAnsi="宋体"/>
          <w:szCs w:val="21"/>
        </w:rPr>
        <w:t>成立项目组</w:t>
      </w:r>
      <w:r>
        <w:rPr>
          <w:rFonts w:hint="eastAsia" w:ascii="宋体" w:hAnsi="宋体"/>
          <w:szCs w:val="21"/>
          <w:lang w:eastAsia="zh-CN"/>
        </w:rPr>
        <w:t>，</w:t>
      </w:r>
      <w:r>
        <w:rPr>
          <w:rFonts w:hint="eastAsia" w:ascii="宋体" w:hAnsi="宋体" w:cs="宋体"/>
          <w:sz w:val="21"/>
          <w:szCs w:val="21"/>
        </w:rPr>
        <w:t>指定专职负责人作为乙方联系人；</w:t>
      </w:r>
    </w:p>
    <w:p>
      <w:pPr>
        <w:pStyle w:val="19"/>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kern w:val="2"/>
          <w:sz w:val="21"/>
          <w:szCs w:val="21"/>
        </w:rPr>
        <w:t>项目组应按各项安全法律法规、标准，制定具体、详尽的</w:t>
      </w:r>
      <w:r>
        <w:rPr>
          <w:rFonts w:hint="eastAsia" w:ascii="宋体" w:hAnsi="宋体" w:eastAsia="宋体" w:cs="宋体"/>
          <w:color w:val="auto"/>
          <w:kern w:val="2"/>
          <w:sz w:val="21"/>
          <w:szCs w:val="21"/>
          <w:lang w:eastAsia="zh-CN"/>
        </w:rPr>
        <w:t>评估单</w:t>
      </w:r>
      <w:r>
        <w:rPr>
          <w:rFonts w:hint="eastAsia" w:ascii="宋体" w:hAnsi="宋体" w:eastAsia="宋体" w:cs="宋体"/>
          <w:color w:val="auto"/>
          <w:kern w:val="2"/>
          <w:sz w:val="21"/>
          <w:szCs w:val="21"/>
        </w:rPr>
        <w:t>，时间安排合理、成果目标明确、范围全面，应符合可执行强、方便操作的要求；</w:t>
      </w:r>
    </w:p>
    <w:p>
      <w:pPr>
        <w:pStyle w:val="19"/>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（三）</w:t>
      </w:r>
      <w:r>
        <w:rPr>
          <w:rFonts w:hint="eastAsia" w:ascii="宋体" w:hAnsi="宋体" w:eastAsia="宋体" w:cs="宋体"/>
          <w:color w:val="auto"/>
          <w:kern w:val="2"/>
          <w:sz w:val="21"/>
          <w:szCs w:val="21"/>
        </w:rPr>
        <w:t>完成安全生产专项整治三年行动中期现场评估工作</w:t>
      </w:r>
      <w:r>
        <w:rPr>
          <w:rFonts w:hint="eastAsia" w:ascii="宋体" w:hAnsi="宋体" w:eastAsia="宋体" w:cs="宋体"/>
          <w:color w:val="auto"/>
          <w:kern w:val="2"/>
          <w:sz w:val="21"/>
          <w:szCs w:val="21"/>
          <w:lang w:eastAsia="zh-CN"/>
        </w:rPr>
        <w:t>，编写</w:t>
      </w:r>
      <w:r>
        <w:rPr>
          <w:rFonts w:hint="eastAsia" w:ascii="宋体" w:hAnsi="宋体" w:eastAsia="宋体" w:cs="宋体"/>
          <w:color w:val="auto"/>
          <w:kern w:val="2"/>
          <w:sz w:val="21"/>
          <w:szCs w:val="21"/>
        </w:rPr>
        <w:t>《广东省机场管理集团有限公司安全生产专项整治三年行动评估报告》《广州白云国际机场股份有限公司安全生产专项整治三年行动评估报告》《广东机场集团工程建设指挥部安全生产专项整治三年行动评估报告》。</w:t>
      </w:r>
    </w:p>
    <w:p>
      <w:pPr>
        <w:spacing w:line="360" w:lineRule="auto"/>
        <w:ind w:firstLine="422" w:firstLineChars="200"/>
        <w:rPr>
          <w:rFonts w:hint="default" w:ascii="宋体" w:hAnsi="宋体" w:eastAsia="宋体"/>
          <w:b/>
          <w:bCs/>
          <w:lang w:val="en-US" w:eastAsia="zh-CN"/>
        </w:rPr>
      </w:pPr>
      <w:r>
        <w:rPr>
          <w:rFonts w:hint="eastAsia" w:ascii="宋体" w:hAnsi="宋体"/>
          <w:b/>
          <w:bCs/>
        </w:rPr>
        <w:t>三、</w:t>
      </w:r>
      <w:r>
        <w:rPr>
          <w:rFonts w:hint="eastAsia" w:ascii="宋体" w:hAnsi="宋体"/>
          <w:b/>
          <w:bCs/>
          <w:lang w:val="en-US" w:eastAsia="zh-CN"/>
        </w:rPr>
        <w:t>服务标准</w:t>
      </w:r>
    </w:p>
    <w:p>
      <w:pPr>
        <w:pStyle w:val="19"/>
        <w:spacing w:line="360" w:lineRule="auto"/>
        <w:ind w:firstLine="420" w:firstLineChars="200"/>
        <w:rPr>
          <w:rFonts w:hint="eastAsia" w:ascii="宋体" w:hAnsi="宋体" w:eastAsia="宋体" w:cs="宋体"/>
          <w:b w:val="0"/>
          <w:bCs w:val="0"/>
          <w:color w:val="auto"/>
          <w:kern w:val="2"/>
          <w:sz w:val="21"/>
          <w:szCs w:val="21"/>
          <w:lang w:val="en-US" w:eastAsia="zh-CN"/>
        </w:rPr>
      </w:pP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szCs w:val="21"/>
          <w:lang w:val="en-US" w:eastAsia="zh-CN"/>
        </w:rPr>
        <w:t>一</w:t>
      </w: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bCs w:val="0"/>
          <w:color w:val="auto"/>
          <w:kern w:val="2"/>
          <w:sz w:val="21"/>
          <w:szCs w:val="21"/>
          <w:lang w:val="en-US" w:eastAsia="zh-CN"/>
        </w:rPr>
        <w:t>评估内容</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安全生产专项整治三年行动方案和“开展学习宣传贯彻习近平总书记关于安全生产重要论述、落实企业安全生产主体责任”2个专题以及“消防安全”“交通运输（民航）”“城市建设”3个专项的文件、制度、台账等内容的符合性。</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2.安全生产相关法律法规、行业规章标准等要求落实情况，确保合规运行。</w:t>
      </w:r>
    </w:p>
    <w:p>
      <w:pPr>
        <w:pStyle w:val="19"/>
        <w:spacing w:line="360" w:lineRule="auto"/>
        <w:ind w:firstLine="420" w:firstLineChars="200"/>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（二）评估单编制要求</w:t>
      </w:r>
    </w:p>
    <w:tbl>
      <w:tblPr>
        <w:tblStyle w:val="14"/>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4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186" w:type="dxa"/>
            <w:noWrap w:val="0"/>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评估范围</w:t>
            </w:r>
          </w:p>
        </w:tc>
        <w:tc>
          <w:tcPr>
            <w:tcW w:w="4666" w:type="dxa"/>
            <w:noWrap w:val="0"/>
            <w:vAlign w:val="center"/>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评估</w:t>
            </w:r>
            <w:r>
              <w:rPr>
                <w:rFonts w:hint="eastAsia" w:asciiTheme="minorEastAsia" w:hAnsiTheme="minorEastAsia" w:eastAsiaTheme="minorEastAsia" w:cstheme="minorEastAsia"/>
                <w:b/>
                <w:bCs/>
                <w:sz w:val="21"/>
                <w:szCs w:val="21"/>
              </w:rPr>
              <w:t>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rPr>
              <w:t>安全生产专项整治三年行动方案</w:t>
            </w: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总体思路和工作目标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方案符合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组织领导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创新举措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制度成果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“一图两清单”推进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检查机制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9.</w:t>
            </w:r>
            <w:r>
              <w:rPr>
                <w:rFonts w:hint="eastAsia" w:asciiTheme="minorEastAsia" w:hAnsiTheme="minorEastAsia" w:eastAsiaTheme="minorEastAsia" w:cstheme="minorEastAsia"/>
                <w:b w:val="0"/>
                <w:bCs w:val="0"/>
                <w:sz w:val="21"/>
                <w:szCs w:val="21"/>
              </w:rPr>
              <w:t>科技支撑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问效问责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rPr>
              <w:t>安全生产专项整治三年行动方案重点任务推进路线图</w:t>
            </w: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安全从业人员作风建设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完善安全生产体制机制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加大政策支持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强化宣传引导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集中开展学习教育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健全落实安全生产责任制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健全完善安全风险防控机制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健全完善安全隐患排查治理制度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center"/>
              <w:rPr>
                <w:rFonts w:hint="eastAsia" w:asciiTheme="minorEastAsia" w:hAnsiTheme="minorEastAsia" w:eastAsiaTheme="minorEastAsia" w:cstheme="minorEastAsia"/>
                <w:b w:val="0"/>
                <w:bCs w:val="0"/>
                <w:sz w:val="21"/>
                <w:szCs w:val="21"/>
              </w:rPr>
            </w:pPr>
          </w:p>
        </w:tc>
        <w:tc>
          <w:tcPr>
            <w:tcW w:w="4666" w:type="dxa"/>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推动企业安全生产社会治理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三、</w:t>
            </w:r>
            <w:r>
              <w:rPr>
                <w:rFonts w:hint="eastAsia" w:asciiTheme="minorEastAsia" w:hAnsiTheme="minorEastAsia" w:eastAsiaTheme="minorEastAsia" w:cstheme="minorEastAsia"/>
                <w:b w:val="0"/>
                <w:bCs w:val="0"/>
                <w:sz w:val="21"/>
                <w:szCs w:val="21"/>
              </w:rPr>
              <w:t>学习宣传贯彻习近平总书记关于安全生产重要论述专题实施方案</w:t>
            </w: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安全教育培训工作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安全宣传贯彻情况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四、</w:t>
            </w:r>
            <w:r>
              <w:rPr>
                <w:rFonts w:hint="eastAsia" w:asciiTheme="minorEastAsia" w:hAnsiTheme="minorEastAsia" w:eastAsiaTheme="minorEastAsia" w:cstheme="minorEastAsia"/>
                <w:b w:val="0"/>
                <w:bCs w:val="0"/>
                <w:sz w:val="21"/>
                <w:szCs w:val="21"/>
              </w:rPr>
              <w:t>落实企业安全生产主体责任三年行动专题实施方案</w:t>
            </w:r>
          </w:p>
        </w:tc>
        <w:tc>
          <w:tcPr>
            <w:tcW w:w="4666" w:type="dxa"/>
            <w:noWrap w:val="0"/>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全面落实企业安全生产责任体系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健全完善企业安全生产管理制度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健全完善企业安全风险防控机制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健全完善企业安全隐患排查治理机制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推动企业安全生产社会治理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五、</w:t>
            </w:r>
            <w:r>
              <w:rPr>
                <w:rFonts w:hint="eastAsia" w:asciiTheme="minorEastAsia" w:hAnsiTheme="minorEastAsia" w:eastAsiaTheme="minorEastAsia" w:cstheme="minorEastAsia"/>
                <w:b w:val="0"/>
                <w:bCs w:val="0"/>
                <w:sz w:val="21"/>
                <w:szCs w:val="21"/>
              </w:rPr>
              <w:t>消防安全专项整治</w:t>
            </w: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深化消防安全专项整治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深化机场消防队伍建设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rPr>
              <w:t>交通运输（民航）安全专项整治</w:t>
            </w: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深化机场安全风险管控专项工作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开展机坪安全专项治理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强化危险品航空运输安全整治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提升机场应急管理能力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186" w:type="dxa"/>
            <w:vMerge w:val="restart"/>
            <w:noWrap w:val="0"/>
            <w:vAlign w:val="center"/>
          </w:tcPr>
          <w:p>
            <w:pPr>
              <w:jc w:val="left"/>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rPr>
              <w:t>城市建设安全专项整治</w:t>
            </w: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严格落实参建各方主体责任和部门监管责任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狠抓施工现场重大风险防控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加强不停航施工安全管理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加强建设工程特殊车辆管理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严厉打击非法违法建筑施工行为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加强施工现场消防安全管理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6" w:type="dxa"/>
            <w:vMerge w:val="continue"/>
            <w:noWrap w:val="0"/>
            <w:vAlign w:val="center"/>
          </w:tcPr>
          <w:p>
            <w:pPr>
              <w:jc w:val="left"/>
              <w:rPr>
                <w:rFonts w:hint="eastAsia" w:asciiTheme="minorEastAsia" w:hAnsiTheme="minorEastAsia" w:eastAsiaTheme="minorEastAsia" w:cstheme="minorEastAsia"/>
                <w:b w:val="0"/>
                <w:bCs w:val="0"/>
                <w:sz w:val="21"/>
                <w:szCs w:val="21"/>
              </w:rPr>
            </w:pPr>
          </w:p>
        </w:tc>
        <w:tc>
          <w:tcPr>
            <w:tcW w:w="4666" w:type="dxa"/>
            <w:noWrap w:val="0"/>
            <w:vAlign w:val="center"/>
          </w:tcPr>
          <w:p>
            <w:pPr>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rPr>
              <w:t>加大事故查处问责力度</w:t>
            </w: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b/>
          <w:bCs/>
          <w:szCs w:val="21"/>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仿宋_GB2312" w:eastAsia="仿宋_GB2312" w:cs="仿宋_GB2312"/>
          <w:sz w:val="21"/>
          <w:szCs w:val="21"/>
          <w:lang w:val="en-US" w:eastAsia="zh-CN"/>
        </w:rPr>
      </w:pPr>
      <w:r>
        <w:rPr>
          <w:rFonts w:hint="eastAsia" w:ascii="宋体" w:hAnsi="宋体"/>
          <w:b/>
          <w:bCs/>
          <w:szCs w:val="21"/>
          <w:lang w:eastAsia="zh-CN"/>
        </w:rPr>
        <w:t>（</w:t>
      </w:r>
      <w:r>
        <w:rPr>
          <w:rFonts w:hint="eastAsia" w:ascii="宋体" w:hAnsi="宋体"/>
          <w:b/>
          <w:bCs/>
          <w:szCs w:val="21"/>
          <w:lang w:val="en-US" w:eastAsia="zh-CN"/>
        </w:rPr>
        <w:t>三</w:t>
      </w:r>
      <w:r>
        <w:rPr>
          <w:rFonts w:hint="eastAsia" w:ascii="宋体" w:hAnsi="宋体"/>
          <w:b/>
          <w:bCs/>
          <w:szCs w:val="21"/>
          <w:lang w:eastAsia="zh-CN"/>
        </w:rPr>
        <w:t>）</w:t>
      </w:r>
      <w:r>
        <w:rPr>
          <w:rFonts w:hint="eastAsia" w:asciiTheme="majorEastAsia" w:hAnsiTheme="majorEastAsia" w:eastAsiaTheme="majorEastAsia" w:cstheme="majorEastAsia"/>
          <w:b/>
          <w:bCs/>
          <w:sz w:val="21"/>
          <w:szCs w:val="21"/>
          <w:lang w:val="en-US" w:eastAsia="zh-CN"/>
        </w:rPr>
        <w:t>评估报告示例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一、基本情况</w:t>
      </w:r>
    </w:p>
    <w:tbl>
      <w:tblPr>
        <w:tblStyle w:val="14"/>
        <w:tblW w:w="848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21"/>
        <w:gridCol w:w="391"/>
        <w:gridCol w:w="344"/>
        <w:gridCol w:w="1560"/>
        <w:gridCol w:w="800"/>
        <w:gridCol w:w="429"/>
        <w:gridCol w:w="762"/>
        <w:gridCol w:w="783"/>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restart"/>
            <w:noWrap w:val="0"/>
            <w:vAlign w:val="center"/>
          </w:tcPr>
          <w:p>
            <w:pPr>
              <w:jc w:val="center"/>
              <w:rPr>
                <w:rFonts w:ascii="宋体" w:hAnsi="宋体" w:cs="宋体"/>
                <w:b/>
                <w:bCs/>
                <w:sz w:val="21"/>
                <w:szCs w:val="21"/>
              </w:rPr>
            </w:pPr>
            <w:r>
              <w:rPr>
                <w:rFonts w:hint="eastAsia" w:ascii="黑体" w:hAnsi="黑体" w:eastAsia="黑体" w:cs="黑体"/>
                <w:sz w:val="21"/>
                <w:szCs w:val="21"/>
              </w:rPr>
              <w:t>基本情况</w:t>
            </w:r>
          </w:p>
        </w:tc>
        <w:tc>
          <w:tcPr>
            <w:tcW w:w="1612" w:type="dxa"/>
            <w:gridSpan w:val="2"/>
            <w:noWrap w:val="0"/>
            <w:vAlign w:val="center"/>
          </w:tcPr>
          <w:p>
            <w:pPr>
              <w:jc w:val="center"/>
              <w:rPr>
                <w:rFonts w:ascii="宋体" w:hAnsi="宋体" w:cs="宋体"/>
                <w:b w:val="0"/>
                <w:bCs w:val="0"/>
                <w:sz w:val="21"/>
                <w:szCs w:val="21"/>
              </w:rPr>
            </w:pPr>
            <w:r>
              <w:rPr>
                <w:rFonts w:hint="eastAsia" w:ascii="宋体" w:hAnsi="宋体" w:cs="宋体"/>
                <w:b w:val="0"/>
                <w:bCs w:val="0"/>
                <w:sz w:val="21"/>
                <w:szCs w:val="21"/>
              </w:rPr>
              <w:t>单位名称</w:t>
            </w:r>
          </w:p>
        </w:tc>
        <w:tc>
          <w:tcPr>
            <w:tcW w:w="6013" w:type="dxa"/>
            <w:gridSpan w:val="7"/>
            <w:noWrap w:val="0"/>
            <w:vAlign w:val="center"/>
          </w:tcPr>
          <w:p>
            <w:pPr>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pPr>
              <w:rPr>
                <w:rFonts w:ascii="宋体" w:hAnsi="宋体" w:cs="宋体"/>
                <w:b/>
                <w:bCs/>
                <w:sz w:val="21"/>
                <w:szCs w:val="21"/>
              </w:rPr>
            </w:pPr>
          </w:p>
        </w:tc>
        <w:tc>
          <w:tcPr>
            <w:tcW w:w="1612" w:type="dxa"/>
            <w:gridSpan w:val="2"/>
            <w:noWrap w:val="0"/>
            <w:vAlign w:val="center"/>
          </w:tcPr>
          <w:p>
            <w:pPr>
              <w:jc w:val="center"/>
              <w:rPr>
                <w:rFonts w:ascii="宋体" w:hAnsi="宋体" w:cs="宋体"/>
                <w:b w:val="0"/>
                <w:bCs w:val="0"/>
                <w:sz w:val="21"/>
                <w:szCs w:val="21"/>
              </w:rPr>
            </w:pPr>
            <w:r>
              <w:rPr>
                <w:rFonts w:hint="eastAsia" w:ascii="宋体" w:hAnsi="宋体" w:cs="宋体"/>
                <w:b w:val="0"/>
                <w:bCs w:val="0"/>
                <w:sz w:val="21"/>
                <w:szCs w:val="21"/>
              </w:rPr>
              <w:t>单位人数</w:t>
            </w:r>
          </w:p>
        </w:tc>
        <w:tc>
          <w:tcPr>
            <w:tcW w:w="6013" w:type="dxa"/>
            <w:gridSpan w:val="7"/>
            <w:noWrap w:val="0"/>
            <w:vAlign w:val="center"/>
          </w:tcPr>
          <w:p>
            <w:pPr>
              <w:jc w:val="center"/>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pPr>
              <w:rPr>
                <w:rFonts w:ascii="宋体" w:hAnsi="宋体" w:cs="宋体"/>
                <w:b/>
                <w:bCs/>
                <w:sz w:val="21"/>
                <w:szCs w:val="21"/>
              </w:rPr>
            </w:pPr>
          </w:p>
        </w:tc>
        <w:tc>
          <w:tcPr>
            <w:tcW w:w="1612" w:type="dxa"/>
            <w:gridSpan w:val="2"/>
            <w:vMerge w:val="restart"/>
            <w:noWrap w:val="0"/>
            <w:vAlign w:val="center"/>
          </w:tcPr>
          <w:p>
            <w:pPr>
              <w:jc w:val="center"/>
              <w:rPr>
                <w:rFonts w:hint="eastAsia" w:ascii="宋体" w:hAnsi="宋体" w:cs="宋体"/>
                <w:b w:val="0"/>
                <w:bCs w:val="0"/>
                <w:sz w:val="21"/>
                <w:szCs w:val="21"/>
              </w:rPr>
            </w:pPr>
            <w:r>
              <w:rPr>
                <w:rFonts w:hint="eastAsia" w:ascii="宋体" w:hAnsi="宋体" w:cs="宋体"/>
                <w:b w:val="0"/>
                <w:bCs w:val="0"/>
                <w:sz w:val="21"/>
                <w:szCs w:val="21"/>
                <w:lang w:val="en-US" w:eastAsia="zh-CN"/>
              </w:rPr>
              <w:t>外包</w:t>
            </w:r>
            <w:r>
              <w:rPr>
                <w:rFonts w:hint="eastAsia" w:ascii="宋体" w:hAnsi="宋体" w:cs="宋体"/>
                <w:b w:val="0"/>
                <w:bCs w:val="0"/>
                <w:sz w:val="21"/>
                <w:szCs w:val="21"/>
              </w:rPr>
              <w:t>单位及</w:t>
            </w:r>
          </w:p>
          <w:p>
            <w:pPr>
              <w:jc w:val="center"/>
              <w:rPr>
                <w:rFonts w:ascii="宋体" w:hAnsi="宋体" w:cs="宋体"/>
                <w:b w:val="0"/>
                <w:bCs w:val="0"/>
                <w:sz w:val="21"/>
                <w:szCs w:val="21"/>
              </w:rPr>
            </w:pPr>
            <w:r>
              <w:rPr>
                <w:rFonts w:hint="eastAsia" w:ascii="宋体" w:hAnsi="宋体" w:cs="宋体"/>
                <w:b w:val="0"/>
                <w:bCs w:val="0"/>
                <w:sz w:val="21"/>
                <w:szCs w:val="21"/>
              </w:rPr>
              <w:t>业务</w:t>
            </w:r>
          </w:p>
        </w:tc>
        <w:tc>
          <w:tcPr>
            <w:tcW w:w="3133" w:type="dxa"/>
            <w:gridSpan w:val="4"/>
            <w:noWrap w:val="0"/>
            <w:vAlign w:val="center"/>
          </w:tcPr>
          <w:p>
            <w:pPr>
              <w:jc w:val="left"/>
              <w:rPr>
                <w:rFonts w:ascii="宋体" w:hAnsi="宋体" w:cs="宋体"/>
                <w:b w:val="0"/>
                <w:bCs w:val="0"/>
                <w:sz w:val="21"/>
                <w:szCs w:val="21"/>
              </w:rPr>
            </w:pPr>
          </w:p>
        </w:tc>
        <w:tc>
          <w:tcPr>
            <w:tcW w:w="762" w:type="dxa"/>
            <w:vMerge w:val="restart"/>
            <w:noWrap w:val="0"/>
            <w:vAlign w:val="center"/>
          </w:tcPr>
          <w:p>
            <w:pPr>
              <w:jc w:val="left"/>
              <w:rPr>
                <w:rFonts w:hint="default" w:ascii="宋体" w:hAnsi="宋体" w:eastAsia="宋体" w:cs="宋体"/>
                <w:b w:val="0"/>
                <w:bCs w:val="0"/>
                <w:sz w:val="21"/>
                <w:szCs w:val="21"/>
                <w:lang w:val="en-US" w:eastAsia="zh-CN"/>
              </w:rPr>
            </w:pPr>
            <w:r>
              <w:rPr>
                <w:rFonts w:hint="eastAsia" w:ascii="宋体" w:hAnsi="宋体" w:cs="宋体"/>
                <w:b w:val="0"/>
                <w:bCs w:val="0"/>
                <w:sz w:val="21"/>
                <w:szCs w:val="21"/>
              </w:rPr>
              <w:t>人员数量</w:t>
            </w:r>
          </w:p>
        </w:tc>
        <w:tc>
          <w:tcPr>
            <w:tcW w:w="2118" w:type="dxa"/>
            <w:gridSpan w:val="2"/>
            <w:noWrap w:val="0"/>
            <w:vAlign w:val="center"/>
          </w:tcPr>
          <w:p>
            <w:pPr>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pPr>
              <w:rPr>
                <w:rFonts w:ascii="宋体" w:hAnsi="宋体" w:cs="宋体"/>
                <w:b/>
                <w:bCs/>
                <w:sz w:val="21"/>
                <w:szCs w:val="21"/>
              </w:rPr>
            </w:pPr>
          </w:p>
        </w:tc>
        <w:tc>
          <w:tcPr>
            <w:tcW w:w="1612" w:type="dxa"/>
            <w:gridSpan w:val="2"/>
            <w:vMerge w:val="continue"/>
            <w:noWrap w:val="0"/>
            <w:vAlign w:val="center"/>
          </w:tcPr>
          <w:p>
            <w:pPr>
              <w:jc w:val="center"/>
              <w:rPr>
                <w:rFonts w:ascii="宋体" w:hAnsi="宋体" w:cs="宋体"/>
                <w:b w:val="0"/>
                <w:bCs w:val="0"/>
                <w:sz w:val="21"/>
                <w:szCs w:val="21"/>
              </w:rPr>
            </w:pPr>
          </w:p>
        </w:tc>
        <w:tc>
          <w:tcPr>
            <w:tcW w:w="3133" w:type="dxa"/>
            <w:gridSpan w:val="4"/>
            <w:noWrap w:val="0"/>
            <w:vAlign w:val="center"/>
          </w:tcPr>
          <w:p>
            <w:pPr>
              <w:jc w:val="both"/>
              <w:rPr>
                <w:rFonts w:hint="default" w:ascii="宋体" w:hAnsi="宋体" w:eastAsia="宋体" w:cs="宋体"/>
                <w:b w:val="0"/>
                <w:bCs w:val="0"/>
                <w:sz w:val="21"/>
                <w:szCs w:val="21"/>
                <w:lang w:val="en-US" w:eastAsia="zh-CN"/>
              </w:rPr>
            </w:pPr>
          </w:p>
        </w:tc>
        <w:tc>
          <w:tcPr>
            <w:tcW w:w="762" w:type="dxa"/>
            <w:vMerge w:val="continue"/>
            <w:noWrap w:val="0"/>
            <w:vAlign w:val="center"/>
          </w:tcPr>
          <w:p>
            <w:pPr>
              <w:jc w:val="left"/>
              <w:rPr>
                <w:rFonts w:ascii="宋体" w:hAnsi="宋体" w:cs="宋体"/>
                <w:b w:val="0"/>
                <w:bCs w:val="0"/>
                <w:sz w:val="21"/>
                <w:szCs w:val="21"/>
              </w:rPr>
            </w:pPr>
          </w:p>
        </w:tc>
        <w:tc>
          <w:tcPr>
            <w:tcW w:w="2118" w:type="dxa"/>
            <w:gridSpan w:val="2"/>
            <w:noWrap w:val="0"/>
            <w:vAlign w:val="center"/>
          </w:tcPr>
          <w:p>
            <w:pPr>
              <w:jc w:val="center"/>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pPr>
              <w:rPr>
                <w:rFonts w:ascii="宋体" w:hAnsi="宋体" w:cs="宋体"/>
                <w:b/>
                <w:bCs/>
                <w:sz w:val="21"/>
                <w:szCs w:val="21"/>
              </w:rPr>
            </w:pPr>
          </w:p>
        </w:tc>
        <w:tc>
          <w:tcPr>
            <w:tcW w:w="1612" w:type="dxa"/>
            <w:gridSpan w:val="2"/>
            <w:vMerge w:val="restart"/>
            <w:noWrap w:val="0"/>
            <w:vAlign w:val="center"/>
          </w:tcPr>
          <w:p>
            <w:pPr>
              <w:jc w:val="center"/>
              <w:rPr>
                <w:rFonts w:hint="eastAsia" w:ascii="宋体" w:hAnsi="宋体" w:cs="宋体"/>
                <w:b w:val="0"/>
                <w:bCs w:val="0"/>
                <w:sz w:val="21"/>
                <w:szCs w:val="21"/>
              </w:rPr>
            </w:pPr>
            <w:r>
              <w:rPr>
                <w:rFonts w:hint="eastAsia" w:ascii="宋体" w:hAnsi="宋体" w:cs="宋体"/>
                <w:b w:val="0"/>
                <w:bCs w:val="0"/>
                <w:sz w:val="21"/>
                <w:szCs w:val="21"/>
              </w:rPr>
              <w:t>单位主要</w:t>
            </w:r>
          </w:p>
          <w:p>
            <w:pPr>
              <w:jc w:val="center"/>
              <w:rPr>
                <w:rFonts w:ascii="宋体" w:hAnsi="宋体" w:cs="宋体"/>
                <w:b w:val="0"/>
                <w:bCs w:val="0"/>
                <w:sz w:val="21"/>
                <w:szCs w:val="21"/>
              </w:rPr>
            </w:pPr>
            <w:r>
              <w:rPr>
                <w:rFonts w:hint="eastAsia" w:ascii="宋体" w:hAnsi="宋体" w:cs="宋体"/>
                <w:b w:val="0"/>
                <w:bCs w:val="0"/>
                <w:sz w:val="21"/>
                <w:szCs w:val="21"/>
              </w:rPr>
              <w:t>负责人</w:t>
            </w:r>
          </w:p>
        </w:tc>
        <w:tc>
          <w:tcPr>
            <w:tcW w:w="1904" w:type="dxa"/>
            <w:gridSpan w:val="2"/>
            <w:vMerge w:val="restart"/>
            <w:noWrap w:val="0"/>
            <w:vAlign w:val="center"/>
          </w:tcPr>
          <w:p>
            <w:pPr>
              <w:jc w:val="center"/>
              <w:rPr>
                <w:rFonts w:hint="default" w:ascii="宋体" w:hAnsi="宋体" w:eastAsia="宋体" w:cs="宋体"/>
                <w:b w:val="0"/>
                <w:bCs w:val="0"/>
                <w:sz w:val="21"/>
                <w:szCs w:val="21"/>
                <w:lang w:val="en-US" w:eastAsia="zh-CN"/>
              </w:rPr>
            </w:pPr>
          </w:p>
        </w:tc>
        <w:tc>
          <w:tcPr>
            <w:tcW w:w="1991" w:type="dxa"/>
            <w:gridSpan w:val="3"/>
            <w:noWrap w:val="0"/>
            <w:vAlign w:val="center"/>
          </w:tcPr>
          <w:p>
            <w:pPr>
              <w:jc w:val="center"/>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rPr>
              <w:t>分管安全</w:t>
            </w:r>
            <w:r>
              <w:rPr>
                <w:rFonts w:hint="eastAsia" w:ascii="宋体" w:hAnsi="宋体" w:cs="宋体"/>
                <w:b w:val="0"/>
                <w:bCs w:val="0"/>
                <w:sz w:val="21"/>
                <w:szCs w:val="21"/>
                <w:lang w:val="en-US" w:eastAsia="zh-CN"/>
              </w:rPr>
              <w:t>的领导</w:t>
            </w:r>
          </w:p>
        </w:tc>
        <w:tc>
          <w:tcPr>
            <w:tcW w:w="2118" w:type="dxa"/>
            <w:gridSpan w:val="2"/>
            <w:noWrap w:val="0"/>
            <w:vAlign w:val="center"/>
          </w:tcPr>
          <w:p>
            <w:pPr>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center"/>
          </w:tcPr>
          <w:p>
            <w:pPr>
              <w:rPr>
                <w:rFonts w:ascii="宋体" w:hAnsi="宋体" w:cs="宋体"/>
                <w:b/>
                <w:bCs/>
                <w:sz w:val="21"/>
                <w:szCs w:val="21"/>
              </w:rPr>
            </w:pPr>
          </w:p>
        </w:tc>
        <w:tc>
          <w:tcPr>
            <w:tcW w:w="1612" w:type="dxa"/>
            <w:gridSpan w:val="2"/>
            <w:vMerge w:val="continue"/>
            <w:noWrap w:val="0"/>
            <w:vAlign w:val="center"/>
          </w:tcPr>
          <w:p>
            <w:pPr>
              <w:jc w:val="center"/>
              <w:rPr>
                <w:rFonts w:hint="eastAsia" w:ascii="宋体" w:hAnsi="宋体" w:cs="宋体"/>
                <w:b w:val="0"/>
                <w:bCs w:val="0"/>
                <w:sz w:val="21"/>
                <w:szCs w:val="21"/>
              </w:rPr>
            </w:pPr>
          </w:p>
        </w:tc>
        <w:tc>
          <w:tcPr>
            <w:tcW w:w="1904" w:type="dxa"/>
            <w:gridSpan w:val="2"/>
            <w:vMerge w:val="continue"/>
            <w:noWrap w:val="0"/>
            <w:vAlign w:val="center"/>
          </w:tcPr>
          <w:p>
            <w:pPr>
              <w:jc w:val="center"/>
              <w:rPr>
                <w:rFonts w:hint="default" w:ascii="宋体" w:hAnsi="宋体" w:eastAsia="宋体" w:cs="宋体"/>
                <w:b w:val="0"/>
                <w:bCs w:val="0"/>
                <w:sz w:val="21"/>
                <w:szCs w:val="21"/>
                <w:lang w:val="en-US" w:eastAsia="zh-CN"/>
              </w:rPr>
            </w:pPr>
          </w:p>
        </w:tc>
        <w:tc>
          <w:tcPr>
            <w:tcW w:w="1991" w:type="dxa"/>
            <w:gridSpan w:val="3"/>
            <w:noWrap w:val="0"/>
            <w:vAlign w:val="center"/>
          </w:tcPr>
          <w:p>
            <w:pPr>
              <w:jc w:val="center"/>
              <w:rPr>
                <w:rFonts w:hint="default" w:ascii="宋体" w:hAnsi="宋体" w:cs="宋体" w:eastAsiaTheme="minorEastAsia"/>
                <w:b w:val="0"/>
                <w:bCs w:val="0"/>
                <w:sz w:val="21"/>
                <w:szCs w:val="21"/>
                <w:lang w:val="en-US" w:eastAsia="zh-CN"/>
              </w:rPr>
            </w:pPr>
            <w:r>
              <w:rPr>
                <w:rFonts w:hint="eastAsia" w:ascii="宋体" w:hAnsi="宋体" w:cs="宋体"/>
                <w:b w:val="0"/>
                <w:bCs w:val="0"/>
                <w:sz w:val="21"/>
                <w:szCs w:val="21"/>
                <w:lang w:val="en-US" w:eastAsia="zh-CN"/>
              </w:rPr>
              <w:t>安全总监</w:t>
            </w:r>
          </w:p>
        </w:tc>
        <w:tc>
          <w:tcPr>
            <w:tcW w:w="2118" w:type="dxa"/>
            <w:gridSpan w:val="2"/>
            <w:noWrap w:val="0"/>
            <w:vAlign w:val="center"/>
          </w:tcPr>
          <w:p>
            <w:pPr>
              <w:jc w:val="center"/>
              <w:rPr>
                <w:rFonts w:hint="eastAsia" w:ascii="宋体" w:hAnsi="宋体" w:eastAsia="宋体" w:cs="宋体"/>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63" w:type="dxa"/>
            <w:vMerge w:val="continue"/>
            <w:noWrap w:val="0"/>
            <w:vAlign w:val="center"/>
          </w:tcPr>
          <w:p>
            <w:pPr>
              <w:rPr>
                <w:rFonts w:ascii="宋体" w:hAnsi="宋体" w:cs="宋体"/>
                <w:b/>
                <w:bCs/>
                <w:sz w:val="21"/>
                <w:szCs w:val="21"/>
              </w:rPr>
            </w:pPr>
          </w:p>
        </w:tc>
        <w:tc>
          <w:tcPr>
            <w:tcW w:w="1612" w:type="dxa"/>
            <w:gridSpan w:val="2"/>
            <w:vMerge w:val="restart"/>
            <w:noWrap w:val="0"/>
            <w:vAlign w:val="center"/>
          </w:tcPr>
          <w:p>
            <w:pPr>
              <w:jc w:val="center"/>
              <w:rPr>
                <w:rFonts w:ascii="宋体" w:hAnsi="宋体" w:cs="宋体"/>
                <w:b w:val="0"/>
                <w:bCs w:val="0"/>
                <w:sz w:val="21"/>
                <w:szCs w:val="21"/>
              </w:rPr>
            </w:pPr>
            <w:r>
              <w:rPr>
                <w:rFonts w:hint="eastAsia" w:ascii="宋体" w:hAnsi="宋体" w:cs="宋体"/>
                <w:b w:val="0"/>
                <w:bCs w:val="0"/>
                <w:sz w:val="21"/>
                <w:szCs w:val="21"/>
              </w:rPr>
              <w:t>专职安全管理机构名称</w:t>
            </w:r>
          </w:p>
        </w:tc>
        <w:tc>
          <w:tcPr>
            <w:tcW w:w="1904" w:type="dxa"/>
            <w:gridSpan w:val="2"/>
            <w:vMerge w:val="restart"/>
            <w:noWrap w:val="0"/>
            <w:vAlign w:val="center"/>
          </w:tcPr>
          <w:p>
            <w:pPr>
              <w:jc w:val="center"/>
              <w:rPr>
                <w:rFonts w:ascii="宋体" w:hAnsi="宋体" w:cs="宋体"/>
                <w:b w:val="0"/>
                <w:bCs w:val="0"/>
                <w:sz w:val="21"/>
                <w:szCs w:val="21"/>
              </w:rPr>
            </w:pPr>
          </w:p>
        </w:tc>
        <w:tc>
          <w:tcPr>
            <w:tcW w:w="1991" w:type="dxa"/>
            <w:gridSpan w:val="3"/>
            <w:noWrap w:val="0"/>
            <w:vAlign w:val="center"/>
          </w:tcPr>
          <w:p>
            <w:pPr>
              <w:jc w:val="center"/>
              <w:rPr>
                <w:rFonts w:hint="eastAsia" w:ascii="宋体" w:hAnsi="宋体" w:cs="宋体"/>
                <w:b w:val="0"/>
                <w:bCs w:val="0"/>
                <w:sz w:val="21"/>
                <w:szCs w:val="21"/>
              </w:rPr>
            </w:pPr>
            <w:r>
              <w:rPr>
                <w:rFonts w:hint="eastAsia" w:ascii="宋体" w:hAnsi="宋体" w:cs="宋体"/>
                <w:b w:val="0"/>
                <w:bCs w:val="0"/>
                <w:sz w:val="21"/>
                <w:szCs w:val="21"/>
              </w:rPr>
              <w:t>安全管理部门</w:t>
            </w:r>
          </w:p>
          <w:p>
            <w:pPr>
              <w:jc w:val="center"/>
              <w:rPr>
                <w:rFonts w:ascii="宋体" w:hAnsi="宋体" w:cs="宋体"/>
                <w:b w:val="0"/>
                <w:bCs w:val="0"/>
                <w:sz w:val="21"/>
                <w:szCs w:val="21"/>
              </w:rPr>
            </w:pPr>
            <w:r>
              <w:rPr>
                <w:rFonts w:hint="eastAsia" w:ascii="宋体" w:hAnsi="宋体" w:cs="宋体"/>
                <w:b w:val="0"/>
                <w:bCs w:val="0"/>
                <w:sz w:val="21"/>
                <w:szCs w:val="21"/>
              </w:rPr>
              <w:t>负责人</w:t>
            </w:r>
          </w:p>
        </w:tc>
        <w:tc>
          <w:tcPr>
            <w:tcW w:w="2118" w:type="dxa"/>
            <w:gridSpan w:val="2"/>
            <w:noWrap w:val="0"/>
            <w:vAlign w:val="center"/>
          </w:tcPr>
          <w:p>
            <w:pPr>
              <w:jc w:val="center"/>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63" w:type="dxa"/>
            <w:vMerge w:val="continue"/>
            <w:noWrap w:val="0"/>
            <w:vAlign w:val="center"/>
          </w:tcPr>
          <w:p>
            <w:pPr>
              <w:rPr>
                <w:rFonts w:ascii="宋体" w:hAnsi="宋体" w:cs="宋体"/>
                <w:b/>
                <w:bCs/>
                <w:sz w:val="21"/>
                <w:szCs w:val="21"/>
              </w:rPr>
            </w:pPr>
          </w:p>
        </w:tc>
        <w:tc>
          <w:tcPr>
            <w:tcW w:w="1612" w:type="dxa"/>
            <w:gridSpan w:val="2"/>
            <w:vMerge w:val="continue"/>
            <w:noWrap w:val="0"/>
            <w:vAlign w:val="center"/>
          </w:tcPr>
          <w:p>
            <w:pPr>
              <w:rPr>
                <w:rFonts w:ascii="宋体" w:hAnsi="宋体" w:cs="宋体"/>
                <w:b w:val="0"/>
                <w:bCs w:val="0"/>
                <w:sz w:val="21"/>
                <w:szCs w:val="21"/>
              </w:rPr>
            </w:pPr>
          </w:p>
        </w:tc>
        <w:tc>
          <w:tcPr>
            <w:tcW w:w="1904" w:type="dxa"/>
            <w:gridSpan w:val="2"/>
            <w:vMerge w:val="continue"/>
            <w:noWrap w:val="0"/>
            <w:vAlign w:val="center"/>
          </w:tcPr>
          <w:p>
            <w:pPr>
              <w:jc w:val="center"/>
              <w:rPr>
                <w:rFonts w:ascii="宋体" w:hAnsi="宋体" w:cs="宋体"/>
                <w:b w:val="0"/>
                <w:bCs w:val="0"/>
                <w:sz w:val="21"/>
                <w:szCs w:val="21"/>
              </w:rPr>
            </w:pPr>
          </w:p>
        </w:tc>
        <w:tc>
          <w:tcPr>
            <w:tcW w:w="1991" w:type="dxa"/>
            <w:gridSpan w:val="3"/>
            <w:noWrap w:val="0"/>
            <w:vAlign w:val="center"/>
          </w:tcPr>
          <w:p>
            <w:pPr>
              <w:jc w:val="center"/>
              <w:rPr>
                <w:rFonts w:ascii="宋体" w:hAnsi="宋体" w:cs="宋体"/>
                <w:b w:val="0"/>
                <w:bCs w:val="0"/>
                <w:sz w:val="21"/>
                <w:szCs w:val="21"/>
              </w:rPr>
            </w:pPr>
            <w:r>
              <w:rPr>
                <w:rFonts w:hint="eastAsia" w:ascii="宋体" w:hAnsi="宋体" w:cs="宋体"/>
                <w:b w:val="0"/>
                <w:bCs w:val="0"/>
                <w:sz w:val="21"/>
                <w:szCs w:val="21"/>
              </w:rPr>
              <w:t>专职安全管理人员数量</w:t>
            </w:r>
          </w:p>
        </w:tc>
        <w:tc>
          <w:tcPr>
            <w:tcW w:w="2118" w:type="dxa"/>
            <w:gridSpan w:val="2"/>
            <w:noWrap w:val="0"/>
            <w:vAlign w:val="center"/>
          </w:tcPr>
          <w:p>
            <w:pPr>
              <w:jc w:val="center"/>
              <w:rPr>
                <w:rFonts w:hint="default"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sz w:val="21"/>
                <w:szCs w:val="21"/>
              </w:rPr>
            </w:pPr>
            <w:r>
              <w:rPr>
                <w:rFonts w:hint="eastAsia" w:ascii="黑体" w:hAnsi="黑体" w:eastAsia="黑体" w:cs="黑体"/>
                <w:sz w:val="21"/>
                <w:szCs w:val="21"/>
              </w:rPr>
              <w:t>组织架构</w:t>
            </w:r>
          </w:p>
        </w:tc>
        <w:tc>
          <w:tcPr>
            <w:tcW w:w="762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eastAsia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sz w:val="21"/>
                <w:szCs w:val="21"/>
              </w:rPr>
            </w:pPr>
            <w:r>
              <w:rPr>
                <w:rFonts w:hint="eastAsia" w:ascii="黑体" w:hAnsi="黑体" w:eastAsia="黑体" w:cs="黑体"/>
                <w:sz w:val="21"/>
                <w:szCs w:val="21"/>
              </w:rPr>
              <w:t>安全制度清单</w:t>
            </w:r>
          </w:p>
        </w:tc>
        <w:tc>
          <w:tcPr>
            <w:tcW w:w="1221" w:type="dxa"/>
            <w:noWrap w:val="0"/>
            <w:vAlign w:val="center"/>
          </w:tcPr>
          <w:p>
            <w:pPr>
              <w:jc w:val="center"/>
              <w:rPr>
                <w:rFonts w:ascii="宋体" w:hAnsi="宋体" w:cs="宋体"/>
                <w:b/>
                <w:bCs/>
                <w:sz w:val="21"/>
                <w:szCs w:val="21"/>
              </w:rPr>
            </w:pPr>
            <w:r>
              <w:rPr>
                <w:rFonts w:hint="eastAsia" w:ascii="宋体" w:hAnsi="宋体" w:cs="宋体"/>
                <w:b/>
                <w:bCs/>
                <w:sz w:val="21"/>
                <w:szCs w:val="21"/>
              </w:rPr>
              <w:t>层级</w:t>
            </w:r>
          </w:p>
        </w:tc>
        <w:tc>
          <w:tcPr>
            <w:tcW w:w="735" w:type="dxa"/>
            <w:gridSpan w:val="2"/>
            <w:noWrap w:val="0"/>
            <w:vAlign w:val="center"/>
          </w:tcPr>
          <w:p>
            <w:pPr>
              <w:jc w:val="center"/>
              <w:rPr>
                <w:rFonts w:ascii="宋体" w:hAnsi="宋体" w:cs="宋体"/>
                <w:b/>
                <w:bCs/>
                <w:sz w:val="21"/>
                <w:szCs w:val="21"/>
              </w:rPr>
            </w:pPr>
            <w:r>
              <w:rPr>
                <w:rFonts w:hint="eastAsia" w:ascii="宋体" w:hAnsi="宋体" w:cs="宋体"/>
                <w:b/>
                <w:bCs/>
                <w:sz w:val="21"/>
                <w:szCs w:val="21"/>
              </w:rPr>
              <w:t>序号</w:t>
            </w:r>
          </w:p>
        </w:tc>
        <w:tc>
          <w:tcPr>
            <w:tcW w:w="4334" w:type="dxa"/>
            <w:gridSpan w:val="5"/>
            <w:noWrap w:val="0"/>
            <w:vAlign w:val="center"/>
          </w:tcPr>
          <w:p>
            <w:pPr>
              <w:jc w:val="center"/>
              <w:rPr>
                <w:rFonts w:ascii="宋体" w:hAnsi="宋体" w:cs="宋体"/>
                <w:b/>
                <w:bCs/>
                <w:sz w:val="21"/>
                <w:szCs w:val="21"/>
              </w:rPr>
            </w:pPr>
            <w:r>
              <w:rPr>
                <w:rFonts w:hint="eastAsia" w:ascii="宋体" w:hAnsi="宋体" w:cs="宋体"/>
                <w:b/>
                <w:bCs/>
                <w:sz w:val="21"/>
                <w:szCs w:val="21"/>
              </w:rPr>
              <w:t>制度名称</w:t>
            </w:r>
          </w:p>
        </w:tc>
        <w:tc>
          <w:tcPr>
            <w:tcW w:w="1335" w:type="dxa"/>
            <w:noWrap w:val="0"/>
            <w:vAlign w:val="center"/>
          </w:tcPr>
          <w:p>
            <w:pPr>
              <w:jc w:val="center"/>
              <w:rPr>
                <w:rFonts w:ascii="宋体" w:hAnsi="宋体" w:cs="宋体"/>
                <w:b/>
                <w:bCs/>
                <w:sz w:val="21"/>
                <w:szCs w:val="21"/>
              </w:rPr>
            </w:pPr>
            <w:r>
              <w:rPr>
                <w:rFonts w:hint="eastAsia" w:ascii="宋体" w:hAnsi="宋体" w:cs="宋体"/>
                <w:b/>
                <w:bCs/>
                <w:sz w:val="21"/>
                <w:szCs w:val="21"/>
                <w:lang w:val="en-US" w:eastAsia="zh-CN"/>
              </w:rPr>
              <w:t>发布</w:t>
            </w:r>
            <w:r>
              <w:rPr>
                <w:rFonts w:hint="eastAsia" w:ascii="宋体" w:hAnsi="宋体" w:cs="宋体"/>
                <w:b/>
                <w:bCs/>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rPr>
            </w:pPr>
          </w:p>
        </w:tc>
        <w:tc>
          <w:tcPr>
            <w:tcW w:w="1221" w:type="dxa"/>
            <w:vMerge w:val="restart"/>
            <w:noWrap w:val="0"/>
            <w:vAlign w:val="center"/>
          </w:tcPr>
          <w:p>
            <w:pPr>
              <w:jc w:val="center"/>
              <w:rPr>
                <w:rFonts w:ascii="宋体" w:hAnsi="宋体" w:cs="宋体"/>
                <w:sz w:val="21"/>
                <w:szCs w:val="21"/>
              </w:rPr>
            </w:pPr>
            <w:r>
              <w:rPr>
                <w:rFonts w:hint="eastAsia" w:ascii="宋体" w:hAnsi="宋体" w:cs="宋体"/>
                <w:sz w:val="21"/>
                <w:szCs w:val="21"/>
              </w:rPr>
              <w:t>通用安全管理制度</w:t>
            </w:r>
          </w:p>
        </w:tc>
        <w:tc>
          <w:tcPr>
            <w:tcW w:w="735" w:type="dxa"/>
            <w:gridSpan w:val="2"/>
            <w:noWrap w:val="0"/>
            <w:vAlign w:val="center"/>
          </w:tcPr>
          <w:p>
            <w:pPr>
              <w:jc w:val="center"/>
              <w:rPr>
                <w:rFonts w:ascii="宋体" w:hAnsi="宋体" w:cs="宋体"/>
                <w:sz w:val="21"/>
                <w:szCs w:val="21"/>
              </w:rPr>
            </w:pPr>
          </w:p>
        </w:tc>
        <w:tc>
          <w:tcPr>
            <w:tcW w:w="4334" w:type="dxa"/>
            <w:gridSpan w:val="5"/>
            <w:noWrap w:val="0"/>
            <w:vAlign w:val="top"/>
          </w:tcPr>
          <w:p>
            <w:pPr>
              <w:jc w:val="center"/>
              <w:rPr>
                <w:rFonts w:hint="eastAsia" w:ascii="宋体" w:hAnsi="宋体" w:eastAsia="宋体" w:cs="宋体"/>
                <w:sz w:val="21"/>
                <w:szCs w:val="21"/>
                <w:lang w:eastAsia="zh-CN"/>
              </w:rPr>
            </w:pPr>
          </w:p>
        </w:tc>
        <w:tc>
          <w:tcPr>
            <w:tcW w:w="1335" w:type="dxa"/>
            <w:noWrap w:val="0"/>
            <w:vAlign w:val="top"/>
          </w:tcPr>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rPr>
            </w:pPr>
          </w:p>
        </w:tc>
        <w:tc>
          <w:tcPr>
            <w:tcW w:w="1221" w:type="dxa"/>
            <w:vMerge w:val="continue"/>
            <w:noWrap w:val="0"/>
            <w:vAlign w:val="center"/>
          </w:tcPr>
          <w:p>
            <w:pPr>
              <w:jc w:val="center"/>
              <w:rPr>
                <w:rFonts w:hint="eastAsia" w:ascii="宋体" w:hAnsi="宋体" w:cs="宋体"/>
                <w:sz w:val="21"/>
                <w:szCs w:val="21"/>
              </w:rPr>
            </w:pPr>
          </w:p>
        </w:tc>
        <w:tc>
          <w:tcPr>
            <w:tcW w:w="735" w:type="dxa"/>
            <w:gridSpan w:val="2"/>
            <w:noWrap w:val="0"/>
            <w:vAlign w:val="center"/>
          </w:tcPr>
          <w:p>
            <w:pPr>
              <w:jc w:val="center"/>
              <w:rPr>
                <w:rFonts w:hint="eastAsia" w:ascii="宋体" w:hAnsi="宋体" w:cs="宋体"/>
                <w:sz w:val="21"/>
                <w:szCs w:val="21"/>
              </w:rPr>
            </w:pPr>
          </w:p>
        </w:tc>
        <w:tc>
          <w:tcPr>
            <w:tcW w:w="4334" w:type="dxa"/>
            <w:gridSpan w:val="5"/>
            <w:noWrap w:val="0"/>
            <w:vAlign w:val="top"/>
          </w:tcPr>
          <w:p>
            <w:pPr>
              <w:jc w:val="center"/>
              <w:rPr>
                <w:rFonts w:ascii="宋体" w:hAnsi="宋体" w:cs="宋体"/>
                <w:sz w:val="21"/>
                <w:szCs w:val="21"/>
              </w:rPr>
            </w:pPr>
          </w:p>
        </w:tc>
        <w:tc>
          <w:tcPr>
            <w:tcW w:w="1335" w:type="dxa"/>
            <w:noWrap w:val="0"/>
            <w:vAlign w:val="top"/>
          </w:tcPr>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rPr>
            </w:pPr>
          </w:p>
        </w:tc>
        <w:tc>
          <w:tcPr>
            <w:tcW w:w="1221" w:type="dxa"/>
            <w:vMerge w:val="restart"/>
            <w:noWrap w:val="0"/>
            <w:vAlign w:val="center"/>
          </w:tcPr>
          <w:p>
            <w:pPr>
              <w:jc w:val="center"/>
              <w:rPr>
                <w:rFonts w:ascii="宋体" w:hAnsi="宋体" w:cs="宋体"/>
                <w:sz w:val="21"/>
                <w:szCs w:val="21"/>
              </w:rPr>
            </w:pPr>
            <w:r>
              <w:rPr>
                <w:rFonts w:hint="eastAsia" w:ascii="宋体" w:hAnsi="宋体" w:cs="宋体"/>
                <w:sz w:val="21"/>
                <w:szCs w:val="21"/>
              </w:rPr>
              <w:t>专项安全管理制度</w:t>
            </w:r>
          </w:p>
        </w:tc>
        <w:tc>
          <w:tcPr>
            <w:tcW w:w="735" w:type="dxa"/>
            <w:gridSpan w:val="2"/>
            <w:noWrap w:val="0"/>
            <w:vAlign w:val="center"/>
          </w:tcPr>
          <w:p>
            <w:pPr>
              <w:jc w:val="center"/>
              <w:rPr>
                <w:rFonts w:hint="default" w:ascii="宋体" w:hAnsi="宋体" w:eastAsia="宋体" w:cs="宋体"/>
                <w:sz w:val="21"/>
                <w:szCs w:val="21"/>
                <w:lang w:val="en-US" w:eastAsia="zh-CN"/>
              </w:rPr>
            </w:pPr>
          </w:p>
        </w:tc>
        <w:tc>
          <w:tcPr>
            <w:tcW w:w="4334" w:type="dxa"/>
            <w:gridSpan w:val="5"/>
            <w:noWrap w:val="0"/>
            <w:vAlign w:val="center"/>
          </w:tcPr>
          <w:p>
            <w:pPr>
              <w:jc w:val="center"/>
              <w:rPr>
                <w:rFonts w:hint="default" w:ascii="宋体" w:hAnsi="宋体" w:eastAsia="宋体" w:cs="宋体"/>
                <w:sz w:val="21"/>
                <w:szCs w:val="21"/>
                <w:lang w:val="en-US" w:eastAsia="zh-CN"/>
              </w:rPr>
            </w:pPr>
          </w:p>
        </w:tc>
        <w:tc>
          <w:tcPr>
            <w:tcW w:w="1335" w:type="dxa"/>
            <w:noWrap w:val="0"/>
            <w:vAlign w:val="top"/>
          </w:tcPr>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rPr>
            </w:pPr>
          </w:p>
        </w:tc>
        <w:tc>
          <w:tcPr>
            <w:tcW w:w="1221" w:type="dxa"/>
            <w:vMerge w:val="continue"/>
            <w:noWrap w:val="0"/>
            <w:vAlign w:val="center"/>
          </w:tcPr>
          <w:p>
            <w:pPr>
              <w:jc w:val="center"/>
              <w:rPr>
                <w:rFonts w:hint="eastAsia" w:ascii="宋体" w:hAnsi="宋体" w:cs="宋体"/>
                <w:sz w:val="21"/>
                <w:szCs w:val="21"/>
              </w:rPr>
            </w:pPr>
          </w:p>
        </w:tc>
        <w:tc>
          <w:tcPr>
            <w:tcW w:w="735" w:type="dxa"/>
            <w:gridSpan w:val="2"/>
            <w:noWrap w:val="0"/>
            <w:vAlign w:val="center"/>
          </w:tcPr>
          <w:p>
            <w:pPr>
              <w:jc w:val="center"/>
              <w:rPr>
                <w:rFonts w:hint="default" w:ascii="宋体" w:hAnsi="宋体" w:eastAsia="宋体" w:cs="宋体"/>
                <w:sz w:val="21"/>
                <w:szCs w:val="21"/>
                <w:lang w:val="en-US" w:eastAsia="zh-CN"/>
              </w:rPr>
            </w:pPr>
          </w:p>
        </w:tc>
        <w:tc>
          <w:tcPr>
            <w:tcW w:w="4334" w:type="dxa"/>
            <w:gridSpan w:val="5"/>
            <w:noWrap w:val="0"/>
            <w:vAlign w:val="center"/>
          </w:tcPr>
          <w:p>
            <w:pPr>
              <w:jc w:val="center"/>
              <w:rPr>
                <w:rFonts w:hint="default" w:ascii="宋体" w:hAnsi="宋体" w:eastAsia="宋体" w:cs="宋体"/>
                <w:sz w:val="21"/>
                <w:szCs w:val="21"/>
                <w:lang w:val="en-US" w:eastAsia="zh-CN"/>
              </w:rPr>
            </w:pPr>
          </w:p>
        </w:tc>
        <w:tc>
          <w:tcPr>
            <w:tcW w:w="1335" w:type="dxa"/>
            <w:noWrap w:val="0"/>
            <w:vAlign w:val="top"/>
          </w:tcPr>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highlight w:val="none"/>
              </w:rPr>
            </w:pPr>
          </w:p>
        </w:tc>
        <w:tc>
          <w:tcPr>
            <w:tcW w:w="1221" w:type="dxa"/>
            <w:vMerge w:val="restart"/>
            <w:noWrap w:val="0"/>
            <w:vAlign w:val="center"/>
          </w:tcPr>
          <w:p>
            <w:pPr>
              <w:jc w:val="both"/>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保障部门工作手册</w:t>
            </w:r>
          </w:p>
        </w:tc>
        <w:tc>
          <w:tcPr>
            <w:tcW w:w="735" w:type="dxa"/>
            <w:gridSpan w:val="2"/>
            <w:noWrap w:val="0"/>
            <w:vAlign w:val="center"/>
          </w:tcPr>
          <w:p>
            <w:pPr>
              <w:jc w:val="center"/>
              <w:rPr>
                <w:rFonts w:hint="default" w:ascii="宋体" w:hAnsi="宋体" w:eastAsia="宋体" w:cs="宋体"/>
                <w:sz w:val="21"/>
                <w:szCs w:val="21"/>
                <w:highlight w:val="none"/>
                <w:lang w:val="en-US" w:eastAsia="zh-CN"/>
              </w:rPr>
            </w:pPr>
          </w:p>
        </w:tc>
        <w:tc>
          <w:tcPr>
            <w:tcW w:w="4334" w:type="dxa"/>
            <w:gridSpan w:val="5"/>
            <w:noWrap w:val="0"/>
            <w:vAlign w:val="center"/>
          </w:tcPr>
          <w:p>
            <w:pPr>
              <w:jc w:val="center"/>
              <w:rPr>
                <w:rFonts w:hint="default" w:ascii="宋体" w:hAnsi="宋体" w:cs="宋体"/>
                <w:sz w:val="21"/>
                <w:szCs w:val="21"/>
                <w:highlight w:val="none"/>
                <w:lang w:val="en-US"/>
              </w:rPr>
            </w:pPr>
          </w:p>
        </w:tc>
        <w:tc>
          <w:tcPr>
            <w:tcW w:w="1335" w:type="dxa"/>
            <w:noWrap w:val="0"/>
            <w:vAlign w:val="center"/>
          </w:tcPr>
          <w:p>
            <w:pPr>
              <w:jc w:val="center"/>
              <w:rPr>
                <w:rFonts w:hint="default" w:ascii="宋体" w:hAnsi="宋体" w:eastAsia="宋体" w:cs="宋体"/>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highlight w:val="none"/>
              </w:rPr>
            </w:pPr>
          </w:p>
        </w:tc>
        <w:tc>
          <w:tcPr>
            <w:tcW w:w="1221" w:type="dxa"/>
            <w:vMerge w:val="continue"/>
            <w:noWrap w:val="0"/>
            <w:vAlign w:val="center"/>
          </w:tcPr>
          <w:p>
            <w:pPr>
              <w:jc w:val="both"/>
              <w:rPr>
                <w:rFonts w:hint="eastAsia" w:ascii="宋体" w:hAnsi="宋体" w:cs="宋体"/>
                <w:sz w:val="21"/>
                <w:szCs w:val="21"/>
                <w:highlight w:val="none"/>
                <w:lang w:val="en-US" w:eastAsia="zh-CN"/>
              </w:rPr>
            </w:pPr>
          </w:p>
        </w:tc>
        <w:tc>
          <w:tcPr>
            <w:tcW w:w="735" w:type="dxa"/>
            <w:gridSpan w:val="2"/>
            <w:noWrap w:val="0"/>
            <w:vAlign w:val="center"/>
          </w:tcPr>
          <w:p>
            <w:pPr>
              <w:jc w:val="center"/>
              <w:rPr>
                <w:rFonts w:hint="default" w:ascii="宋体" w:hAnsi="宋体" w:eastAsia="宋体" w:cs="宋体"/>
                <w:sz w:val="21"/>
                <w:szCs w:val="21"/>
                <w:highlight w:val="none"/>
                <w:lang w:val="en-US" w:eastAsia="zh-CN"/>
              </w:rPr>
            </w:pPr>
          </w:p>
        </w:tc>
        <w:tc>
          <w:tcPr>
            <w:tcW w:w="4334" w:type="dxa"/>
            <w:gridSpan w:val="5"/>
            <w:noWrap w:val="0"/>
            <w:vAlign w:val="center"/>
          </w:tcPr>
          <w:p>
            <w:pPr>
              <w:jc w:val="center"/>
              <w:rPr>
                <w:rFonts w:hint="default" w:ascii="宋体" w:hAnsi="宋体" w:cs="宋体"/>
                <w:sz w:val="21"/>
                <w:szCs w:val="21"/>
                <w:highlight w:val="none"/>
                <w:lang w:val="en-US" w:eastAsia="zh-CN"/>
              </w:rPr>
            </w:pPr>
          </w:p>
        </w:tc>
        <w:tc>
          <w:tcPr>
            <w:tcW w:w="1335" w:type="dxa"/>
            <w:noWrap w:val="0"/>
            <w:vAlign w:val="center"/>
          </w:tcPr>
          <w:p>
            <w:pPr>
              <w:jc w:val="center"/>
              <w:rPr>
                <w:rFonts w:ascii="宋体" w:hAnsi="宋体" w:cs="宋体"/>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highlight w:val="none"/>
              </w:rPr>
            </w:pPr>
          </w:p>
        </w:tc>
        <w:tc>
          <w:tcPr>
            <w:tcW w:w="1221" w:type="dxa"/>
            <w:vMerge w:val="restart"/>
            <w:noWrap w:val="0"/>
            <w:vAlign w:val="center"/>
          </w:tcPr>
          <w:p>
            <w:pPr>
              <w:jc w:val="both"/>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员工</w:t>
            </w:r>
            <w:r>
              <w:rPr>
                <w:rFonts w:hint="eastAsia" w:ascii="宋体" w:hAnsi="宋体" w:cs="宋体"/>
                <w:sz w:val="21"/>
                <w:szCs w:val="21"/>
                <w:highlight w:val="none"/>
              </w:rPr>
              <w:t>岗位</w:t>
            </w:r>
            <w:r>
              <w:rPr>
                <w:rFonts w:hint="eastAsia" w:ascii="宋体" w:hAnsi="宋体" w:cs="宋体"/>
                <w:sz w:val="21"/>
                <w:szCs w:val="21"/>
                <w:highlight w:val="none"/>
                <w:lang w:val="en-US" w:eastAsia="zh-CN"/>
              </w:rPr>
              <w:t>工作</w:t>
            </w:r>
            <w:r>
              <w:rPr>
                <w:rFonts w:hint="eastAsia" w:ascii="宋体" w:hAnsi="宋体" w:cs="宋体"/>
                <w:sz w:val="21"/>
                <w:szCs w:val="21"/>
                <w:highlight w:val="none"/>
              </w:rPr>
              <w:t>手册</w:t>
            </w:r>
          </w:p>
        </w:tc>
        <w:tc>
          <w:tcPr>
            <w:tcW w:w="735" w:type="dxa"/>
            <w:gridSpan w:val="2"/>
            <w:noWrap w:val="0"/>
            <w:vAlign w:val="center"/>
          </w:tcPr>
          <w:p>
            <w:pPr>
              <w:jc w:val="center"/>
              <w:rPr>
                <w:rFonts w:hint="eastAsia" w:ascii="宋体" w:hAnsi="宋体" w:cs="宋体"/>
                <w:sz w:val="21"/>
                <w:szCs w:val="21"/>
                <w:highlight w:val="none"/>
                <w:lang w:val="en-US" w:eastAsia="zh-CN"/>
              </w:rPr>
            </w:pPr>
          </w:p>
        </w:tc>
        <w:tc>
          <w:tcPr>
            <w:tcW w:w="4334" w:type="dxa"/>
            <w:gridSpan w:val="5"/>
            <w:noWrap w:val="0"/>
            <w:vAlign w:val="center"/>
          </w:tcPr>
          <w:p>
            <w:pPr>
              <w:jc w:val="center"/>
              <w:rPr>
                <w:rFonts w:hint="eastAsia" w:ascii="宋体" w:hAnsi="宋体" w:cs="宋体"/>
                <w:sz w:val="21"/>
                <w:szCs w:val="21"/>
                <w:highlight w:val="none"/>
                <w:lang w:val="en-US" w:eastAsia="zh-CN"/>
              </w:rPr>
            </w:pPr>
          </w:p>
        </w:tc>
        <w:tc>
          <w:tcPr>
            <w:tcW w:w="1335" w:type="dxa"/>
            <w:noWrap w:val="0"/>
            <w:vAlign w:val="center"/>
          </w:tcPr>
          <w:p>
            <w:pPr>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6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highlight w:val="none"/>
              </w:rPr>
            </w:pPr>
          </w:p>
        </w:tc>
        <w:tc>
          <w:tcPr>
            <w:tcW w:w="1221" w:type="dxa"/>
            <w:vMerge w:val="continue"/>
            <w:noWrap w:val="0"/>
            <w:vAlign w:val="center"/>
          </w:tcPr>
          <w:p>
            <w:pPr>
              <w:jc w:val="both"/>
              <w:rPr>
                <w:rFonts w:hint="eastAsia" w:ascii="宋体" w:hAnsi="宋体" w:cs="宋体"/>
                <w:sz w:val="21"/>
                <w:szCs w:val="21"/>
                <w:highlight w:val="none"/>
                <w:lang w:val="en-US" w:eastAsia="zh-CN"/>
              </w:rPr>
            </w:pPr>
          </w:p>
        </w:tc>
        <w:tc>
          <w:tcPr>
            <w:tcW w:w="735" w:type="dxa"/>
            <w:gridSpan w:val="2"/>
            <w:noWrap w:val="0"/>
            <w:vAlign w:val="center"/>
          </w:tcPr>
          <w:p>
            <w:pPr>
              <w:jc w:val="center"/>
              <w:rPr>
                <w:rFonts w:hint="eastAsia" w:ascii="宋体" w:hAnsi="宋体" w:cs="宋体"/>
                <w:sz w:val="21"/>
                <w:szCs w:val="21"/>
                <w:highlight w:val="none"/>
                <w:lang w:val="en-US" w:eastAsia="zh-CN"/>
              </w:rPr>
            </w:pPr>
          </w:p>
        </w:tc>
        <w:tc>
          <w:tcPr>
            <w:tcW w:w="4334" w:type="dxa"/>
            <w:gridSpan w:val="5"/>
            <w:noWrap w:val="0"/>
            <w:vAlign w:val="center"/>
          </w:tcPr>
          <w:p>
            <w:pPr>
              <w:jc w:val="center"/>
              <w:rPr>
                <w:rFonts w:hint="eastAsia" w:ascii="宋体" w:hAnsi="宋体" w:cs="宋体"/>
                <w:sz w:val="21"/>
                <w:szCs w:val="21"/>
                <w:highlight w:val="none"/>
                <w:lang w:val="en-US" w:eastAsia="zh-CN"/>
              </w:rPr>
            </w:pPr>
          </w:p>
        </w:tc>
        <w:tc>
          <w:tcPr>
            <w:tcW w:w="1335" w:type="dxa"/>
            <w:noWrap w:val="0"/>
            <w:vAlign w:val="center"/>
          </w:tcPr>
          <w:p>
            <w:pPr>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3"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highlight w:val="none"/>
              </w:rPr>
            </w:pPr>
            <w:r>
              <w:rPr>
                <w:rFonts w:hint="eastAsia" w:ascii="黑体" w:hAnsi="黑体" w:eastAsia="黑体" w:cs="黑体"/>
                <w:color w:val="auto"/>
                <w:sz w:val="21"/>
                <w:szCs w:val="21"/>
                <w:highlight w:val="none"/>
              </w:rPr>
              <w:t>关键岗位情况</w:t>
            </w:r>
          </w:p>
        </w:tc>
        <w:tc>
          <w:tcPr>
            <w:tcW w:w="1221" w:type="dxa"/>
            <w:noWrap w:val="0"/>
            <w:vAlign w:val="center"/>
          </w:tcPr>
          <w:p>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序号</w:t>
            </w:r>
          </w:p>
        </w:tc>
        <w:tc>
          <w:tcPr>
            <w:tcW w:w="3095" w:type="dxa"/>
            <w:gridSpan w:val="4"/>
            <w:noWrap w:val="0"/>
            <w:vAlign w:val="center"/>
          </w:tcPr>
          <w:p>
            <w:pPr>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关键岗位</w:t>
            </w:r>
          </w:p>
        </w:tc>
        <w:tc>
          <w:tcPr>
            <w:tcW w:w="3309" w:type="dxa"/>
            <w:gridSpan w:val="4"/>
            <w:noWrap w:val="0"/>
            <w:vAlign w:val="center"/>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关键流程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top"/>
          </w:tcPr>
          <w:p>
            <w:pPr>
              <w:rPr>
                <w:rFonts w:hint="eastAsia" w:ascii="黑体" w:hAnsi="黑体" w:eastAsia="黑体" w:cs="黑体"/>
                <w:color w:val="auto"/>
                <w:sz w:val="21"/>
                <w:szCs w:val="21"/>
                <w:highlight w:val="none"/>
              </w:rPr>
            </w:pPr>
          </w:p>
        </w:tc>
        <w:tc>
          <w:tcPr>
            <w:tcW w:w="1221" w:type="dxa"/>
            <w:noWrap w:val="0"/>
            <w:vAlign w:val="center"/>
          </w:tcPr>
          <w:p>
            <w:pPr>
              <w:jc w:val="both"/>
              <w:rPr>
                <w:rFonts w:hint="eastAsia" w:ascii="宋体" w:hAnsi="宋体" w:cs="宋体"/>
                <w:sz w:val="21"/>
                <w:szCs w:val="21"/>
                <w:highlight w:val="none"/>
                <w:lang w:val="en-US" w:eastAsia="zh-CN"/>
              </w:rPr>
            </w:pPr>
          </w:p>
        </w:tc>
        <w:tc>
          <w:tcPr>
            <w:tcW w:w="3095" w:type="dxa"/>
            <w:gridSpan w:val="4"/>
            <w:noWrap w:val="0"/>
            <w:vAlign w:val="center"/>
          </w:tcPr>
          <w:p>
            <w:pPr>
              <w:jc w:val="center"/>
              <w:rPr>
                <w:rFonts w:hint="eastAsia" w:ascii="宋体" w:hAnsi="宋体" w:cs="宋体"/>
                <w:sz w:val="21"/>
                <w:szCs w:val="21"/>
                <w:highlight w:val="none"/>
                <w:lang w:val="en-US" w:eastAsia="zh-CN"/>
              </w:rPr>
            </w:pPr>
          </w:p>
        </w:tc>
        <w:tc>
          <w:tcPr>
            <w:tcW w:w="3309" w:type="dxa"/>
            <w:gridSpan w:val="4"/>
            <w:noWrap w:val="0"/>
            <w:vAlign w:val="center"/>
          </w:tcPr>
          <w:p>
            <w:pPr>
              <w:jc w:val="center"/>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3" w:type="dxa"/>
            <w:vMerge w:val="continue"/>
            <w:noWrap w:val="0"/>
            <w:vAlign w:val="top"/>
          </w:tcPr>
          <w:p>
            <w:pPr>
              <w:rPr>
                <w:rFonts w:hint="eastAsia" w:ascii="黑体" w:hAnsi="黑体" w:eastAsia="黑体" w:cs="黑体"/>
                <w:color w:val="auto"/>
                <w:sz w:val="21"/>
                <w:szCs w:val="21"/>
                <w:highlight w:val="none"/>
              </w:rPr>
            </w:pPr>
          </w:p>
        </w:tc>
        <w:tc>
          <w:tcPr>
            <w:tcW w:w="1221" w:type="dxa"/>
            <w:noWrap w:val="0"/>
            <w:vAlign w:val="center"/>
          </w:tcPr>
          <w:p>
            <w:pPr>
              <w:jc w:val="both"/>
              <w:rPr>
                <w:rFonts w:hint="eastAsia" w:ascii="宋体" w:hAnsi="宋体" w:cs="宋体"/>
                <w:sz w:val="21"/>
                <w:szCs w:val="21"/>
                <w:highlight w:val="none"/>
                <w:lang w:val="en-US" w:eastAsia="zh-CN"/>
              </w:rPr>
            </w:pPr>
          </w:p>
        </w:tc>
        <w:tc>
          <w:tcPr>
            <w:tcW w:w="3095" w:type="dxa"/>
            <w:gridSpan w:val="4"/>
            <w:noWrap w:val="0"/>
            <w:vAlign w:val="center"/>
          </w:tcPr>
          <w:p>
            <w:pPr>
              <w:jc w:val="center"/>
              <w:rPr>
                <w:rFonts w:hint="eastAsia" w:ascii="宋体" w:hAnsi="宋体" w:cs="宋体"/>
                <w:sz w:val="21"/>
                <w:szCs w:val="21"/>
                <w:highlight w:val="none"/>
                <w:lang w:val="en-US" w:eastAsia="zh-CN"/>
              </w:rPr>
            </w:pPr>
          </w:p>
        </w:tc>
        <w:tc>
          <w:tcPr>
            <w:tcW w:w="3309" w:type="dxa"/>
            <w:gridSpan w:val="4"/>
            <w:noWrap w:val="0"/>
            <w:vAlign w:val="center"/>
          </w:tcPr>
          <w:p>
            <w:pPr>
              <w:jc w:val="center"/>
              <w:rPr>
                <w:rFonts w:hint="eastAsia" w:ascii="宋体" w:hAnsi="宋体" w:cs="宋体"/>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w:t>
      </w:r>
      <w:r>
        <w:rPr>
          <w:rFonts w:hint="eastAsia" w:ascii="黑体" w:hAnsi="黑体" w:eastAsia="黑体" w:cs="黑体"/>
          <w:sz w:val="21"/>
          <w:szCs w:val="21"/>
          <w:lang w:val="en-US" w:eastAsia="zh-CN"/>
        </w:rPr>
        <w:t>评估实施</w:t>
      </w:r>
      <w:r>
        <w:rPr>
          <w:rFonts w:hint="eastAsia" w:ascii="黑体" w:hAnsi="黑体" w:eastAsia="黑体" w:cs="黑体"/>
          <w:sz w:val="21"/>
          <w:szCs w:val="21"/>
        </w:rPr>
        <w:t>情况</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（一）前期准备</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1.成立领导小组</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2.明确任务分工</w:t>
      </w:r>
    </w:p>
    <w:tbl>
      <w:tblPr>
        <w:tblStyle w:val="14"/>
        <w:tblW w:w="870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78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0" w:type="dxa"/>
            <w:gridSpan w:val="3"/>
            <w:noWrap w:val="0"/>
            <w:vAlign w:val="center"/>
          </w:tcPr>
          <w:p>
            <w:pPr>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90" w:type="dxa"/>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检查组</w:t>
            </w:r>
            <w:r>
              <w:rPr>
                <w:rFonts w:hint="eastAsia" w:ascii="仿宋_GB2312" w:hAnsi="仿宋_GB2312" w:eastAsia="仿宋_GB2312" w:cs="仿宋_GB2312"/>
                <w:b/>
                <w:bCs/>
                <w:sz w:val="21"/>
                <w:szCs w:val="21"/>
              </w:rPr>
              <w:t>人员</w:t>
            </w:r>
          </w:p>
        </w:tc>
        <w:tc>
          <w:tcPr>
            <w:tcW w:w="4785" w:type="dxa"/>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评估</w:t>
            </w:r>
            <w:r>
              <w:rPr>
                <w:rFonts w:hint="eastAsia" w:ascii="仿宋_GB2312" w:hAnsi="仿宋_GB2312" w:eastAsia="仿宋_GB2312" w:cs="仿宋_GB2312"/>
                <w:b/>
                <w:bCs/>
                <w:sz w:val="21"/>
                <w:szCs w:val="21"/>
              </w:rPr>
              <w:t>范围</w:t>
            </w:r>
          </w:p>
        </w:tc>
        <w:tc>
          <w:tcPr>
            <w:tcW w:w="2025" w:type="dxa"/>
            <w:noWrap w:val="0"/>
            <w:vAlign w:val="center"/>
          </w:tcPr>
          <w:p>
            <w:pPr>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评估单位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90" w:type="dxa"/>
            <w:noWrap w:val="0"/>
            <w:vAlign w:val="center"/>
          </w:tcPr>
          <w:p>
            <w:pPr>
              <w:jc w:val="center"/>
              <w:rPr>
                <w:rFonts w:hint="eastAsia" w:ascii="仿宋_GB2312" w:hAnsi="仿宋_GB2312" w:eastAsia="仿宋_GB2312" w:cs="仿宋_GB2312"/>
                <w:color w:val="000000"/>
                <w:kern w:val="0"/>
                <w:sz w:val="21"/>
                <w:szCs w:val="21"/>
              </w:rPr>
            </w:pPr>
          </w:p>
        </w:tc>
        <w:tc>
          <w:tcPr>
            <w:tcW w:w="4785" w:type="dxa"/>
            <w:noWrap w:val="0"/>
            <w:vAlign w:val="center"/>
          </w:tcPr>
          <w:p>
            <w:pPr>
              <w:jc w:val="center"/>
              <w:rPr>
                <w:rFonts w:hint="eastAsia" w:ascii="仿宋_GB2312" w:hAnsi="仿宋_GB2312" w:eastAsia="仿宋_GB2312" w:cs="仿宋_GB2312"/>
                <w:sz w:val="21"/>
                <w:szCs w:val="21"/>
              </w:rPr>
            </w:pPr>
          </w:p>
        </w:tc>
        <w:tc>
          <w:tcPr>
            <w:tcW w:w="2025" w:type="dxa"/>
            <w:noWrap w:val="0"/>
            <w:vAlign w:val="center"/>
          </w:tcPr>
          <w:p>
            <w:pPr>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90" w:type="dxa"/>
            <w:noWrap w:val="0"/>
            <w:vAlign w:val="center"/>
          </w:tcPr>
          <w:p>
            <w:pPr>
              <w:jc w:val="center"/>
              <w:rPr>
                <w:rFonts w:hint="eastAsia" w:ascii="仿宋_GB2312" w:hAnsi="仿宋_GB2312" w:eastAsia="仿宋_GB2312" w:cs="仿宋_GB2312"/>
                <w:sz w:val="21"/>
                <w:szCs w:val="21"/>
              </w:rPr>
            </w:pPr>
          </w:p>
        </w:tc>
        <w:tc>
          <w:tcPr>
            <w:tcW w:w="4785" w:type="dxa"/>
            <w:noWrap w:val="0"/>
            <w:vAlign w:val="center"/>
          </w:tcPr>
          <w:p>
            <w:pPr>
              <w:jc w:val="center"/>
              <w:rPr>
                <w:rFonts w:hint="eastAsia" w:ascii="仿宋_GB2312" w:hAnsi="仿宋_GB2312" w:eastAsia="仿宋_GB2312" w:cs="仿宋_GB2312"/>
                <w:sz w:val="21"/>
                <w:szCs w:val="21"/>
              </w:rPr>
            </w:pPr>
          </w:p>
        </w:tc>
        <w:tc>
          <w:tcPr>
            <w:tcW w:w="2025" w:type="dxa"/>
            <w:noWrap w:val="0"/>
            <w:vAlign w:val="center"/>
          </w:tcPr>
          <w:p>
            <w:pPr>
              <w:jc w:val="center"/>
              <w:rPr>
                <w:rFonts w:hint="eastAsia" w:ascii="仿宋_GB2312" w:hAnsi="仿宋_GB2312" w:eastAsia="仿宋_GB2312" w:cs="仿宋_GB2312"/>
                <w:b/>
                <w:bCs/>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仿宋_GB2312" w:hAnsi="宋体" w:eastAsia="仿宋_GB2312"/>
          <w:b/>
          <w:bCs/>
          <w:sz w:val="21"/>
          <w:szCs w:val="21"/>
          <w:lang w:val="en-US" w:eastAsia="zh-CN"/>
        </w:rPr>
      </w:pPr>
      <w:r>
        <w:rPr>
          <w:rFonts w:hint="eastAsia" w:ascii="仿宋_GB2312" w:hAnsi="宋体" w:eastAsia="仿宋_GB2312"/>
          <w:b/>
          <w:bCs/>
          <w:sz w:val="21"/>
          <w:szCs w:val="21"/>
          <w:lang w:val="en-US" w:eastAsia="zh-CN"/>
        </w:rPr>
        <w:t>3.编制评估单</w:t>
      </w:r>
    </w:p>
    <w:tbl>
      <w:tblPr>
        <w:tblStyle w:val="1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350"/>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87" w:type="dxa"/>
            <w:noWrap w:val="0"/>
            <w:vAlign w:val="center"/>
          </w:tcPr>
          <w:p>
            <w:pPr>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序号</w:t>
            </w:r>
          </w:p>
        </w:tc>
        <w:tc>
          <w:tcPr>
            <w:tcW w:w="5350" w:type="dxa"/>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评估</w:t>
            </w:r>
            <w:r>
              <w:rPr>
                <w:rFonts w:hint="eastAsia" w:ascii="仿宋_GB2312" w:hAnsi="仿宋_GB2312" w:eastAsia="仿宋_GB2312" w:cs="仿宋_GB2312"/>
                <w:b/>
                <w:bCs/>
                <w:sz w:val="21"/>
                <w:szCs w:val="21"/>
              </w:rPr>
              <w:t>要素</w:t>
            </w:r>
          </w:p>
        </w:tc>
        <w:tc>
          <w:tcPr>
            <w:tcW w:w="2385" w:type="dxa"/>
            <w:noWrap w:val="0"/>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评估</w:t>
            </w:r>
            <w:r>
              <w:rPr>
                <w:rFonts w:hint="eastAsia" w:ascii="仿宋_GB2312" w:hAnsi="仿宋_GB2312" w:eastAsia="仿宋_GB2312" w:cs="仿宋_GB2312"/>
                <w:b/>
                <w:bCs/>
                <w:sz w:val="21"/>
                <w:szCs w:val="21"/>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 w:type="dxa"/>
            <w:noWrap w:val="0"/>
            <w:vAlign w:val="center"/>
          </w:tcPr>
          <w:p>
            <w:pPr>
              <w:jc w:val="center"/>
              <w:rPr>
                <w:rFonts w:hint="eastAsia" w:ascii="仿宋_GB2312" w:hAnsi="仿宋_GB2312" w:eastAsia="仿宋_GB2312" w:cs="仿宋_GB2312"/>
                <w:b/>
                <w:bCs/>
                <w:sz w:val="21"/>
                <w:szCs w:val="21"/>
              </w:rPr>
            </w:pPr>
          </w:p>
        </w:tc>
        <w:tc>
          <w:tcPr>
            <w:tcW w:w="5350" w:type="dxa"/>
            <w:noWrap w:val="0"/>
            <w:vAlign w:val="center"/>
          </w:tcPr>
          <w:p>
            <w:pPr>
              <w:jc w:val="center"/>
              <w:rPr>
                <w:rFonts w:hint="eastAsia" w:ascii="仿宋_GB2312" w:hAnsi="仿宋_GB2312" w:eastAsia="仿宋_GB2312" w:cs="仿宋_GB2312"/>
                <w:b/>
                <w:bCs/>
                <w:sz w:val="21"/>
                <w:szCs w:val="21"/>
              </w:rPr>
            </w:pPr>
          </w:p>
        </w:tc>
        <w:tc>
          <w:tcPr>
            <w:tcW w:w="2385" w:type="dxa"/>
            <w:noWrap w:val="0"/>
            <w:vAlign w:val="center"/>
          </w:tcPr>
          <w:p>
            <w:pPr>
              <w:jc w:val="center"/>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87" w:type="dxa"/>
            <w:noWrap w:val="0"/>
            <w:vAlign w:val="center"/>
          </w:tcPr>
          <w:p>
            <w:pPr>
              <w:jc w:val="center"/>
              <w:rPr>
                <w:rFonts w:hint="eastAsia" w:ascii="仿宋_GB2312" w:hAnsi="仿宋_GB2312" w:eastAsia="仿宋_GB2312" w:cs="仿宋_GB2312"/>
                <w:b/>
                <w:bCs/>
                <w:sz w:val="21"/>
                <w:szCs w:val="21"/>
              </w:rPr>
            </w:pPr>
          </w:p>
        </w:tc>
        <w:tc>
          <w:tcPr>
            <w:tcW w:w="5350" w:type="dxa"/>
            <w:noWrap w:val="0"/>
            <w:vAlign w:val="center"/>
          </w:tcPr>
          <w:p>
            <w:pPr>
              <w:jc w:val="center"/>
              <w:rPr>
                <w:rFonts w:hint="eastAsia" w:ascii="仿宋_GB2312" w:hAnsi="仿宋_GB2312" w:eastAsia="仿宋_GB2312" w:cs="仿宋_GB2312"/>
                <w:b/>
                <w:bCs/>
                <w:sz w:val="21"/>
                <w:szCs w:val="21"/>
              </w:rPr>
            </w:pPr>
          </w:p>
        </w:tc>
        <w:tc>
          <w:tcPr>
            <w:tcW w:w="2385" w:type="dxa"/>
            <w:noWrap w:val="0"/>
            <w:vAlign w:val="center"/>
          </w:tcPr>
          <w:p>
            <w:pPr>
              <w:jc w:val="center"/>
              <w:rPr>
                <w:rFonts w:hint="eastAsia" w:ascii="仿宋_GB2312" w:hAnsi="仿宋_GB2312" w:eastAsia="仿宋_GB2312" w:cs="仿宋_GB2312"/>
                <w:b/>
                <w:bCs/>
                <w:sz w:val="21"/>
                <w:szCs w:val="21"/>
              </w:rPr>
            </w:pPr>
          </w:p>
        </w:tc>
      </w:tr>
    </w:tbl>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（二）评估实施</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（三）形成报告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lang w:eastAsia="zh-CN"/>
        </w:rPr>
      </w:pPr>
      <w:r>
        <w:rPr>
          <w:rFonts w:hint="eastAsia" w:ascii="黑体" w:hAnsi="黑体" w:eastAsia="黑体" w:cs="黑体"/>
          <w:sz w:val="21"/>
          <w:szCs w:val="21"/>
        </w:rPr>
        <w:t>三、</w:t>
      </w:r>
      <w:r>
        <w:rPr>
          <w:rFonts w:hint="eastAsia" w:ascii="黑体" w:hAnsi="黑体" w:eastAsia="黑体" w:cs="黑体"/>
          <w:sz w:val="21"/>
          <w:szCs w:val="21"/>
          <w:lang w:val="en-US" w:eastAsia="zh-CN"/>
        </w:rPr>
        <w:t>评估情况</w:t>
      </w:r>
    </w:p>
    <w:tbl>
      <w:tblPr>
        <w:tblStyle w:val="14"/>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30"/>
        <w:gridCol w:w="262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87" w:type="dxa"/>
            <w:noWrap w:val="0"/>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lang w:val="en-US" w:eastAsia="zh-CN"/>
              </w:rPr>
              <w:t>评估</w:t>
            </w:r>
            <w:r>
              <w:rPr>
                <w:rFonts w:hint="eastAsia" w:ascii="仿宋_GB2312" w:hAnsi="仿宋_GB2312" w:eastAsia="仿宋_GB2312" w:cs="仿宋_GB2312"/>
                <w:b/>
                <w:bCs/>
                <w:color w:val="000000"/>
                <w:sz w:val="21"/>
                <w:szCs w:val="21"/>
              </w:rPr>
              <w:t>条款</w:t>
            </w:r>
          </w:p>
        </w:tc>
        <w:tc>
          <w:tcPr>
            <w:tcW w:w="2430" w:type="dxa"/>
            <w:noWrap w:val="0"/>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符合项</w:t>
            </w:r>
          </w:p>
        </w:tc>
        <w:tc>
          <w:tcPr>
            <w:tcW w:w="2625" w:type="dxa"/>
            <w:noWrap w:val="0"/>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不符合项</w:t>
            </w:r>
          </w:p>
        </w:tc>
        <w:tc>
          <w:tcPr>
            <w:tcW w:w="1830" w:type="dxa"/>
            <w:noWrap w:val="0"/>
            <w:vAlign w:val="center"/>
          </w:tcPr>
          <w:p>
            <w:pPr>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987" w:type="dxa"/>
            <w:noWrap w:val="0"/>
            <w:vAlign w:val="center"/>
          </w:tcPr>
          <w:p>
            <w:pPr>
              <w:jc w:val="center"/>
              <w:rPr>
                <w:rFonts w:hint="eastAsia" w:ascii="仿宋_GB2312" w:hAnsi="仿宋_GB2312" w:eastAsia="仿宋_GB2312" w:cs="仿宋_GB2312"/>
                <w:color w:val="000000"/>
                <w:sz w:val="21"/>
                <w:szCs w:val="21"/>
              </w:rPr>
            </w:pPr>
          </w:p>
        </w:tc>
        <w:tc>
          <w:tcPr>
            <w:tcW w:w="2430" w:type="dxa"/>
            <w:noWrap w:val="0"/>
            <w:vAlign w:val="center"/>
          </w:tcPr>
          <w:p>
            <w:pPr>
              <w:jc w:val="center"/>
              <w:rPr>
                <w:rFonts w:hint="eastAsia" w:ascii="仿宋_GB2312" w:hAnsi="仿宋_GB2312" w:eastAsia="仿宋_GB2312" w:cs="仿宋_GB2312"/>
                <w:color w:val="000000"/>
                <w:sz w:val="21"/>
                <w:szCs w:val="21"/>
                <w:lang w:eastAsia="zh-CN"/>
              </w:rPr>
            </w:pPr>
          </w:p>
        </w:tc>
        <w:tc>
          <w:tcPr>
            <w:tcW w:w="2625" w:type="dxa"/>
            <w:noWrap w:val="0"/>
            <w:vAlign w:val="center"/>
          </w:tcPr>
          <w:p>
            <w:pPr>
              <w:jc w:val="center"/>
              <w:rPr>
                <w:rFonts w:hint="eastAsia" w:ascii="仿宋_GB2312" w:hAnsi="仿宋_GB2312" w:eastAsia="仿宋_GB2312" w:cs="仿宋_GB2312"/>
                <w:color w:val="000000"/>
                <w:sz w:val="21"/>
                <w:szCs w:val="21"/>
                <w:lang w:val="en-US" w:eastAsia="zh-CN"/>
              </w:rPr>
            </w:pPr>
          </w:p>
        </w:tc>
        <w:tc>
          <w:tcPr>
            <w:tcW w:w="183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87" w:type="dxa"/>
            <w:noWrap w:val="0"/>
            <w:vAlign w:val="center"/>
          </w:tcPr>
          <w:p>
            <w:pPr>
              <w:jc w:val="center"/>
              <w:rPr>
                <w:rFonts w:hint="eastAsia" w:ascii="仿宋_GB2312" w:hAnsi="仿宋_GB2312" w:eastAsia="仿宋_GB2312" w:cs="仿宋_GB2312"/>
                <w:color w:val="000000"/>
                <w:sz w:val="21"/>
                <w:szCs w:val="21"/>
              </w:rPr>
            </w:pPr>
          </w:p>
        </w:tc>
        <w:tc>
          <w:tcPr>
            <w:tcW w:w="2430" w:type="dxa"/>
            <w:noWrap w:val="0"/>
            <w:vAlign w:val="center"/>
          </w:tcPr>
          <w:p>
            <w:pPr>
              <w:jc w:val="center"/>
              <w:rPr>
                <w:rFonts w:hint="eastAsia" w:ascii="仿宋_GB2312" w:hAnsi="仿宋_GB2312" w:eastAsia="仿宋_GB2312" w:cs="仿宋_GB2312"/>
                <w:color w:val="000000"/>
                <w:sz w:val="21"/>
                <w:szCs w:val="21"/>
              </w:rPr>
            </w:pPr>
          </w:p>
        </w:tc>
        <w:tc>
          <w:tcPr>
            <w:tcW w:w="2625" w:type="dxa"/>
            <w:noWrap w:val="0"/>
            <w:vAlign w:val="center"/>
          </w:tcPr>
          <w:p>
            <w:pPr>
              <w:jc w:val="center"/>
              <w:rPr>
                <w:rFonts w:hint="eastAsia" w:ascii="仿宋_GB2312" w:hAnsi="仿宋_GB2312" w:eastAsia="仿宋_GB2312" w:cs="仿宋_GB2312"/>
                <w:color w:val="000000"/>
                <w:sz w:val="21"/>
                <w:szCs w:val="21"/>
              </w:rPr>
            </w:pPr>
          </w:p>
        </w:tc>
        <w:tc>
          <w:tcPr>
            <w:tcW w:w="1830" w:type="dxa"/>
            <w:noWrap w:val="0"/>
            <w:vAlign w:val="center"/>
          </w:tcPr>
          <w:p>
            <w:pPr>
              <w:jc w:val="center"/>
              <w:rPr>
                <w:rFonts w:hint="eastAsia" w:ascii="仿宋_GB2312" w:hAnsi="仿宋_GB2312" w:eastAsia="仿宋_GB2312" w:cs="仿宋_GB2312"/>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四、总体评价</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（一）任务实施情况及效果</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二</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好的方面</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（三）主要</w:t>
      </w:r>
      <w:r>
        <w:rPr>
          <w:rFonts w:hint="eastAsia" w:ascii="仿宋_GB2312" w:hAnsi="仿宋_GB2312" w:eastAsia="仿宋_GB2312" w:cs="仿宋_GB2312"/>
          <w:b w:val="0"/>
          <w:bCs w:val="0"/>
          <w:sz w:val="21"/>
          <w:szCs w:val="21"/>
          <w:lang w:eastAsia="zh-CN"/>
        </w:rPr>
        <w:t>问题</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（四）评估结论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五、改进建议</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一</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评估问题整改要求</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二</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对今后一年工作的要求</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（三）其他有关要求</w:t>
      </w:r>
    </w:p>
    <w:p>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附件：安全生产专项整治三年行动中期评估问题清单</w:t>
      </w:r>
    </w:p>
    <w:tbl>
      <w:tblPr>
        <w:tblStyle w:val="15"/>
        <w:tblW w:w="874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350"/>
        <w:gridCol w:w="1395"/>
        <w:gridCol w:w="1335"/>
        <w:gridCol w:w="1245"/>
        <w:gridCol w:w="139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业务类别</w:t>
            </w:r>
          </w:p>
        </w:tc>
        <w:tc>
          <w:tcPr>
            <w:tcW w:w="139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问题描述</w:t>
            </w:r>
          </w:p>
        </w:tc>
        <w:tc>
          <w:tcPr>
            <w:tcW w:w="133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改进措施</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改进时限</w:t>
            </w:r>
          </w:p>
        </w:tc>
        <w:tc>
          <w:tcPr>
            <w:tcW w:w="139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进展情况</w:t>
            </w:r>
          </w:p>
        </w:tc>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jc w:val="center"/>
              <w:rPr>
                <w:rFonts w:hint="default" w:ascii="仿宋_GB2312" w:hAnsi="仿宋_GB2312" w:eastAsia="仿宋_GB2312" w:cs="仿宋_GB2312"/>
                <w:color w:val="000000"/>
                <w:sz w:val="24"/>
                <w:lang w:val="en-US" w:eastAsia="zh-CN"/>
              </w:rPr>
            </w:pPr>
          </w:p>
        </w:tc>
        <w:tc>
          <w:tcPr>
            <w:tcW w:w="1350" w:type="dxa"/>
            <w:vAlign w:val="center"/>
          </w:tcPr>
          <w:p>
            <w:pPr>
              <w:jc w:val="center"/>
              <w:rPr>
                <w:rFonts w:hint="default" w:ascii="仿宋_GB2312" w:hAnsi="仿宋_GB2312" w:eastAsia="仿宋_GB2312" w:cs="仿宋_GB2312"/>
                <w:color w:val="000000"/>
                <w:sz w:val="24"/>
                <w:lang w:val="en-US" w:eastAsia="zh-CN"/>
              </w:rPr>
            </w:pPr>
          </w:p>
        </w:tc>
        <w:tc>
          <w:tcPr>
            <w:tcW w:w="1395" w:type="dxa"/>
            <w:vAlign w:val="center"/>
          </w:tcPr>
          <w:p>
            <w:pPr>
              <w:jc w:val="center"/>
              <w:rPr>
                <w:rFonts w:hint="default" w:ascii="仿宋_GB2312" w:hAnsi="仿宋_GB2312" w:eastAsia="仿宋_GB2312" w:cs="仿宋_GB2312"/>
                <w:color w:val="000000"/>
                <w:sz w:val="24"/>
                <w:lang w:val="en-US" w:eastAsia="zh-CN"/>
              </w:rPr>
            </w:pPr>
          </w:p>
        </w:tc>
        <w:tc>
          <w:tcPr>
            <w:tcW w:w="1335" w:type="dxa"/>
            <w:vAlign w:val="center"/>
          </w:tcPr>
          <w:p>
            <w:pPr>
              <w:jc w:val="center"/>
              <w:rPr>
                <w:rFonts w:hint="default" w:ascii="仿宋_GB2312" w:hAnsi="仿宋_GB2312" w:eastAsia="仿宋_GB2312" w:cs="仿宋_GB2312"/>
                <w:color w:val="000000"/>
                <w:sz w:val="24"/>
                <w:lang w:val="en-US" w:eastAsia="zh-CN"/>
              </w:rPr>
            </w:pPr>
          </w:p>
        </w:tc>
        <w:tc>
          <w:tcPr>
            <w:tcW w:w="1245" w:type="dxa"/>
            <w:vAlign w:val="center"/>
          </w:tcPr>
          <w:p>
            <w:pPr>
              <w:jc w:val="center"/>
              <w:rPr>
                <w:rFonts w:hint="default" w:ascii="仿宋_GB2312" w:hAnsi="仿宋_GB2312" w:eastAsia="仿宋_GB2312" w:cs="仿宋_GB2312"/>
                <w:color w:val="000000"/>
                <w:sz w:val="24"/>
                <w:lang w:val="en-US" w:eastAsia="zh-CN"/>
              </w:rPr>
            </w:pPr>
          </w:p>
        </w:tc>
        <w:tc>
          <w:tcPr>
            <w:tcW w:w="1395" w:type="dxa"/>
            <w:vAlign w:val="center"/>
          </w:tcPr>
          <w:p>
            <w:pPr>
              <w:jc w:val="center"/>
              <w:rPr>
                <w:rFonts w:hint="default" w:ascii="仿宋_GB2312" w:hAnsi="仿宋_GB2312" w:eastAsia="仿宋_GB2312" w:cs="仿宋_GB2312"/>
                <w:color w:val="000000"/>
                <w:sz w:val="24"/>
                <w:lang w:val="en-US" w:eastAsia="zh-CN"/>
              </w:rPr>
            </w:pPr>
          </w:p>
        </w:tc>
        <w:tc>
          <w:tcPr>
            <w:tcW w:w="1290" w:type="dxa"/>
            <w:vAlign w:val="center"/>
          </w:tcPr>
          <w:p>
            <w:pPr>
              <w:jc w:val="center"/>
              <w:rPr>
                <w:rFonts w:hint="default" w:ascii="仿宋_GB2312" w:hAnsi="仿宋_GB2312" w:eastAsia="仿宋_GB2312" w:cs="仿宋_GB2312"/>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jc w:val="center"/>
              <w:rPr>
                <w:rFonts w:hint="default" w:ascii="仿宋_GB2312" w:hAnsi="仿宋_GB2312" w:eastAsia="仿宋_GB2312" w:cs="仿宋_GB2312"/>
                <w:color w:val="000000"/>
                <w:sz w:val="24"/>
                <w:lang w:val="en-US" w:eastAsia="zh-CN"/>
              </w:rPr>
            </w:pPr>
          </w:p>
        </w:tc>
        <w:tc>
          <w:tcPr>
            <w:tcW w:w="1350" w:type="dxa"/>
            <w:vAlign w:val="center"/>
          </w:tcPr>
          <w:p>
            <w:pPr>
              <w:jc w:val="center"/>
              <w:rPr>
                <w:rFonts w:hint="default" w:ascii="仿宋_GB2312" w:hAnsi="仿宋_GB2312" w:eastAsia="仿宋_GB2312" w:cs="仿宋_GB2312"/>
                <w:color w:val="000000"/>
                <w:sz w:val="24"/>
                <w:lang w:val="en-US" w:eastAsia="zh-CN"/>
              </w:rPr>
            </w:pPr>
          </w:p>
        </w:tc>
        <w:tc>
          <w:tcPr>
            <w:tcW w:w="1395" w:type="dxa"/>
            <w:vAlign w:val="center"/>
          </w:tcPr>
          <w:p>
            <w:pPr>
              <w:jc w:val="center"/>
              <w:rPr>
                <w:rFonts w:hint="default" w:ascii="仿宋_GB2312" w:hAnsi="仿宋_GB2312" w:eastAsia="仿宋_GB2312" w:cs="仿宋_GB2312"/>
                <w:color w:val="000000"/>
                <w:sz w:val="24"/>
                <w:lang w:val="en-US" w:eastAsia="zh-CN"/>
              </w:rPr>
            </w:pPr>
          </w:p>
        </w:tc>
        <w:tc>
          <w:tcPr>
            <w:tcW w:w="1335" w:type="dxa"/>
            <w:vAlign w:val="center"/>
          </w:tcPr>
          <w:p>
            <w:pPr>
              <w:jc w:val="center"/>
              <w:rPr>
                <w:rFonts w:hint="default" w:ascii="仿宋_GB2312" w:hAnsi="仿宋_GB2312" w:eastAsia="仿宋_GB2312" w:cs="仿宋_GB2312"/>
                <w:color w:val="000000"/>
                <w:sz w:val="24"/>
                <w:lang w:val="en-US" w:eastAsia="zh-CN"/>
              </w:rPr>
            </w:pPr>
          </w:p>
        </w:tc>
        <w:tc>
          <w:tcPr>
            <w:tcW w:w="1245" w:type="dxa"/>
            <w:vAlign w:val="center"/>
          </w:tcPr>
          <w:p>
            <w:pPr>
              <w:jc w:val="center"/>
              <w:rPr>
                <w:rFonts w:hint="default" w:ascii="仿宋_GB2312" w:hAnsi="仿宋_GB2312" w:eastAsia="仿宋_GB2312" w:cs="仿宋_GB2312"/>
                <w:color w:val="000000"/>
                <w:sz w:val="24"/>
                <w:lang w:val="en-US" w:eastAsia="zh-CN"/>
              </w:rPr>
            </w:pPr>
          </w:p>
        </w:tc>
        <w:tc>
          <w:tcPr>
            <w:tcW w:w="1395" w:type="dxa"/>
            <w:vAlign w:val="center"/>
          </w:tcPr>
          <w:p>
            <w:pPr>
              <w:jc w:val="center"/>
              <w:rPr>
                <w:rFonts w:hint="default" w:ascii="仿宋_GB2312" w:hAnsi="仿宋_GB2312" w:eastAsia="仿宋_GB2312" w:cs="仿宋_GB2312"/>
                <w:color w:val="000000"/>
                <w:sz w:val="24"/>
                <w:lang w:val="en-US" w:eastAsia="zh-CN"/>
              </w:rPr>
            </w:pPr>
          </w:p>
        </w:tc>
        <w:tc>
          <w:tcPr>
            <w:tcW w:w="1290" w:type="dxa"/>
            <w:vAlign w:val="center"/>
          </w:tcPr>
          <w:p>
            <w:pPr>
              <w:jc w:val="center"/>
              <w:rPr>
                <w:rFonts w:hint="default" w:ascii="仿宋_GB2312" w:hAnsi="仿宋_GB2312" w:eastAsia="仿宋_GB2312" w:cs="仿宋_GB2312"/>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745" w:type="dxa"/>
            <w:gridSpan w:val="7"/>
            <w:vAlign w:val="center"/>
          </w:tcPr>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备注：</w:t>
            </w:r>
          </w:p>
        </w:tc>
      </w:tr>
    </w:tbl>
    <w:p>
      <w:pPr>
        <w:spacing w:line="360" w:lineRule="auto"/>
        <w:ind w:firstLine="422" w:firstLineChars="200"/>
        <w:rPr>
          <w:rFonts w:ascii="宋体" w:hAnsi="宋体"/>
          <w:b/>
          <w:bCs/>
        </w:rPr>
      </w:pPr>
      <w:r>
        <w:rPr>
          <w:rFonts w:hint="eastAsia" w:ascii="宋体" w:hAnsi="宋体"/>
          <w:b/>
          <w:bCs/>
          <w:lang w:val="en-US" w:eastAsia="zh-CN"/>
        </w:rPr>
        <w:t>四、</w:t>
      </w:r>
      <w:r>
        <w:rPr>
          <w:rFonts w:hint="eastAsia" w:ascii="宋体" w:hAnsi="宋体"/>
          <w:b/>
          <w:bCs/>
        </w:rPr>
        <w:t>服务期限</w:t>
      </w:r>
    </w:p>
    <w:p>
      <w:pPr>
        <w:spacing w:line="360" w:lineRule="auto"/>
        <w:ind w:firstLine="420" w:firstLineChars="200"/>
        <w:rPr>
          <w:rFonts w:hint="eastAsia" w:ascii="宋体" w:hAnsi="宋体" w:eastAsia="宋体" w:cs="宋体"/>
          <w:bCs/>
          <w:szCs w:val="21"/>
          <w:lang w:eastAsia="zh-CN"/>
        </w:rPr>
      </w:pPr>
      <w:r>
        <w:rPr>
          <w:rFonts w:hint="eastAsia"/>
          <w:szCs w:val="21"/>
          <w:lang w:eastAsia="zh-CN"/>
        </w:rPr>
        <w:t>服务期限：</w:t>
      </w:r>
      <w:r>
        <w:rPr>
          <w:rFonts w:hint="eastAsia"/>
          <w:szCs w:val="21"/>
        </w:rPr>
        <w:t>合同签订生效之日起</w:t>
      </w:r>
      <w:r>
        <w:rPr>
          <w:rFonts w:hint="eastAsia"/>
          <w:szCs w:val="21"/>
          <w:lang w:val="en-US" w:eastAsia="zh-CN"/>
        </w:rPr>
        <w:t>三</w:t>
      </w:r>
      <w:r>
        <w:rPr>
          <w:rFonts w:hint="eastAsia"/>
          <w:szCs w:val="21"/>
          <w:lang w:eastAsia="zh-CN"/>
        </w:rPr>
        <w:t>个月。</w:t>
      </w:r>
    </w:p>
    <w:p>
      <w:pPr>
        <w:pStyle w:val="2"/>
        <w:spacing w:line="360" w:lineRule="auto"/>
        <w:ind w:left="0" w:firstLine="420" w:firstLineChars="200"/>
        <w:rPr>
          <w:rFonts w:hint="default" w:ascii="宋体" w:hAnsi="Times New Roman" w:eastAsia="宋体" w:cs="Times New Roman"/>
          <w:color w:val="auto"/>
          <w:kern w:val="2"/>
          <w:sz w:val="21"/>
          <w:szCs w:val="21"/>
          <w:lang w:val="en-US" w:eastAsia="zh-CN" w:bidi="ar-SA"/>
        </w:rPr>
      </w:pPr>
      <w:r>
        <w:rPr>
          <w:rFonts w:hint="eastAsia" w:asciiTheme="minorEastAsia" w:hAnsiTheme="minorEastAsia" w:eastAsiaTheme="minorEastAsia" w:cstheme="minorEastAsia"/>
          <w:szCs w:val="21"/>
        </w:rPr>
        <w:t>乙方应在合同签订</w:t>
      </w:r>
      <w:r>
        <w:rPr>
          <w:rFonts w:hint="eastAsia" w:asciiTheme="minorEastAsia" w:hAnsiTheme="minorEastAsia" w:eastAsiaTheme="minorEastAsia" w:cstheme="minorEastAsia"/>
          <w:szCs w:val="21"/>
          <w:lang w:val="en-US" w:eastAsia="zh-CN"/>
        </w:rPr>
        <w:t>之日起15</w:t>
      </w:r>
      <w:r>
        <w:rPr>
          <w:rFonts w:hint="eastAsia" w:asciiTheme="minorEastAsia" w:hAnsiTheme="minorEastAsia" w:eastAsiaTheme="minorEastAsia" w:cstheme="minorEastAsia"/>
          <w:szCs w:val="21"/>
        </w:rPr>
        <w:t>个工作日内，完成安全生产专项整治三年行动中期评估单编制及现场评估工作；乙方应在合同签订</w:t>
      </w:r>
      <w:r>
        <w:rPr>
          <w:rFonts w:hint="eastAsia" w:asciiTheme="minorEastAsia" w:hAnsiTheme="minorEastAsia" w:eastAsiaTheme="minorEastAsia" w:cstheme="minorEastAsia"/>
          <w:szCs w:val="21"/>
          <w:lang w:val="en-US" w:eastAsia="zh-CN"/>
        </w:rPr>
        <w:t>之日起15</w:t>
      </w:r>
      <w:r>
        <w:rPr>
          <w:rFonts w:hint="eastAsia" w:asciiTheme="minorEastAsia" w:hAnsiTheme="minorEastAsia" w:eastAsiaTheme="minorEastAsia" w:cstheme="minorEastAsia"/>
          <w:szCs w:val="21"/>
        </w:rPr>
        <w:t>个工作日内，提交《广东省机场管理集团有限公司安全生产专项整治三年行动评估报告》《广州白云国际机场股份有限公司安全生产专项整治三年行动评估报告》《广东机场集团工程建设指挥部安全生产专项整治三年行动评估报告》初稿；根据甲方的修改意见，5个工作日内完成评估报告修改工作并向甲方提交正式（加盖公章、评估组签字）的《广东省机场管理集团有限公司安全生产专项整治三年行动评估报告》《广州白云国际机场股份有限公司安全生产专项整治三年行动评估报告》《广东机场集团工程建设指挥部安全生产专项整治三年行动评估报告》；甲方将正式的《广东省机场管理集团有限公司安全生产专项整治三年行动评估报告》上报广东省人民政府国有资产监督管理委员会</w:t>
      </w:r>
      <w:r>
        <w:rPr>
          <w:rFonts w:hint="eastAsia" w:asciiTheme="minorEastAsia" w:hAnsiTheme="minorEastAsia" w:eastAsiaTheme="minorEastAsia" w:cstheme="minorEastAsia"/>
          <w:szCs w:val="21"/>
          <w:lang w:val="en-US" w:eastAsia="zh-CN"/>
        </w:rPr>
        <w:t>过程中，乙方应按照要求对报告进行修订完善</w:t>
      </w:r>
      <w:r>
        <w:rPr>
          <w:rFonts w:hint="eastAsia" w:asciiTheme="minorEastAsia" w:hAnsiTheme="minorEastAsia" w:eastAsiaTheme="minorEastAsia" w:cstheme="minorEastAsia"/>
          <w:szCs w:val="21"/>
        </w:rPr>
        <w:t>。</w:t>
      </w:r>
    </w:p>
    <w:p>
      <w:pPr>
        <w:pStyle w:val="2"/>
        <w:spacing w:line="360" w:lineRule="auto"/>
        <w:ind w:left="780" w:firstLine="420" w:firstLineChars="200"/>
        <w:rPr>
          <w:rFonts w:hint="eastAsia" w:ascii="宋体" w:hAnsi="Times New Roman" w:eastAsia="宋体" w:cs="Times New Roman"/>
          <w:color w:val="auto"/>
          <w:kern w:val="2"/>
          <w:sz w:val="21"/>
          <w:szCs w:val="21"/>
          <w:lang w:val="en-US" w:eastAsia="zh-CN" w:bidi="ar-SA"/>
        </w:rPr>
      </w:pPr>
    </w:p>
    <w:p/>
    <w:p/>
    <w:sectPr>
      <w:headerReference r:id="rId24" w:type="first"/>
      <w:footerReference r:id="rId26" w:type="first"/>
      <w:headerReference r:id="rId23" w:type="default"/>
      <w:footerReference r:id="rId25" w:type="default"/>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r>
                      <w:rPr>
                        <w:rFonts w:hint="eastAsia"/>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4</w:t>
    </w:r>
    <w:r>
      <w:fldChar w:fldCharType="end"/>
    </w:r>
  </w:p>
  <w:p>
    <w:pPr>
      <w:pStyle w:val="1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32</w:t>
    </w:r>
    <w:r>
      <w:fldChar w:fldCharType="end"/>
    </w:r>
  </w:p>
  <w:p>
    <w:pPr>
      <w:pStyle w:val="1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r>
                      <w:rPr>
                        <w:rFonts w:hint="eastAsia"/>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ascii="仿宋_GB2312" w:hAnsi="仿宋_GB2312" w:eastAsia="仿宋_GB2312" w:cs="仿宋_GB2312"/>
                              <w:sz w:val="24"/>
                              <w:szCs w:val="24"/>
                            </w:rPr>
                            <w:fldChar w:fldCharType="begin"/>
                          </w:r>
                          <w:r>
                            <w:rPr>
                              <w:rStyle w:val="17"/>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jc w:val="center"/>
                    </w:pPr>
                    <w:r>
                      <w:rPr>
                        <w:rFonts w:hint="eastAsia" w:ascii="仿宋_GB2312" w:hAnsi="仿宋_GB2312" w:eastAsia="仿宋_GB2312" w:cs="仿宋_GB2312"/>
                        <w:sz w:val="24"/>
                        <w:szCs w:val="24"/>
                      </w:rPr>
                      <w:fldChar w:fldCharType="begin"/>
                    </w:r>
                    <w:r>
                      <w:rPr>
                        <w:rStyle w:val="17"/>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仿宋_GB2312" w:hAnsi="仿宋_GB2312" w:eastAsia="仿宋_GB2312" w:cs="仿宋_GB2312"/>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1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hint="eastAsia"/>
      </w:rPr>
    </w:pPr>
  </w:p>
  <w:p>
    <w:pPr>
      <w:pStyle w:val="11"/>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06CC7"/>
    <w:multiLevelType w:val="singleLevel"/>
    <w:tmpl w:val="A6F06CC7"/>
    <w:lvl w:ilvl="0" w:tentative="0">
      <w:start w:val="1"/>
      <w:numFmt w:val="decimal"/>
      <w:lvlText w:val="%1)"/>
      <w:lvlJc w:val="left"/>
      <w:pPr>
        <w:ind w:left="2105" w:hanging="425"/>
      </w:pPr>
      <w:rPr>
        <w:rFonts w:hint="default"/>
      </w:rPr>
    </w:lvl>
  </w:abstractNum>
  <w:abstractNum w:abstractNumId="1">
    <w:nsid w:val="ACF60417"/>
    <w:multiLevelType w:val="singleLevel"/>
    <w:tmpl w:val="ACF60417"/>
    <w:lvl w:ilvl="0" w:tentative="0">
      <w:start w:val="1"/>
      <w:numFmt w:val="chineseCounting"/>
      <w:suff w:val="nothing"/>
      <w:lvlText w:val="%1、"/>
      <w:lvlJc w:val="left"/>
      <w:rPr>
        <w:rFonts w:hint="eastAsia"/>
      </w:rPr>
    </w:lvl>
  </w:abstractNum>
  <w:abstractNum w:abstractNumId="2">
    <w:nsid w:val="EF7D4CDD"/>
    <w:multiLevelType w:val="singleLevel"/>
    <w:tmpl w:val="EF7D4CDD"/>
    <w:lvl w:ilvl="0" w:tentative="0">
      <w:start w:val="1"/>
      <w:numFmt w:val="decimal"/>
      <w:suff w:val="nothing"/>
      <w:lvlText w:val="%1）"/>
      <w:lvlJc w:val="left"/>
    </w:lvl>
  </w:abstractNum>
  <w:abstractNum w:abstractNumId="3">
    <w:nsid w:val="00000008"/>
    <w:multiLevelType w:val="multilevel"/>
    <w:tmpl w:val="00000008"/>
    <w:lvl w:ilvl="0" w:tentative="0">
      <w:start w:val="3"/>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4">
    <w:nsid w:val="00000009"/>
    <w:multiLevelType w:val="multilevel"/>
    <w:tmpl w:val="00000009"/>
    <w:lvl w:ilvl="0" w:tentative="0">
      <w:start w:val="1"/>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5">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5"/>
    <w:multiLevelType w:val="multilevel"/>
    <w:tmpl w:val="00000025"/>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8"/>
    <w:multiLevelType w:val="singleLevel"/>
    <w:tmpl w:val="00000028"/>
    <w:lvl w:ilvl="0" w:tentative="0">
      <w:start w:val="1"/>
      <w:numFmt w:val="decimal"/>
      <w:pStyle w:val="4"/>
      <w:lvlText w:val="%1."/>
      <w:lvlJc w:val="left"/>
      <w:pPr>
        <w:tabs>
          <w:tab w:val="left" w:pos="425"/>
        </w:tabs>
        <w:ind w:left="425" w:hanging="425"/>
      </w:pPr>
    </w:lvl>
  </w:abstractNum>
  <w:abstractNum w:abstractNumId="9">
    <w:nsid w:val="00000029"/>
    <w:multiLevelType w:val="multilevel"/>
    <w:tmpl w:val="00000029"/>
    <w:lvl w:ilvl="0" w:tentative="0">
      <w:start w:val="2"/>
      <w:numFmt w:val="decimal"/>
      <w:lvlText w:val="%1"/>
      <w:lvlJc w:val="left"/>
      <w:pPr>
        <w:tabs>
          <w:tab w:val="left" w:pos="840"/>
        </w:tabs>
        <w:ind w:left="840" w:hanging="840"/>
      </w:pPr>
      <w:rPr>
        <w:rFonts w:hint="eastAsia"/>
      </w:rPr>
    </w:lvl>
    <w:lvl w:ilvl="1" w:tentative="0">
      <w:start w:val="1"/>
      <w:numFmt w:val="decimal"/>
      <w:lvlText w:val="%1.%2"/>
      <w:lvlJc w:val="left"/>
      <w:pPr>
        <w:tabs>
          <w:tab w:val="left" w:pos="840"/>
        </w:tabs>
        <w:ind w:left="840" w:hanging="840"/>
      </w:pPr>
      <w:rPr>
        <w:rFonts w:hint="eastAsia"/>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840"/>
        </w:tabs>
        <w:ind w:left="840" w:hanging="840"/>
      </w:pPr>
      <w:rPr>
        <w:rFonts w:hint="eastAsia"/>
      </w:rPr>
    </w:lvl>
    <w:lvl w:ilvl="4" w:tentative="0">
      <w:start w:val="1"/>
      <w:numFmt w:val="decimal"/>
      <w:lvlText w:val="%1.%2.%3.%4.%5"/>
      <w:lvlJc w:val="left"/>
      <w:pPr>
        <w:tabs>
          <w:tab w:val="left" w:pos="840"/>
        </w:tabs>
        <w:ind w:left="840" w:hanging="840"/>
      </w:pPr>
      <w:rPr>
        <w:rFonts w:hint="eastAsia"/>
      </w:rPr>
    </w:lvl>
    <w:lvl w:ilvl="5" w:tentative="0">
      <w:start w:val="1"/>
      <w:numFmt w:val="decimal"/>
      <w:lvlText w:val="%1.%2.%3.%4.%5.%6"/>
      <w:lvlJc w:val="left"/>
      <w:pPr>
        <w:tabs>
          <w:tab w:val="left" w:pos="840"/>
        </w:tabs>
        <w:ind w:left="840" w:hanging="840"/>
      </w:pPr>
      <w:rPr>
        <w:rFonts w:hint="eastAsia"/>
      </w:rPr>
    </w:lvl>
    <w:lvl w:ilvl="6" w:tentative="0">
      <w:start w:val="1"/>
      <w:numFmt w:val="decimal"/>
      <w:lvlText w:val="%1.%2.%3.%4.%5.%6.%7"/>
      <w:lvlJc w:val="left"/>
      <w:pPr>
        <w:tabs>
          <w:tab w:val="left" w:pos="840"/>
        </w:tabs>
        <w:ind w:left="840" w:hanging="840"/>
      </w:pPr>
      <w:rPr>
        <w:rFonts w:hint="eastAsia"/>
      </w:rPr>
    </w:lvl>
    <w:lvl w:ilvl="7" w:tentative="0">
      <w:start w:val="1"/>
      <w:numFmt w:val="decimal"/>
      <w:lvlText w:val="%1.%2.%3.%4.%5.%6.%7.%8"/>
      <w:lvlJc w:val="left"/>
      <w:pPr>
        <w:tabs>
          <w:tab w:val="left" w:pos="840"/>
        </w:tabs>
        <w:ind w:left="840" w:hanging="840"/>
      </w:pPr>
      <w:rPr>
        <w:rFonts w:hint="eastAsia"/>
      </w:rPr>
    </w:lvl>
    <w:lvl w:ilvl="8" w:tentative="0">
      <w:start w:val="1"/>
      <w:numFmt w:val="decimal"/>
      <w:lvlText w:val="%1.%2.%3.%4.%5.%6.%7.%8.%9"/>
      <w:lvlJc w:val="left"/>
      <w:pPr>
        <w:tabs>
          <w:tab w:val="left" w:pos="840"/>
        </w:tabs>
        <w:ind w:left="840" w:hanging="840"/>
      </w:pPr>
      <w:rPr>
        <w:rFonts w:hint="eastAsia"/>
      </w:rPr>
    </w:lvl>
  </w:abstractNum>
  <w:abstractNum w:abstractNumId="10">
    <w:nsid w:val="0000002B"/>
    <w:multiLevelType w:val="multilevel"/>
    <w:tmpl w:val="0000002B"/>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C"/>
    <w:multiLevelType w:val="multilevel"/>
    <w:tmpl w:val="0000002C"/>
    <w:lvl w:ilvl="0" w:tentative="0">
      <w:start w:val="1"/>
      <w:numFmt w:val="decimal"/>
      <w:lvlText w:val="%1)"/>
      <w:lvlJc w:val="left"/>
      <w:pPr>
        <w:tabs>
          <w:tab w:val="left" w:pos="1260"/>
        </w:tabs>
        <w:ind w:left="12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6786138"/>
    <w:multiLevelType w:val="multilevel"/>
    <w:tmpl w:val="06786138"/>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07975134"/>
    <w:multiLevelType w:val="multilevel"/>
    <w:tmpl w:val="07975134"/>
    <w:lvl w:ilvl="0" w:tentative="0">
      <w:start w:val="1"/>
      <w:numFmt w:val="decimal"/>
      <w:lvlText w:val="%1）"/>
      <w:lvlJc w:val="left"/>
      <w:pPr>
        <w:ind w:left="189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4">
    <w:nsid w:val="4AB2564F"/>
    <w:multiLevelType w:val="singleLevel"/>
    <w:tmpl w:val="4AB2564F"/>
    <w:lvl w:ilvl="0" w:tentative="0">
      <w:start w:val="1"/>
      <w:numFmt w:val="chineseCounting"/>
      <w:suff w:val="nothing"/>
      <w:lvlText w:val="%1、"/>
      <w:lvlJc w:val="left"/>
      <w:pPr>
        <w:ind w:left="420" w:firstLine="420"/>
      </w:pPr>
      <w:rPr>
        <w:rFonts w:hint="eastAsia"/>
      </w:rPr>
    </w:lvl>
  </w:abstractNum>
  <w:abstractNum w:abstractNumId="15">
    <w:nsid w:val="61D85822"/>
    <w:multiLevelType w:val="multilevel"/>
    <w:tmpl w:val="61D85822"/>
    <w:lvl w:ilvl="0" w:tentative="0">
      <w:start w:val="1"/>
      <w:numFmt w:val="decimal"/>
      <w:lvlText w:val="%1)"/>
      <w:lvlJc w:val="left"/>
      <w:pPr>
        <w:ind w:left="1269" w:hanging="420"/>
      </w:pPr>
    </w:lvl>
    <w:lvl w:ilvl="1" w:tentative="0">
      <w:start w:val="1"/>
      <w:numFmt w:val="lowerLetter"/>
      <w:lvlText w:val="%2)"/>
      <w:lvlJc w:val="left"/>
      <w:pPr>
        <w:ind w:left="1689" w:hanging="420"/>
      </w:pPr>
    </w:lvl>
    <w:lvl w:ilvl="2" w:tentative="0">
      <w:start w:val="1"/>
      <w:numFmt w:val="lowerRoman"/>
      <w:lvlText w:val="%3."/>
      <w:lvlJc w:val="right"/>
      <w:pPr>
        <w:ind w:left="2109" w:hanging="420"/>
      </w:pPr>
    </w:lvl>
    <w:lvl w:ilvl="3" w:tentative="0">
      <w:start w:val="1"/>
      <w:numFmt w:val="decimal"/>
      <w:lvlText w:val="%4)"/>
      <w:lvlJc w:val="left"/>
      <w:pPr>
        <w:ind w:left="2529" w:hanging="420"/>
      </w:pPr>
    </w:lvl>
    <w:lvl w:ilvl="4" w:tentative="0">
      <w:start w:val="1"/>
      <w:numFmt w:val="lowerLetter"/>
      <w:lvlText w:val="%5)"/>
      <w:lvlJc w:val="left"/>
      <w:pPr>
        <w:ind w:left="2949" w:hanging="420"/>
      </w:pPr>
    </w:lvl>
    <w:lvl w:ilvl="5" w:tentative="0">
      <w:start w:val="1"/>
      <w:numFmt w:val="lowerRoman"/>
      <w:lvlText w:val="%6."/>
      <w:lvlJc w:val="right"/>
      <w:pPr>
        <w:ind w:left="3369" w:hanging="420"/>
      </w:pPr>
    </w:lvl>
    <w:lvl w:ilvl="6" w:tentative="0">
      <w:start w:val="1"/>
      <w:numFmt w:val="decimal"/>
      <w:lvlText w:val="%7."/>
      <w:lvlJc w:val="left"/>
      <w:pPr>
        <w:ind w:left="3789" w:hanging="420"/>
      </w:pPr>
    </w:lvl>
    <w:lvl w:ilvl="7" w:tentative="0">
      <w:start w:val="1"/>
      <w:numFmt w:val="lowerLetter"/>
      <w:lvlText w:val="%8)"/>
      <w:lvlJc w:val="left"/>
      <w:pPr>
        <w:ind w:left="4209" w:hanging="420"/>
      </w:pPr>
    </w:lvl>
    <w:lvl w:ilvl="8" w:tentative="0">
      <w:start w:val="1"/>
      <w:numFmt w:val="lowerRoman"/>
      <w:lvlText w:val="%9."/>
      <w:lvlJc w:val="right"/>
      <w:pPr>
        <w:ind w:left="4629" w:hanging="420"/>
      </w:pPr>
    </w:lvl>
  </w:abstractNum>
  <w:abstractNum w:abstractNumId="16">
    <w:nsid w:val="6D170546"/>
    <w:multiLevelType w:val="singleLevel"/>
    <w:tmpl w:val="6D170546"/>
    <w:lvl w:ilvl="0" w:tentative="0">
      <w:start w:val="1"/>
      <w:numFmt w:val="decimal"/>
      <w:lvlText w:val="%1)"/>
      <w:lvlJc w:val="left"/>
      <w:pPr>
        <w:ind w:left="1265" w:hanging="425"/>
      </w:pPr>
      <w:rPr>
        <w:rFonts w:hint="default"/>
      </w:rPr>
    </w:lvl>
  </w:abstractNum>
  <w:abstractNum w:abstractNumId="17">
    <w:nsid w:val="6F6D67F5"/>
    <w:multiLevelType w:val="multilevel"/>
    <w:tmpl w:val="6F6D67F5"/>
    <w:lvl w:ilvl="0" w:tentative="0">
      <w:start w:val="1"/>
      <w:numFmt w:val="decimal"/>
      <w:lvlText w:val="%1)"/>
      <w:lvlJc w:val="left"/>
      <w:pPr>
        <w:ind w:left="205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13"/>
  </w:num>
  <w:num w:numId="4">
    <w:abstractNumId w:val="10"/>
  </w:num>
  <w:num w:numId="5">
    <w:abstractNumId w:val="6"/>
  </w:num>
  <w:num w:numId="6">
    <w:abstractNumId w:val="1"/>
  </w:num>
  <w:num w:numId="7">
    <w:abstractNumId w:val="4"/>
  </w:num>
  <w:num w:numId="8">
    <w:abstractNumId w:val="9"/>
  </w:num>
  <w:num w:numId="9">
    <w:abstractNumId w:val="3"/>
  </w:num>
  <w:num w:numId="10">
    <w:abstractNumId w:val="15"/>
  </w:num>
  <w:num w:numId="11">
    <w:abstractNumId w:val="12"/>
  </w:num>
  <w:num w:numId="12">
    <w:abstractNumId w:val="11"/>
  </w:num>
  <w:num w:numId="13">
    <w:abstractNumId w:val="0"/>
  </w:num>
  <w:num w:numId="14">
    <w:abstractNumId w:val="7"/>
  </w:num>
  <w:num w:numId="15">
    <w:abstractNumId w:val="16"/>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060A1"/>
    <w:rsid w:val="000111A7"/>
    <w:rsid w:val="00024BC4"/>
    <w:rsid w:val="000921E7"/>
    <w:rsid w:val="0017563B"/>
    <w:rsid w:val="00966462"/>
    <w:rsid w:val="00C4363C"/>
    <w:rsid w:val="018407B8"/>
    <w:rsid w:val="01AF2CC5"/>
    <w:rsid w:val="01B61AD6"/>
    <w:rsid w:val="01DD4CE1"/>
    <w:rsid w:val="02171B57"/>
    <w:rsid w:val="021827F9"/>
    <w:rsid w:val="02415DE2"/>
    <w:rsid w:val="02A62E22"/>
    <w:rsid w:val="02F32FFD"/>
    <w:rsid w:val="03E5735E"/>
    <w:rsid w:val="042028D8"/>
    <w:rsid w:val="044F371B"/>
    <w:rsid w:val="049C407A"/>
    <w:rsid w:val="04B901B3"/>
    <w:rsid w:val="04C739B1"/>
    <w:rsid w:val="04EE071B"/>
    <w:rsid w:val="051228A1"/>
    <w:rsid w:val="053757CE"/>
    <w:rsid w:val="056528A0"/>
    <w:rsid w:val="05A54A1D"/>
    <w:rsid w:val="05B87C4C"/>
    <w:rsid w:val="05D55F5B"/>
    <w:rsid w:val="06794EB8"/>
    <w:rsid w:val="06833F03"/>
    <w:rsid w:val="06895A9D"/>
    <w:rsid w:val="069D4CD2"/>
    <w:rsid w:val="06A56C1F"/>
    <w:rsid w:val="06FA65BD"/>
    <w:rsid w:val="07610337"/>
    <w:rsid w:val="07A44DD1"/>
    <w:rsid w:val="08412BFF"/>
    <w:rsid w:val="086520FA"/>
    <w:rsid w:val="088A5613"/>
    <w:rsid w:val="089B620C"/>
    <w:rsid w:val="08E04F99"/>
    <w:rsid w:val="09147AE3"/>
    <w:rsid w:val="091A24E2"/>
    <w:rsid w:val="093878B8"/>
    <w:rsid w:val="098720B4"/>
    <w:rsid w:val="09A21315"/>
    <w:rsid w:val="0A1C2B44"/>
    <w:rsid w:val="0A200589"/>
    <w:rsid w:val="0A5521DF"/>
    <w:rsid w:val="0A5E7FEC"/>
    <w:rsid w:val="0A6F6E9F"/>
    <w:rsid w:val="0A8D58CB"/>
    <w:rsid w:val="0AC15A95"/>
    <w:rsid w:val="0B320333"/>
    <w:rsid w:val="0B57165F"/>
    <w:rsid w:val="0B88243F"/>
    <w:rsid w:val="0C346536"/>
    <w:rsid w:val="0C4323EB"/>
    <w:rsid w:val="0C4A0699"/>
    <w:rsid w:val="0C6758B8"/>
    <w:rsid w:val="0C7173FB"/>
    <w:rsid w:val="0D665F82"/>
    <w:rsid w:val="0D6C4AD4"/>
    <w:rsid w:val="0D8059F1"/>
    <w:rsid w:val="0D8679FD"/>
    <w:rsid w:val="0D97380A"/>
    <w:rsid w:val="0DA54638"/>
    <w:rsid w:val="0DB112A0"/>
    <w:rsid w:val="0DCA3C5C"/>
    <w:rsid w:val="0DD63734"/>
    <w:rsid w:val="0E4638A9"/>
    <w:rsid w:val="0E6550D4"/>
    <w:rsid w:val="0E835F7C"/>
    <w:rsid w:val="0EF9492A"/>
    <w:rsid w:val="0F496EE5"/>
    <w:rsid w:val="0F4E1B30"/>
    <w:rsid w:val="0F5677E6"/>
    <w:rsid w:val="1130320A"/>
    <w:rsid w:val="1134680B"/>
    <w:rsid w:val="11946CEC"/>
    <w:rsid w:val="119E78E0"/>
    <w:rsid w:val="11C756A3"/>
    <w:rsid w:val="12590610"/>
    <w:rsid w:val="12CE7CE8"/>
    <w:rsid w:val="137603EF"/>
    <w:rsid w:val="13A10A77"/>
    <w:rsid w:val="13A31959"/>
    <w:rsid w:val="13B644CC"/>
    <w:rsid w:val="13C5531F"/>
    <w:rsid w:val="13DA0241"/>
    <w:rsid w:val="13DA7CBB"/>
    <w:rsid w:val="13DE15C8"/>
    <w:rsid w:val="14853BDB"/>
    <w:rsid w:val="149A5E74"/>
    <w:rsid w:val="14AD3C0D"/>
    <w:rsid w:val="15864230"/>
    <w:rsid w:val="15C425C1"/>
    <w:rsid w:val="15FC3D90"/>
    <w:rsid w:val="15FD6F15"/>
    <w:rsid w:val="16C11DD8"/>
    <w:rsid w:val="16D45D44"/>
    <w:rsid w:val="16DA2ECB"/>
    <w:rsid w:val="175A1377"/>
    <w:rsid w:val="177D24A9"/>
    <w:rsid w:val="17A06FA0"/>
    <w:rsid w:val="17A8004F"/>
    <w:rsid w:val="17AB4EC7"/>
    <w:rsid w:val="18343A33"/>
    <w:rsid w:val="184C4F5F"/>
    <w:rsid w:val="18757EB8"/>
    <w:rsid w:val="187A2607"/>
    <w:rsid w:val="18C4044B"/>
    <w:rsid w:val="18D33ED2"/>
    <w:rsid w:val="1913389F"/>
    <w:rsid w:val="1962096A"/>
    <w:rsid w:val="19D372AF"/>
    <w:rsid w:val="19D7297D"/>
    <w:rsid w:val="1A4F6346"/>
    <w:rsid w:val="1A800D0C"/>
    <w:rsid w:val="1A8514F3"/>
    <w:rsid w:val="1A935B05"/>
    <w:rsid w:val="1A974606"/>
    <w:rsid w:val="1AB21757"/>
    <w:rsid w:val="1AB924F6"/>
    <w:rsid w:val="1B0748AB"/>
    <w:rsid w:val="1B0B4977"/>
    <w:rsid w:val="1B124293"/>
    <w:rsid w:val="1B1A1042"/>
    <w:rsid w:val="1B34511D"/>
    <w:rsid w:val="1B393E13"/>
    <w:rsid w:val="1B776ABA"/>
    <w:rsid w:val="1B7C1726"/>
    <w:rsid w:val="1BC97B7B"/>
    <w:rsid w:val="1BEE6A0F"/>
    <w:rsid w:val="1C094B32"/>
    <w:rsid w:val="1C5728EA"/>
    <w:rsid w:val="1C6B3678"/>
    <w:rsid w:val="1C7B1152"/>
    <w:rsid w:val="1C9E4A57"/>
    <w:rsid w:val="1C9E750C"/>
    <w:rsid w:val="1CB04C8F"/>
    <w:rsid w:val="1CFD0638"/>
    <w:rsid w:val="1D2869A8"/>
    <w:rsid w:val="1DD03480"/>
    <w:rsid w:val="1DD15070"/>
    <w:rsid w:val="1DFA285A"/>
    <w:rsid w:val="1EA66A68"/>
    <w:rsid w:val="1F1B7B0D"/>
    <w:rsid w:val="1F5502C0"/>
    <w:rsid w:val="1F874D9E"/>
    <w:rsid w:val="1F9826CC"/>
    <w:rsid w:val="1FE91204"/>
    <w:rsid w:val="207942C9"/>
    <w:rsid w:val="20D44E59"/>
    <w:rsid w:val="213F7F1D"/>
    <w:rsid w:val="218F29C6"/>
    <w:rsid w:val="21A83C43"/>
    <w:rsid w:val="21CF68D2"/>
    <w:rsid w:val="21D549BD"/>
    <w:rsid w:val="21E41019"/>
    <w:rsid w:val="220D7774"/>
    <w:rsid w:val="22262DC3"/>
    <w:rsid w:val="222C51E9"/>
    <w:rsid w:val="22490118"/>
    <w:rsid w:val="22723EA5"/>
    <w:rsid w:val="227C2EA9"/>
    <w:rsid w:val="227C320E"/>
    <w:rsid w:val="22A61750"/>
    <w:rsid w:val="22B30A0D"/>
    <w:rsid w:val="22E05C2A"/>
    <w:rsid w:val="2307687B"/>
    <w:rsid w:val="23492B78"/>
    <w:rsid w:val="23FB7A24"/>
    <w:rsid w:val="24301C4D"/>
    <w:rsid w:val="24350D4C"/>
    <w:rsid w:val="248C376C"/>
    <w:rsid w:val="24E462BD"/>
    <w:rsid w:val="253B44EE"/>
    <w:rsid w:val="25476202"/>
    <w:rsid w:val="25482641"/>
    <w:rsid w:val="257D6E2D"/>
    <w:rsid w:val="25B50579"/>
    <w:rsid w:val="25BC6BC9"/>
    <w:rsid w:val="25F73CEA"/>
    <w:rsid w:val="2652496D"/>
    <w:rsid w:val="269D44A3"/>
    <w:rsid w:val="26A009F8"/>
    <w:rsid w:val="26CB4EB5"/>
    <w:rsid w:val="27127B32"/>
    <w:rsid w:val="27444B3A"/>
    <w:rsid w:val="27840E7B"/>
    <w:rsid w:val="27B34104"/>
    <w:rsid w:val="27DF5314"/>
    <w:rsid w:val="28575045"/>
    <w:rsid w:val="28947DE5"/>
    <w:rsid w:val="28AE23A3"/>
    <w:rsid w:val="28BD38A0"/>
    <w:rsid w:val="28FC5036"/>
    <w:rsid w:val="29183108"/>
    <w:rsid w:val="295C7CAF"/>
    <w:rsid w:val="29A04DD0"/>
    <w:rsid w:val="29EF3473"/>
    <w:rsid w:val="2A2A46F1"/>
    <w:rsid w:val="2A3C21DB"/>
    <w:rsid w:val="2A3F7421"/>
    <w:rsid w:val="2A834B18"/>
    <w:rsid w:val="2A8E5BCE"/>
    <w:rsid w:val="2ADD6104"/>
    <w:rsid w:val="2AFA67C7"/>
    <w:rsid w:val="2B38714C"/>
    <w:rsid w:val="2BA754A1"/>
    <w:rsid w:val="2BCD05D3"/>
    <w:rsid w:val="2C1D3F63"/>
    <w:rsid w:val="2C552ED7"/>
    <w:rsid w:val="2C976181"/>
    <w:rsid w:val="2CAA68B4"/>
    <w:rsid w:val="2CCA5024"/>
    <w:rsid w:val="2CD758DB"/>
    <w:rsid w:val="2CE81DA7"/>
    <w:rsid w:val="2D802552"/>
    <w:rsid w:val="2DC715D5"/>
    <w:rsid w:val="2E061D56"/>
    <w:rsid w:val="2E1C0703"/>
    <w:rsid w:val="2EB12EDA"/>
    <w:rsid w:val="2EBC292B"/>
    <w:rsid w:val="2F1B2EEC"/>
    <w:rsid w:val="2F3678F1"/>
    <w:rsid w:val="2F5E26A8"/>
    <w:rsid w:val="2F715C0C"/>
    <w:rsid w:val="2F833068"/>
    <w:rsid w:val="2FCE01AF"/>
    <w:rsid w:val="2FFB10AB"/>
    <w:rsid w:val="30937ACD"/>
    <w:rsid w:val="30B83FAC"/>
    <w:rsid w:val="30DF37AA"/>
    <w:rsid w:val="30E97183"/>
    <w:rsid w:val="310E7108"/>
    <w:rsid w:val="31115F0A"/>
    <w:rsid w:val="31137EBE"/>
    <w:rsid w:val="313E2906"/>
    <w:rsid w:val="31547D1B"/>
    <w:rsid w:val="31670653"/>
    <w:rsid w:val="32063ED8"/>
    <w:rsid w:val="326B2DB7"/>
    <w:rsid w:val="32987FD8"/>
    <w:rsid w:val="32A06A29"/>
    <w:rsid w:val="32D620F5"/>
    <w:rsid w:val="334F7BCE"/>
    <w:rsid w:val="337569EE"/>
    <w:rsid w:val="33A377CE"/>
    <w:rsid w:val="34304816"/>
    <w:rsid w:val="348A53CC"/>
    <w:rsid w:val="35013C74"/>
    <w:rsid w:val="35560307"/>
    <w:rsid w:val="355D6883"/>
    <w:rsid w:val="35A4785A"/>
    <w:rsid w:val="35B3221F"/>
    <w:rsid w:val="35BD4037"/>
    <w:rsid w:val="35FC3D63"/>
    <w:rsid w:val="363F283F"/>
    <w:rsid w:val="365A0A22"/>
    <w:rsid w:val="368B3C96"/>
    <w:rsid w:val="373945AD"/>
    <w:rsid w:val="37401F26"/>
    <w:rsid w:val="379A189C"/>
    <w:rsid w:val="37AD6DD6"/>
    <w:rsid w:val="382D01FD"/>
    <w:rsid w:val="38ED5B18"/>
    <w:rsid w:val="39116CAB"/>
    <w:rsid w:val="39150DE4"/>
    <w:rsid w:val="3935716C"/>
    <w:rsid w:val="399B6061"/>
    <w:rsid w:val="39F50A06"/>
    <w:rsid w:val="3A454740"/>
    <w:rsid w:val="3A727FBD"/>
    <w:rsid w:val="3A7A0E14"/>
    <w:rsid w:val="3B12324C"/>
    <w:rsid w:val="3B734C48"/>
    <w:rsid w:val="3BAC42E9"/>
    <w:rsid w:val="3BAE668B"/>
    <w:rsid w:val="3BC741CA"/>
    <w:rsid w:val="3C0E329E"/>
    <w:rsid w:val="3CB40276"/>
    <w:rsid w:val="3D862F7D"/>
    <w:rsid w:val="3D8C00B0"/>
    <w:rsid w:val="3D9B7345"/>
    <w:rsid w:val="3E1105ED"/>
    <w:rsid w:val="3E2B7339"/>
    <w:rsid w:val="3E3F5E01"/>
    <w:rsid w:val="3E7B0970"/>
    <w:rsid w:val="3F0B20A0"/>
    <w:rsid w:val="3F13273A"/>
    <w:rsid w:val="3F1B38A1"/>
    <w:rsid w:val="3F272E28"/>
    <w:rsid w:val="3FE50898"/>
    <w:rsid w:val="3FF643FC"/>
    <w:rsid w:val="40153CCF"/>
    <w:rsid w:val="40240495"/>
    <w:rsid w:val="404060A1"/>
    <w:rsid w:val="41125AEF"/>
    <w:rsid w:val="41340B61"/>
    <w:rsid w:val="41654270"/>
    <w:rsid w:val="419C2C4B"/>
    <w:rsid w:val="41F400DD"/>
    <w:rsid w:val="42011C7E"/>
    <w:rsid w:val="425E0EEB"/>
    <w:rsid w:val="428F1F39"/>
    <w:rsid w:val="42EC26D1"/>
    <w:rsid w:val="4321092F"/>
    <w:rsid w:val="43365275"/>
    <w:rsid w:val="435A2C27"/>
    <w:rsid w:val="442B5B73"/>
    <w:rsid w:val="442F1032"/>
    <w:rsid w:val="446F64EB"/>
    <w:rsid w:val="44B34A4A"/>
    <w:rsid w:val="44EC0EE7"/>
    <w:rsid w:val="45092929"/>
    <w:rsid w:val="45111763"/>
    <w:rsid w:val="458E4F4B"/>
    <w:rsid w:val="45AE2CFB"/>
    <w:rsid w:val="45BC0A93"/>
    <w:rsid w:val="45CF21F4"/>
    <w:rsid w:val="45E22791"/>
    <w:rsid w:val="45FC4175"/>
    <w:rsid w:val="46391603"/>
    <w:rsid w:val="46554490"/>
    <w:rsid w:val="467739CB"/>
    <w:rsid w:val="46BE5117"/>
    <w:rsid w:val="46F95F68"/>
    <w:rsid w:val="476739FD"/>
    <w:rsid w:val="47A923FB"/>
    <w:rsid w:val="48116495"/>
    <w:rsid w:val="48116EE3"/>
    <w:rsid w:val="481C783F"/>
    <w:rsid w:val="483433A9"/>
    <w:rsid w:val="48556E48"/>
    <w:rsid w:val="486842B4"/>
    <w:rsid w:val="489E2C92"/>
    <w:rsid w:val="48F30A06"/>
    <w:rsid w:val="49041ED6"/>
    <w:rsid w:val="490B6FA6"/>
    <w:rsid w:val="49301F2A"/>
    <w:rsid w:val="495C0BC9"/>
    <w:rsid w:val="495D6AD1"/>
    <w:rsid w:val="49625390"/>
    <w:rsid w:val="49C31825"/>
    <w:rsid w:val="4A661143"/>
    <w:rsid w:val="4A734CF0"/>
    <w:rsid w:val="4A9F75F6"/>
    <w:rsid w:val="4ABE30B7"/>
    <w:rsid w:val="4AEE6CD2"/>
    <w:rsid w:val="4B2538F4"/>
    <w:rsid w:val="4B7F133D"/>
    <w:rsid w:val="4BA25125"/>
    <w:rsid w:val="4BB829AC"/>
    <w:rsid w:val="4BD06BAC"/>
    <w:rsid w:val="4BEE2737"/>
    <w:rsid w:val="4BEF5011"/>
    <w:rsid w:val="4C041D1D"/>
    <w:rsid w:val="4C5F7DBA"/>
    <w:rsid w:val="4C626C29"/>
    <w:rsid w:val="4CC63096"/>
    <w:rsid w:val="4D97375D"/>
    <w:rsid w:val="4E041B8D"/>
    <w:rsid w:val="4E7E39A8"/>
    <w:rsid w:val="4F7E649A"/>
    <w:rsid w:val="4FA12B47"/>
    <w:rsid w:val="4FC37573"/>
    <w:rsid w:val="4FDD7A46"/>
    <w:rsid w:val="507077DF"/>
    <w:rsid w:val="50FC661D"/>
    <w:rsid w:val="51710700"/>
    <w:rsid w:val="51E617B3"/>
    <w:rsid w:val="52096469"/>
    <w:rsid w:val="525B297D"/>
    <w:rsid w:val="52AF23A4"/>
    <w:rsid w:val="53045823"/>
    <w:rsid w:val="538E711C"/>
    <w:rsid w:val="54445922"/>
    <w:rsid w:val="547E6C96"/>
    <w:rsid w:val="54A00FB6"/>
    <w:rsid w:val="55176F96"/>
    <w:rsid w:val="55667FEF"/>
    <w:rsid w:val="560C58D3"/>
    <w:rsid w:val="56372C0B"/>
    <w:rsid w:val="563814FE"/>
    <w:rsid w:val="56441DBC"/>
    <w:rsid w:val="5649717B"/>
    <w:rsid w:val="56677EDD"/>
    <w:rsid w:val="56897939"/>
    <w:rsid w:val="57172204"/>
    <w:rsid w:val="57393332"/>
    <w:rsid w:val="573E0D74"/>
    <w:rsid w:val="57E623B5"/>
    <w:rsid w:val="57F5393A"/>
    <w:rsid w:val="58020B48"/>
    <w:rsid w:val="5813413D"/>
    <w:rsid w:val="58677925"/>
    <w:rsid w:val="58A16667"/>
    <w:rsid w:val="58F274BD"/>
    <w:rsid w:val="597730B6"/>
    <w:rsid w:val="59BA0DDC"/>
    <w:rsid w:val="59CB3CAE"/>
    <w:rsid w:val="5A3247BE"/>
    <w:rsid w:val="5A332212"/>
    <w:rsid w:val="5A465FB8"/>
    <w:rsid w:val="5A521D95"/>
    <w:rsid w:val="5A55645D"/>
    <w:rsid w:val="5AA30D13"/>
    <w:rsid w:val="5AA3316D"/>
    <w:rsid w:val="5B1C16ED"/>
    <w:rsid w:val="5B553270"/>
    <w:rsid w:val="5B72674F"/>
    <w:rsid w:val="5B7662D9"/>
    <w:rsid w:val="5B7B6451"/>
    <w:rsid w:val="5B8229A7"/>
    <w:rsid w:val="5B86286E"/>
    <w:rsid w:val="5C5F4D55"/>
    <w:rsid w:val="5C665F26"/>
    <w:rsid w:val="5C7D6D48"/>
    <w:rsid w:val="5C99669E"/>
    <w:rsid w:val="5CD053D5"/>
    <w:rsid w:val="5D4701AE"/>
    <w:rsid w:val="5D486A91"/>
    <w:rsid w:val="5D770CB1"/>
    <w:rsid w:val="5E6A2FBA"/>
    <w:rsid w:val="5EE511A9"/>
    <w:rsid w:val="5EFC60CA"/>
    <w:rsid w:val="5F0B738B"/>
    <w:rsid w:val="5FA61AC3"/>
    <w:rsid w:val="5FB628F9"/>
    <w:rsid w:val="5FE258A1"/>
    <w:rsid w:val="6049591B"/>
    <w:rsid w:val="604B211B"/>
    <w:rsid w:val="6122539B"/>
    <w:rsid w:val="61575901"/>
    <w:rsid w:val="61720761"/>
    <w:rsid w:val="6180128B"/>
    <w:rsid w:val="61C66ECB"/>
    <w:rsid w:val="61E549CF"/>
    <w:rsid w:val="623876A4"/>
    <w:rsid w:val="6293633F"/>
    <w:rsid w:val="62964146"/>
    <w:rsid w:val="62AD62FB"/>
    <w:rsid w:val="63C23CA8"/>
    <w:rsid w:val="63CD6A0A"/>
    <w:rsid w:val="63FA5C27"/>
    <w:rsid w:val="64152EF4"/>
    <w:rsid w:val="64271335"/>
    <w:rsid w:val="644A5B2F"/>
    <w:rsid w:val="64856CEA"/>
    <w:rsid w:val="652F539F"/>
    <w:rsid w:val="6592233D"/>
    <w:rsid w:val="65BF0259"/>
    <w:rsid w:val="65CF0037"/>
    <w:rsid w:val="66240F0E"/>
    <w:rsid w:val="66494A17"/>
    <w:rsid w:val="66A66E8B"/>
    <w:rsid w:val="66C81476"/>
    <w:rsid w:val="66EF1675"/>
    <w:rsid w:val="66FC6E0F"/>
    <w:rsid w:val="675B69AC"/>
    <w:rsid w:val="67725126"/>
    <w:rsid w:val="67D9164A"/>
    <w:rsid w:val="681225E1"/>
    <w:rsid w:val="6825031C"/>
    <w:rsid w:val="68427284"/>
    <w:rsid w:val="68AA2CFA"/>
    <w:rsid w:val="68FB5EC6"/>
    <w:rsid w:val="68FE3654"/>
    <w:rsid w:val="693A4124"/>
    <w:rsid w:val="696B78F6"/>
    <w:rsid w:val="69BB477E"/>
    <w:rsid w:val="69CE1752"/>
    <w:rsid w:val="6B1A18FE"/>
    <w:rsid w:val="6B1B5ED4"/>
    <w:rsid w:val="6B254174"/>
    <w:rsid w:val="6B2C38CF"/>
    <w:rsid w:val="6B4C23A0"/>
    <w:rsid w:val="6B603684"/>
    <w:rsid w:val="6B7200F5"/>
    <w:rsid w:val="6BE64246"/>
    <w:rsid w:val="6BFE271D"/>
    <w:rsid w:val="6BFF675D"/>
    <w:rsid w:val="6C27478B"/>
    <w:rsid w:val="6C935CFE"/>
    <w:rsid w:val="6CF5526E"/>
    <w:rsid w:val="6D5B3F39"/>
    <w:rsid w:val="6D692AB8"/>
    <w:rsid w:val="6D80330F"/>
    <w:rsid w:val="6D9A314D"/>
    <w:rsid w:val="6DDD3ECC"/>
    <w:rsid w:val="6DED127F"/>
    <w:rsid w:val="6E023D74"/>
    <w:rsid w:val="6E3E3A9C"/>
    <w:rsid w:val="6E5A5E82"/>
    <w:rsid w:val="6E923C59"/>
    <w:rsid w:val="6E96296E"/>
    <w:rsid w:val="6ED72F0F"/>
    <w:rsid w:val="6F461902"/>
    <w:rsid w:val="6F625FE8"/>
    <w:rsid w:val="6F9A5B2F"/>
    <w:rsid w:val="6FC8148F"/>
    <w:rsid w:val="6FFD78C2"/>
    <w:rsid w:val="702E0DFC"/>
    <w:rsid w:val="70603447"/>
    <w:rsid w:val="709108CA"/>
    <w:rsid w:val="71424F7F"/>
    <w:rsid w:val="71A532D1"/>
    <w:rsid w:val="71E57CD4"/>
    <w:rsid w:val="72277471"/>
    <w:rsid w:val="7285330E"/>
    <w:rsid w:val="72AC0751"/>
    <w:rsid w:val="72E30550"/>
    <w:rsid w:val="732852CD"/>
    <w:rsid w:val="733E16D6"/>
    <w:rsid w:val="734A2F98"/>
    <w:rsid w:val="7367105D"/>
    <w:rsid w:val="73692CBE"/>
    <w:rsid w:val="739857FD"/>
    <w:rsid w:val="73F16925"/>
    <w:rsid w:val="74A54E65"/>
    <w:rsid w:val="74CD0282"/>
    <w:rsid w:val="74D61977"/>
    <w:rsid w:val="74E639D7"/>
    <w:rsid w:val="74EE75F8"/>
    <w:rsid w:val="752F0C99"/>
    <w:rsid w:val="7542453C"/>
    <w:rsid w:val="755D211B"/>
    <w:rsid w:val="758E3229"/>
    <w:rsid w:val="75E67F5B"/>
    <w:rsid w:val="764E1676"/>
    <w:rsid w:val="76603B74"/>
    <w:rsid w:val="76694826"/>
    <w:rsid w:val="76A47CA7"/>
    <w:rsid w:val="76C15AC5"/>
    <w:rsid w:val="778279E8"/>
    <w:rsid w:val="78312299"/>
    <w:rsid w:val="783C32D2"/>
    <w:rsid w:val="784A6952"/>
    <w:rsid w:val="785052C7"/>
    <w:rsid w:val="78702D50"/>
    <w:rsid w:val="7888103D"/>
    <w:rsid w:val="78994303"/>
    <w:rsid w:val="78ED090D"/>
    <w:rsid w:val="78F359CE"/>
    <w:rsid w:val="790C1FCA"/>
    <w:rsid w:val="79644DB5"/>
    <w:rsid w:val="79DF516F"/>
    <w:rsid w:val="7A924C52"/>
    <w:rsid w:val="7B0009E1"/>
    <w:rsid w:val="7B0D7AE3"/>
    <w:rsid w:val="7B7A1F20"/>
    <w:rsid w:val="7BB062DA"/>
    <w:rsid w:val="7C1174BF"/>
    <w:rsid w:val="7C3913F3"/>
    <w:rsid w:val="7C420FAB"/>
    <w:rsid w:val="7C4F31FA"/>
    <w:rsid w:val="7C863147"/>
    <w:rsid w:val="7CE5325A"/>
    <w:rsid w:val="7D3927BD"/>
    <w:rsid w:val="7D734B6C"/>
    <w:rsid w:val="7D801E01"/>
    <w:rsid w:val="7DA66605"/>
    <w:rsid w:val="7DBC5609"/>
    <w:rsid w:val="7DF125F5"/>
    <w:rsid w:val="7E6B78E7"/>
    <w:rsid w:val="7EF22CC1"/>
    <w:rsid w:val="7F146F2D"/>
    <w:rsid w:val="7F23156F"/>
    <w:rsid w:val="7FB57F5B"/>
    <w:rsid w:val="7FCA27A8"/>
    <w:rsid w:val="7FEA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textAlignment w:val="center"/>
      <w:outlineLvl w:val="0"/>
    </w:pPr>
    <w:rPr>
      <w:b/>
      <w:kern w:val="44"/>
      <w:sz w:val="44"/>
    </w:rPr>
  </w:style>
  <w:style w:type="paragraph" w:styleId="4">
    <w:name w:val="heading 2"/>
    <w:basedOn w:val="1"/>
    <w:next w:val="5"/>
    <w:qFormat/>
    <w:uiPriority w:val="0"/>
    <w:pPr>
      <w:keepNext/>
      <w:keepLines/>
      <w:numPr>
        <w:ilvl w:val="0"/>
        <w:numId w:val="1"/>
      </w:numPr>
      <w:spacing w:before="260" w:after="260" w:line="416" w:lineRule="auto"/>
      <w:outlineLvl w:val="1"/>
    </w:pPr>
    <w:rPr>
      <w:rFonts w:ascii="Arial" w:hAnsi="Arial" w:eastAsia="黑体"/>
      <w:b/>
      <w:sz w:val="24"/>
    </w:rPr>
  </w:style>
  <w:style w:type="paragraph" w:styleId="6">
    <w:name w:val="heading 3"/>
    <w:basedOn w:val="1"/>
    <w:next w:val="1"/>
    <w:qFormat/>
    <w:uiPriority w:val="0"/>
    <w:pPr>
      <w:keepNext/>
      <w:keepLines/>
      <w:autoSpaceDE w:val="0"/>
      <w:autoSpaceDN w:val="0"/>
      <w:adjustRightInd w:val="0"/>
      <w:snapToGrid w:val="0"/>
      <w:spacing w:before="360" w:beforeLines="0" w:after="260" w:afterLines="0"/>
      <w:jc w:val="left"/>
      <w:textAlignment w:val="baseline"/>
      <w:outlineLvl w:val="2"/>
    </w:pPr>
    <w:rPr>
      <w:rFonts w:ascii="Arial" w:hAnsi="Arial" w:cs="Arial"/>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Arial" w:hAnsi="Arial"/>
      <w:color w:val="000000"/>
      <w:szCs w:val="24"/>
    </w:rPr>
  </w:style>
  <w:style w:type="paragraph" w:styleId="5">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Indent"/>
    <w:basedOn w:val="1"/>
    <w:qFormat/>
    <w:uiPriority w:val="0"/>
    <w:pPr>
      <w:ind w:left="54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tabs>
        <w:tab w:val="right" w:pos="8494"/>
      </w:tabs>
      <w:spacing w:before="120" w:beforeLines="0" w:after="120" w:afterLines="0"/>
      <w:jc w:val="left"/>
    </w:pPr>
    <w:rPr>
      <w:rFonts w:ascii="宋体" w:hAnsi="宋体" w:eastAsia="黑体"/>
      <w:b/>
      <w:bCs/>
      <w:caps/>
      <w:szCs w:val="21"/>
    </w:rPr>
  </w:style>
  <w:style w:type="paragraph" w:styleId="13">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99"/>
    <w:rPr>
      <w:color w:val="0000FF"/>
      <w:u w:val="single"/>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列表段落1"/>
    <w:basedOn w:val="1"/>
    <w:qFormat/>
    <w:uiPriority w:val="0"/>
    <w:pPr>
      <w:ind w:firstLine="420" w:firstLineChars="200"/>
    </w:pPr>
    <w:rPr>
      <w:rFonts w:ascii="Calibri" w:hAnsi="Calibri"/>
    </w:rPr>
  </w:style>
  <w:style w:type="paragraph" w:customStyle="1" w:styleId="21">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rPr>
  </w:style>
  <w:style w:type="character" w:customStyle="1" w:styleId="22">
    <w:name w:val="fontp1"/>
    <w:qFormat/>
    <w:uiPriority w:val="0"/>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8.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2021-09-03T08:34:00Z</dcterms:created>
  <dc:creator>谭卓</dc:creator>
  <cp:lastModifiedBy>wewewefvfbfbbsdf</cp:lastModifiedBy>
  <dcterms:modified xsi:type="dcterms:W3CDTF">2021-09-10T07:04:46Z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