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outlineLvl w:val="0"/>
        <w:rPr>
          <w:rFonts w:hint="eastAsia"/>
          <w:b/>
          <w:sz w:val="40"/>
          <w:szCs w:val="40"/>
          <w:highlight w:val="none"/>
        </w:rPr>
      </w:pPr>
      <w:r>
        <w:rPr>
          <w:rFonts w:hint="eastAsia"/>
          <w:b/>
          <w:sz w:val="40"/>
          <w:szCs w:val="40"/>
          <w:highlight w:val="none"/>
        </w:rPr>
        <w:t>广州白云国际机场P2交通综合体工程</w:t>
      </w:r>
    </w:p>
    <w:p>
      <w:pPr>
        <w:spacing w:line="312" w:lineRule="auto"/>
        <w:jc w:val="center"/>
        <w:outlineLvl w:val="0"/>
        <w:rPr>
          <w:rFonts w:hint="eastAsia"/>
          <w:b/>
          <w:sz w:val="40"/>
          <w:szCs w:val="40"/>
          <w:highlight w:val="none"/>
          <w:lang w:val="en-US" w:eastAsia="zh-CN"/>
        </w:rPr>
      </w:pPr>
      <w:r>
        <w:rPr>
          <w:rFonts w:hint="eastAsia"/>
          <w:b/>
          <w:sz w:val="40"/>
          <w:szCs w:val="40"/>
          <w:highlight w:val="none"/>
        </w:rPr>
        <w:t>地铁保护监控服务</w:t>
      </w:r>
      <w:r>
        <w:rPr>
          <w:rFonts w:hint="eastAsia"/>
          <w:b/>
          <w:sz w:val="40"/>
          <w:szCs w:val="40"/>
          <w:highlight w:val="none"/>
          <w:lang w:val="en-US" w:eastAsia="zh-CN"/>
        </w:rPr>
        <w:t>综合评审</w:t>
      </w:r>
    </w:p>
    <w:p>
      <w:pPr>
        <w:pStyle w:val="2"/>
        <w:rPr>
          <w:rFonts w:hint="default"/>
          <w:lang w:val="en-US" w:eastAsia="zh-CN"/>
        </w:rPr>
      </w:pPr>
    </w:p>
    <w:p>
      <w:pPr>
        <w:spacing w:line="312" w:lineRule="auto"/>
        <w:jc w:val="center"/>
        <w:outlineLvl w:val="0"/>
        <w:rPr>
          <w:rFonts w:hint="eastAsia"/>
          <w:b/>
          <w:sz w:val="32"/>
          <w:szCs w:val="32"/>
          <w:highlight w:val="none"/>
        </w:rPr>
      </w:pPr>
      <w:r>
        <w:rPr>
          <w:rFonts w:hint="eastAsia"/>
          <w:b/>
          <w:sz w:val="32"/>
          <w:szCs w:val="32"/>
          <w:highlight w:val="none"/>
        </w:rPr>
        <w:t>邀请函</w:t>
      </w:r>
    </w:p>
    <w:p>
      <w:pPr>
        <w:spacing w:line="360" w:lineRule="auto"/>
        <w:ind w:firstLine="420" w:firstLineChars="200"/>
        <w:rPr>
          <w:rFonts w:hint="eastAsia" w:ascii="宋体"/>
          <w:szCs w:val="21"/>
          <w:highlight w:val="none"/>
        </w:rPr>
      </w:pPr>
      <w:r>
        <w:rPr>
          <w:rFonts w:hint="eastAsia" w:ascii="宋体"/>
          <w:szCs w:val="21"/>
          <w:highlight w:val="none"/>
        </w:rPr>
        <w:t>本招标项目广州白云国际机场P2交通综合体项目已由广州空港经济区管理委员会以《广东省企业投资项目备案证》（备案项目编号：2019-440100-47-03-052308）批准建设，项目业主为广州白云国际机场股份有限公司，建设资金来自企业自筹，出资比例为100%，招标人为广州白云国际机场股份有限公司。项目已具备采购条件，现对该项目的</w:t>
      </w:r>
      <w:r>
        <w:rPr>
          <w:rFonts w:hint="eastAsia" w:ascii="宋体"/>
          <w:color w:val="000000"/>
          <w:szCs w:val="21"/>
          <w:highlight w:val="none"/>
        </w:rPr>
        <w:t>广州白云国际机场P</w:t>
      </w:r>
      <w:r>
        <w:rPr>
          <w:rFonts w:ascii="宋体"/>
          <w:color w:val="000000"/>
          <w:szCs w:val="21"/>
          <w:highlight w:val="none"/>
        </w:rPr>
        <w:t>2</w:t>
      </w:r>
      <w:r>
        <w:rPr>
          <w:rFonts w:hint="eastAsia" w:ascii="宋体"/>
          <w:color w:val="000000"/>
          <w:szCs w:val="21"/>
          <w:highlight w:val="none"/>
        </w:rPr>
        <w:t>交通综合体工程地铁3号线段地铁保护监控服务</w:t>
      </w:r>
      <w:r>
        <w:rPr>
          <w:rFonts w:hint="eastAsia" w:ascii="宋体"/>
          <w:szCs w:val="21"/>
          <w:highlight w:val="none"/>
        </w:rPr>
        <w:t>进行公开采购。</w:t>
      </w:r>
    </w:p>
    <w:p>
      <w:pPr>
        <w:numPr>
          <w:ilvl w:val="0"/>
          <w:numId w:val="7"/>
        </w:numPr>
        <w:tabs>
          <w:tab w:val="left" w:pos="540"/>
        </w:tabs>
        <w:spacing w:line="360" w:lineRule="auto"/>
        <w:rPr>
          <w:rFonts w:hint="eastAsia" w:ascii="宋体"/>
          <w:b/>
          <w:bCs/>
          <w:szCs w:val="21"/>
          <w:highlight w:val="none"/>
        </w:rPr>
      </w:pPr>
      <w:r>
        <w:rPr>
          <w:rFonts w:hint="eastAsia" w:ascii="宋体"/>
          <w:b/>
          <w:bCs/>
          <w:szCs w:val="21"/>
          <w:highlight w:val="none"/>
        </w:rPr>
        <w:t>项目概况：</w:t>
      </w:r>
    </w:p>
    <w:p>
      <w:pPr>
        <w:tabs>
          <w:tab w:val="left" w:pos="540"/>
        </w:tabs>
        <w:spacing w:line="360" w:lineRule="auto"/>
        <w:ind w:left="360"/>
        <w:rPr>
          <w:rFonts w:hint="eastAsia" w:ascii="宋体"/>
          <w:szCs w:val="21"/>
          <w:highlight w:val="none"/>
        </w:rPr>
      </w:pPr>
      <w:r>
        <w:rPr>
          <w:rFonts w:hint="eastAsia" w:ascii="宋体"/>
          <w:szCs w:val="21"/>
          <w:highlight w:val="none"/>
        </w:rPr>
        <w:t>1）项目名称：广州白云国际机场P</w:t>
      </w:r>
      <w:r>
        <w:rPr>
          <w:rFonts w:ascii="宋体"/>
          <w:szCs w:val="21"/>
          <w:highlight w:val="none"/>
        </w:rPr>
        <w:t>2</w:t>
      </w:r>
      <w:r>
        <w:rPr>
          <w:rFonts w:hint="eastAsia" w:ascii="宋体"/>
          <w:szCs w:val="21"/>
          <w:highlight w:val="none"/>
        </w:rPr>
        <w:t>交通综合体工程。</w:t>
      </w:r>
    </w:p>
    <w:p>
      <w:pPr>
        <w:tabs>
          <w:tab w:val="left" w:pos="540"/>
        </w:tabs>
        <w:spacing w:line="360" w:lineRule="auto"/>
        <w:ind w:left="360"/>
        <w:rPr>
          <w:rFonts w:hint="eastAsia" w:ascii="宋体"/>
          <w:szCs w:val="21"/>
          <w:highlight w:val="none"/>
        </w:rPr>
      </w:pPr>
      <w:r>
        <w:rPr>
          <w:rFonts w:hint="eastAsia" w:ascii="宋体"/>
          <w:szCs w:val="21"/>
          <w:highlight w:val="none"/>
        </w:rPr>
        <w:t>2）项目地点：广州白云国际机场P</w:t>
      </w:r>
      <w:r>
        <w:rPr>
          <w:rFonts w:ascii="宋体"/>
          <w:szCs w:val="21"/>
          <w:highlight w:val="none"/>
        </w:rPr>
        <w:t>2</w:t>
      </w:r>
      <w:r>
        <w:rPr>
          <w:rFonts w:hint="eastAsia" w:ascii="宋体"/>
          <w:szCs w:val="21"/>
          <w:highlight w:val="none"/>
        </w:rPr>
        <w:t>停车场。</w:t>
      </w:r>
    </w:p>
    <w:p>
      <w:pPr>
        <w:tabs>
          <w:tab w:val="left" w:pos="540"/>
        </w:tabs>
        <w:spacing w:line="360" w:lineRule="auto"/>
        <w:ind w:left="360"/>
        <w:rPr>
          <w:rFonts w:hint="eastAsia" w:ascii="宋体"/>
          <w:szCs w:val="21"/>
          <w:highlight w:val="none"/>
        </w:rPr>
      </w:pPr>
      <w:r>
        <w:rPr>
          <w:rFonts w:ascii="宋体"/>
          <w:szCs w:val="21"/>
          <w:highlight w:val="none"/>
        </w:rPr>
        <w:t>3</w:t>
      </w:r>
      <w:r>
        <w:rPr>
          <w:rFonts w:hint="eastAsia" w:ascii="宋体"/>
          <w:szCs w:val="21"/>
          <w:highlight w:val="none"/>
        </w:rPr>
        <w:t>）项目内容：</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本项目为广州白云国际机场P2交通综合体工程，</w:t>
      </w:r>
      <w:r>
        <w:rPr>
          <w:rFonts w:hint="eastAsia" w:ascii="宋体" w:hAnsi="宋体" w:eastAsia="宋体" w:cs="宋体"/>
          <w:szCs w:val="21"/>
          <w:highlight w:val="none"/>
          <w:lang w:eastAsia="zh-CN"/>
        </w:rPr>
        <w:t>总用地面积54600平方米，总建筑面积约为91719㎡。</w:t>
      </w:r>
    </w:p>
    <w:p>
      <w:pPr>
        <w:kinsoku/>
        <w:autoSpaceDE/>
        <w:autoSpaceDN/>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szCs w:val="21"/>
          <w:highlight w:val="none"/>
        </w:rPr>
        <w:t>广州白云国际机场P2交通综合体位于广州市花都区白云机场T1航站楼南面，场地中部下方存在正在运营的广州市轨道交通3号线，东侧为正在施工的新白广城轨项目。P2交通综合体</w:t>
      </w:r>
      <w:r>
        <w:rPr>
          <w:rFonts w:hint="eastAsia" w:ascii="宋体" w:hAnsi="宋体" w:eastAsia="宋体" w:cs="宋体"/>
          <w:color w:val="auto"/>
          <w:sz w:val="21"/>
          <w:szCs w:val="21"/>
        </w:rPr>
        <w:t>总共3层，</w:t>
      </w:r>
      <w:r>
        <w:rPr>
          <w:rFonts w:hint="eastAsia" w:ascii="宋体" w:hAnsi="宋体" w:eastAsia="宋体" w:cs="宋体"/>
          <w:szCs w:val="21"/>
          <w:highlight w:val="none"/>
        </w:rPr>
        <w:t>地上2层，地下室1层。</w:t>
      </w:r>
      <w:r>
        <w:rPr>
          <w:rFonts w:hint="eastAsia" w:ascii="宋体" w:hAnsi="宋体" w:eastAsia="宋体" w:cs="宋体"/>
          <w:color w:val="auto"/>
          <w:sz w:val="21"/>
          <w:szCs w:val="21"/>
        </w:rPr>
        <w:t>上部主体结构体系采用砼框架结构，部分造型采用包括钢框架结构、张拉膜结构在内的钢结构来实现。有一层地下室，地下室底板及承台面绝对标高15.960m，负一层基础布置如下：</w:t>
      </w:r>
    </w:p>
    <w:p>
      <w:pPr>
        <w:rPr>
          <w:rFonts w:eastAsia="宋体"/>
          <w:sz w:val="20"/>
        </w:rPr>
      </w:pPr>
      <w:r>
        <w:drawing>
          <wp:inline distT="0" distB="0" distL="114300" distR="114300">
            <wp:extent cx="5370830" cy="3659505"/>
            <wp:effectExtent l="9525" t="9525" r="10795" b="2667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7"/>
                    <a:stretch>
                      <a:fillRect/>
                    </a:stretch>
                  </pic:blipFill>
                  <pic:spPr>
                    <a:xfrm>
                      <a:off x="0" y="0"/>
                      <a:ext cx="5370830" cy="3659505"/>
                    </a:xfrm>
                    <a:prstGeom prst="rect">
                      <a:avLst/>
                    </a:prstGeom>
                    <a:noFill/>
                    <a:ln w="9525" cap="flat" cmpd="sng">
                      <a:solidFill>
                        <a:srgbClr val="000000"/>
                      </a:solidFill>
                      <a:prstDash val="solid"/>
                      <a:round/>
                      <a:headEnd type="none" w="med" len="med"/>
                      <a:tailEnd type="none" w="med" len="med"/>
                    </a:ln>
                  </pic:spPr>
                </pic:pic>
              </a:graphicData>
            </a:graphic>
          </wp:inline>
        </w:drawing>
      </w:r>
    </w:p>
    <w:p>
      <w:pPr>
        <w:jc w:val="center"/>
        <w:rPr>
          <w:rFonts w:ascii="仿宋" w:hAnsi="仿宋" w:eastAsia="仿宋" w:cs="仿宋"/>
          <w:b/>
          <w:snapToGrid/>
          <w:kern w:val="2"/>
        </w:rPr>
      </w:pPr>
      <w:r>
        <w:rPr>
          <w:rFonts w:hint="eastAsia" w:ascii="仿宋" w:hAnsi="仿宋" w:eastAsia="仿宋" w:cs="仿宋"/>
          <w:b/>
          <w:snapToGrid/>
          <w:kern w:val="2"/>
        </w:rPr>
        <w:t>图1</w:t>
      </w:r>
      <w:r>
        <w:rPr>
          <w:rFonts w:hint="eastAsia" w:ascii="仿宋" w:hAnsi="仿宋" w:eastAsia="仿宋" w:cs="仿宋"/>
          <w:b/>
          <w:snapToGrid/>
          <w:kern w:val="2"/>
          <w:lang w:val="en-US" w:eastAsia="zh-CN"/>
        </w:rPr>
        <w:t>-1</w:t>
      </w:r>
      <w:r>
        <w:rPr>
          <w:rFonts w:hint="eastAsia" w:ascii="仿宋" w:hAnsi="仿宋" w:eastAsia="仿宋" w:cs="仿宋"/>
          <w:b/>
          <w:snapToGrid/>
          <w:kern w:val="2"/>
        </w:rPr>
        <w:tab/>
      </w:r>
      <w:r>
        <w:rPr>
          <w:rFonts w:hint="eastAsia" w:ascii="仿宋" w:hAnsi="仿宋" w:eastAsia="仿宋" w:cs="仿宋"/>
          <w:b/>
          <w:snapToGrid/>
          <w:kern w:val="2"/>
          <w:lang w:val="en-US" w:eastAsia="zh-CN"/>
        </w:rPr>
        <w:t xml:space="preserve"> </w:t>
      </w:r>
      <w:r>
        <w:rPr>
          <w:rFonts w:hint="eastAsia" w:ascii="仿宋" w:hAnsi="仿宋" w:eastAsia="仿宋" w:cs="仿宋"/>
          <w:b/>
          <w:snapToGrid/>
          <w:kern w:val="2"/>
        </w:rPr>
        <w:t xml:space="preserve">P2 </w:t>
      </w:r>
      <w:r>
        <w:rPr>
          <w:rFonts w:hint="eastAsia" w:ascii="仿宋" w:hAnsi="仿宋" w:eastAsia="仿宋" w:cs="仿宋"/>
          <w:b/>
          <w:snapToGrid/>
          <w:kern w:val="2"/>
          <w:lang w:val="en-US" w:eastAsia="zh-CN"/>
        </w:rPr>
        <w:t>交通综合体</w:t>
      </w:r>
      <w:r>
        <w:rPr>
          <w:rFonts w:hint="eastAsia" w:ascii="仿宋" w:hAnsi="仿宋" w:eastAsia="仿宋" w:cs="仿宋"/>
          <w:b/>
          <w:snapToGrid/>
          <w:kern w:val="2"/>
        </w:rPr>
        <w:t>3号线隧道上部基础方案平面图</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szCs w:val="21"/>
          <w:highlight w:val="none"/>
        </w:rPr>
        <w:t>根据收集到的资料，</w:t>
      </w:r>
      <w:r>
        <w:rPr>
          <w:rFonts w:hint="eastAsia" w:ascii="宋体" w:hAnsi="宋体" w:eastAsia="宋体" w:cs="宋体"/>
          <w:color w:val="auto"/>
          <w:sz w:val="21"/>
          <w:szCs w:val="21"/>
        </w:rPr>
        <w:t>地铁三号线隧道埋深是南面高，北面低，在场地南端隧道顶部绝对标高（广州高程，下同）约11.821m，在场地北端隧道顶部绝对标高约为11.416m，隧道正上方P2停车场基坑底面绝对标高为15.010m，南端隧道顶部距离P2基坑底约3.189m，北端隧道顶部距离P2基坑底约3.594m。P2基坑与地铁三号线隧道剖面如下图所示。</w:t>
      </w:r>
    </w:p>
    <w:p>
      <w:pPr>
        <w:kinsoku/>
        <w:autoSpaceDE/>
        <w:autoSpaceDN/>
        <w:adjustRightInd/>
        <w:snapToGrid/>
        <w:spacing w:line="360" w:lineRule="auto"/>
        <w:jc w:val="center"/>
        <w:textAlignment w:val="auto"/>
        <w:rPr>
          <w:rFonts w:hint="eastAsia" w:ascii="仿宋" w:hAnsi="仿宋" w:eastAsia="仿宋" w:cs="仿宋"/>
          <w:bCs/>
          <w:snapToGrid/>
          <w:kern w:val="2"/>
          <w:lang w:eastAsia="zh-CN"/>
        </w:rPr>
      </w:pPr>
      <w:r>
        <w:rPr>
          <w:rFonts w:hint="eastAsia" w:ascii="仿宋" w:hAnsi="仿宋" w:eastAsia="仿宋" w:cs="仿宋"/>
          <w:bCs/>
          <w:snapToGrid/>
          <w:kern w:val="2"/>
          <w:lang w:eastAsia="zh-CN"/>
        </w:rPr>
        <w:drawing>
          <wp:inline distT="0" distB="0" distL="114300" distR="114300">
            <wp:extent cx="4933950" cy="1988185"/>
            <wp:effectExtent l="9525" t="9525" r="9525" b="21590"/>
            <wp:docPr id="7" name="图片 5" descr="1663310160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1663310160377"/>
                    <pic:cNvPicPr>
                      <a:picLocks noChangeAspect="1"/>
                    </pic:cNvPicPr>
                  </pic:nvPicPr>
                  <pic:blipFill>
                    <a:blip r:embed="rId8"/>
                    <a:stretch>
                      <a:fillRect/>
                    </a:stretch>
                  </pic:blipFill>
                  <pic:spPr>
                    <a:xfrm>
                      <a:off x="0" y="0"/>
                      <a:ext cx="4933950" cy="1988185"/>
                    </a:xfrm>
                    <a:prstGeom prst="rect">
                      <a:avLst/>
                    </a:prstGeom>
                    <a:noFill/>
                    <a:ln w="9525" cap="flat" cmpd="sng">
                      <a:solidFill>
                        <a:srgbClr val="000000"/>
                      </a:solidFill>
                      <a:prstDash val="solid"/>
                      <a:round/>
                      <a:headEnd type="none" w="med" len="med"/>
                      <a:tailEnd type="none" w="med" len="med"/>
                    </a:ln>
                  </pic:spPr>
                </pic:pic>
              </a:graphicData>
            </a:graphic>
          </wp:inline>
        </w:drawing>
      </w:r>
    </w:p>
    <w:p>
      <w:pPr>
        <w:kinsoku/>
        <w:autoSpaceDE/>
        <w:autoSpaceDN/>
        <w:adjustRightInd/>
        <w:snapToGrid/>
        <w:jc w:val="center"/>
        <w:textAlignment w:val="auto"/>
        <w:rPr>
          <w:rFonts w:ascii="仿宋" w:hAnsi="仿宋" w:eastAsia="仿宋" w:cs="仿宋"/>
          <w:b/>
          <w:snapToGrid/>
          <w:kern w:val="2"/>
        </w:rPr>
      </w:pPr>
      <w:r>
        <w:rPr>
          <w:rFonts w:hint="eastAsia" w:ascii="仿宋" w:hAnsi="仿宋" w:eastAsia="仿宋" w:cs="仿宋"/>
          <w:b/>
          <w:snapToGrid/>
          <w:kern w:val="2"/>
        </w:rPr>
        <w:t>图</w:t>
      </w:r>
      <w:r>
        <w:rPr>
          <w:rFonts w:hint="eastAsia" w:ascii="仿宋" w:hAnsi="仿宋" w:eastAsia="仿宋" w:cs="仿宋"/>
          <w:b/>
          <w:snapToGrid/>
          <w:kern w:val="2"/>
          <w:lang w:val="en-US" w:eastAsia="zh-CN"/>
        </w:rPr>
        <w:t>1-</w:t>
      </w:r>
      <w:r>
        <w:rPr>
          <w:rFonts w:hint="eastAsia" w:ascii="仿宋" w:hAnsi="仿宋" w:eastAsia="仿宋" w:cs="仿宋"/>
          <w:b/>
          <w:snapToGrid/>
          <w:kern w:val="2"/>
        </w:rPr>
        <w:t>2  P2下方地铁三号线隧道西侧地质剖面展开图</w:t>
      </w:r>
    </w:p>
    <w:p>
      <w:pPr>
        <w:kinsoku/>
        <w:autoSpaceDE/>
        <w:autoSpaceDN/>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本项目基础形式拟采用嵌岩钻孔灌注桩，持力层为微风化岩层，预估桩长为 20m~45m，具体以超前钻为准。地铁位置上方为了满足抗浮要求，梁板距离隧道顶净距控制在3.2m 以上。因此采用预应力大板结构，板厚800mm，</w:t>
      </w:r>
      <w:r>
        <w:rPr>
          <w:rFonts w:hint="eastAsia" w:ascii="宋体" w:hAnsi="宋体" w:eastAsia="宋体" w:cs="宋体"/>
          <w:szCs w:val="21"/>
        </w:rPr>
        <w:fldChar w:fldCharType="begin"/>
      </w:r>
      <w:r>
        <w:rPr>
          <w:rFonts w:hint="eastAsia" w:ascii="宋体" w:hAnsi="宋体" w:eastAsia="宋体" w:cs="宋体"/>
          <w:szCs w:val="21"/>
        </w:rPr>
        <w:instrText xml:space="preserve"> HYPERLINK "mailto:延跨径方向布置1-7S15.2@600钢绞线预应力筋，基础剖面布置见图6" </w:instrText>
      </w:r>
      <w:r>
        <w:rPr>
          <w:rFonts w:hint="eastAsia" w:ascii="宋体" w:hAnsi="宋体" w:eastAsia="宋体" w:cs="宋体"/>
          <w:szCs w:val="21"/>
        </w:rPr>
        <w:fldChar w:fldCharType="separate"/>
      </w:r>
      <w:r>
        <w:rPr>
          <w:rFonts w:hint="eastAsia" w:ascii="宋体" w:hAnsi="宋体" w:eastAsia="宋体" w:cs="宋体"/>
          <w:color w:val="auto"/>
          <w:sz w:val="21"/>
          <w:szCs w:val="21"/>
        </w:rPr>
        <w:t>延跨径方向布置1-7S15.2@600钢绞线预应力筋，基础剖面布置</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lang w:val="en-US" w:eastAsia="zh-CN"/>
        </w:rPr>
        <w:t>如下图所示：</w:t>
      </w:r>
    </w:p>
    <w:p>
      <w:pPr>
        <w:spacing w:before="109" w:line="386" w:lineRule="auto"/>
        <w:ind w:right="192"/>
        <w:jc w:val="both"/>
        <w:rPr>
          <w:sz w:val="20"/>
        </w:rPr>
      </w:pPr>
      <w:r>
        <w:rPr>
          <w:rFonts w:ascii="Times New Roman" w:hAnsi="Times New Roman" w:cs="Times New Roman"/>
          <w:sz w:val="20"/>
        </w:rPr>
        <w:drawing>
          <wp:inline distT="0" distB="0" distL="114300" distR="114300">
            <wp:extent cx="5070475" cy="2447925"/>
            <wp:effectExtent l="9525" t="9525" r="25400" b="1905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9"/>
                    <a:stretch>
                      <a:fillRect/>
                    </a:stretch>
                  </pic:blipFill>
                  <pic:spPr>
                    <a:xfrm>
                      <a:off x="0" y="0"/>
                      <a:ext cx="5070475" cy="2447925"/>
                    </a:xfrm>
                    <a:prstGeom prst="rect">
                      <a:avLst/>
                    </a:prstGeom>
                    <a:noFill/>
                    <a:ln w="9525" cap="flat" cmpd="sng">
                      <a:solidFill>
                        <a:srgbClr val="000000"/>
                      </a:solidFill>
                      <a:prstDash val="solid"/>
                      <a:round/>
                      <a:headEnd type="none" w="med" len="med"/>
                      <a:tailEnd type="none" w="med" len="med"/>
                    </a:ln>
                  </pic:spPr>
                </pic:pic>
              </a:graphicData>
            </a:graphic>
          </wp:inline>
        </w:drawing>
      </w:r>
    </w:p>
    <w:p>
      <w:pPr>
        <w:jc w:val="center"/>
        <w:rPr>
          <w:rFonts w:ascii="宋体" w:hAnsi="宋体" w:eastAsia="宋体" w:cs="宋体"/>
          <w:b/>
          <w:bCs/>
          <w:spacing w:val="-3"/>
          <w:sz w:val="32"/>
          <w:szCs w:val="32"/>
        </w:rPr>
      </w:pPr>
      <w:r>
        <w:rPr>
          <w:rFonts w:hint="eastAsia" w:ascii="仿宋" w:hAnsi="仿宋" w:eastAsia="仿宋" w:cs="仿宋"/>
          <w:b/>
          <w:snapToGrid/>
          <w:kern w:val="2"/>
        </w:rPr>
        <w:t xml:space="preserve">图 </w:t>
      </w:r>
      <w:r>
        <w:rPr>
          <w:rFonts w:hint="eastAsia" w:ascii="仿宋" w:hAnsi="仿宋" w:eastAsia="仿宋" w:cs="仿宋"/>
          <w:b/>
          <w:snapToGrid/>
          <w:kern w:val="2"/>
          <w:lang w:val="en-US" w:eastAsia="zh-CN"/>
        </w:rPr>
        <w:t>1-</w:t>
      </w:r>
      <w:r>
        <w:rPr>
          <w:rFonts w:hint="eastAsia" w:ascii="仿宋" w:hAnsi="仿宋" w:eastAsia="仿宋" w:cs="仿宋"/>
          <w:b/>
          <w:snapToGrid/>
          <w:kern w:val="2"/>
        </w:rPr>
        <w:t>3</w:t>
      </w:r>
      <w:r>
        <w:rPr>
          <w:rFonts w:hint="eastAsia" w:ascii="仿宋" w:hAnsi="仿宋" w:eastAsia="仿宋" w:cs="仿宋"/>
          <w:b/>
          <w:snapToGrid/>
          <w:kern w:val="2"/>
        </w:rPr>
        <w:tab/>
      </w:r>
      <w:r>
        <w:rPr>
          <w:rFonts w:hint="eastAsia" w:ascii="仿宋" w:hAnsi="仿宋" w:eastAsia="仿宋" w:cs="仿宋"/>
          <w:b/>
          <w:snapToGrid/>
          <w:kern w:val="2"/>
        </w:rPr>
        <w:t>3 号线工作井上方基础剖面图</w:t>
      </w:r>
    </w:p>
    <w:p>
      <w:pPr>
        <w:tabs>
          <w:tab w:val="left" w:pos="540"/>
        </w:tabs>
        <w:spacing w:line="360" w:lineRule="auto"/>
        <w:ind w:left="360"/>
        <w:rPr>
          <w:rFonts w:hint="eastAsia" w:ascii="宋体"/>
          <w:szCs w:val="21"/>
          <w:highlight w:val="none"/>
        </w:rPr>
      </w:pPr>
      <w:r>
        <w:rPr>
          <w:rFonts w:ascii="宋体"/>
          <w:szCs w:val="21"/>
          <w:highlight w:val="none"/>
        </w:rPr>
        <w:t>4</w:t>
      </w:r>
      <w:r>
        <w:rPr>
          <w:rFonts w:hint="eastAsia" w:ascii="宋体"/>
          <w:szCs w:val="21"/>
          <w:highlight w:val="none"/>
        </w:rPr>
        <w:t>） 资金来源：企业自筹资金。</w:t>
      </w:r>
    </w:p>
    <w:p>
      <w:pPr>
        <w:numPr>
          <w:ilvl w:val="0"/>
          <w:numId w:val="7"/>
        </w:numPr>
        <w:tabs>
          <w:tab w:val="left" w:pos="540"/>
        </w:tabs>
        <w:spacing w:line="360" w:lineRule="auto"/>
        <w:rPr>
          <w:rFonts w:hint="eastAsia" w:ascii="宋体"/>
          <w:b/>
          <w:bCs/>
          <w:szCs w:val="21"/>
          <w:highlight w:val="none"/>
        </w:rPr>
      </w:pPr>
      <w:r>
        <w:rPr>
          <w:rFonts w:hint="eastAsia" w:ascii="宋体"/>
          <w:b/>
          <w:bCs/>
          <w:szCs w:val="21"/>
          <w:highlight w:val="none"/>
        </w:rPr>
        <w:t>采购内容：</w:t>
      </w:r>
    </w:p>
    <w:p>
      <w:pPr>
        <w:numPr>
          <w:ilvl w:val="0"/>
          <w:numId w:val="8"/>
        </w:numPr>
        <w:tabs>
          <w:tab w:val="left" w:pos="420"/>
        </w:tabs>
        <w:spacing w:line="360" w:lineRule="auto"/>
        <w:rPr>
          <w:rFonts w:ascii="宋体"/>
          <w:szCs w:val="21"/>
          <w:highlight w:val="none"/>
        </w:rPr>
      </w:pPr>
      <w:r>
        <w:rPr>
          <w:rFonts w:hint="eastAsia" w:ascii="宋体"/>
          <w:szCs w:val="21"/>
          <w:highlight w:val="none"/>
        </w:rPr>
        <w:t>采购内容及限价</w:t>
      </w:r>
      <w:r>
        <w:rPr>
          <w:rFonts w:hint="eastAsia"/>
          <w:szCs w:val="21"/>
          <w:highlight w:val="none"/>
        </w:rPr>
        <w:t>：</w:t>
      </w:r>
    </w:p>
    <w:tbl>
      <w:tblPr>
        <w:tblStyle w:val="12"/>
        <w:tblW w:w="9289"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5754"/>
        <w:gridCol w:w="70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0" w:type="dxa"/>
            <w:noWrap w:val="0"/>
            <w:vAlign w:val="center"/>
          </w:tcPr>
          <w:p>
            <w:pPr>
              <w:jc w:val="center"/>
              <w:rPr>
                <w:rFonts w:hint="eastAsia" w:ascii="宋体" w:hAnsi="宋体"/>
                <w:b/>
                <w:szCs w:val="21"/>
                <w:highlight w:val="none"/>
              </w:rPr>
            </w:pPr>
            <w:r>
              <w:rPr>
                <w:rFonts w:hint="eastAsia" w:ascii="宋体" w:hAnsi="宋体"/>
                <w:b/>
                <w:szCs w:val="21"/>
                <w:highlight w:val="none"/>
              </w:rPr>
              <w:t>序号</w:t>
            </w:r>
          </w:p>
        </w:tc>
        <w:tc>
          <w:tcPr>
            <w:tcW w:w="5754" w:type="dxa"/>
            <w:noWrap w:val="0"/>
            <w:vAlign w:val="center"/>
          </w:tcPr>
          <w:p>
            <w:pPr>
              <w:jc w:val="center"/>
              <w:rPr>
                <w:rFonts w:hint="eastAsia" w:ascii="宋体" w:hAnsi="宋体"/>
                <w:b/>
                <w:szCs w:val="21"/>
                <w:highlight w:val="none"/>
              </w:rPr>
            </w:pPr>
            <w:r>
              <w:rPr>
                <w:rFonts w:hint="eastAsia" w:ascii="宋体" w:hAnsi="宋体"/>
                <w:b/>
                <w:szCs w:val="21"/>
                <w:highlight w:val="none"/>
              </w:rPr>
              <w:t>服务内容</w:t>
            </w:r>
          </w:p>
        </w:tc>
        <w:tc>
          <w:tcPr>
            <w:tcW w:w="709" w:type="dxa"/>
            <w:noWrap w:val="0"/>
            <w:vAlign w:val="center"/>
          </w:tcPr>
          <w:p>
            <w:pPr>
              <w:jc w:val="center"/>
              <w:rPr>
                <w:rFonts w:hint="eastAsia" w:ascii="宋体" w:hAnsi="宋体"/>
                <w:b/>
                <w:szCs w:val="21"/>
                <w:highlight w:val="none"/>
              </w:rPr>
            </w:pPr>
            <w:r>
              <w:rPr>
                <w:rFonts w:hint="eastAsia" w:ascii="宋体" w:hAnsi="宋体"/>
                <w:b/>
                <w:szCs w:val="21"/>
                <w:highlight w:val="none"/>
              </w:rPr>
              <w:t>数量</w:t>
            </w:r>
          </w:p>
        </w:tc>
        <w:tc>
          <w:tcPr>
            <w:tcW w:w="2126" w:type="dxa"/>
            <w:noWrap w:val="0"/>
            <w:vAlign w:val="center"/>
          </w:tcPr>
          <w:p>
            <w:pPr>
              <w:jc w:val="center"/>
              <w:rPr>
                <w:rFonts w:hint="eastAsia" w:ascii="宋体" w:hAnsi="宋体"/>
                <w:b/>
                <w:szCs w:val="21"/>
                <w:highlight w:val="none"/>
              </w:rPr>
            </w:pPr>
            <w:r>
              <w:rPr>
                <w:rFonts w:hint="eastAsia" w:ascii="宋体" w:hAnsi="宋体"/>
                <w:b/>
                <w:szCs w:val="21"/>
                <w:highlight w:val="none"/>
              </w:rPr>
              <w:t>采购最高限价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00" w:type="dxa"/>
            <w:noWrap w:val="0"/>
            <w:vAlign w:val="center"/>
          </w:tcPr>
          <w:p>
            <w:pPr>
              <w:pStyle w:val="2"/>
              <w:ind w:firstLine="0"/>
              <w:jc w:val="center"/>
              <w:rPr>
                <w:rFonts w:hint="eastAsia" w:ascii="宋体" w:hAnsi="宋体"/>
                <w:b/>
                <w:szCs w:val="21"/>
                <w:highlight w:val="none"/>
              </w:rPr>
            </w:pPr>
            <w:r>
              <w:rPr>
                <w:rFonts w:hint="eastAsia" w:ascii="宋体" w:hAnsi="宋体"/>
                <w:b/>
                <w:szCs w:val="21"/>
                <w:highlight w:val="none"/>
              </w:rPr>
              <w:t>1</w:t>
            </w:r>
          </w:p>
        </w:tc>
        <w:tc>
          <w:tcPr>
            <w:tcW w:w="5754" w:type="dxa"/>
            <w:noWrap w:val="0"/>
            <w:vAlign w:val="center"/>
          </w:tcPr>
          <w:p>
            <w:pPr>
              <w:pStyle w:val="2"/>
              <w:ind w:firstLine="0"/>
              <w:jc w:val="center"/>
              <w:rPr>
                <w:rFonts w:hint="eastAsia" w:ascii="宋体" w:hAnsi="宋体"/>
                <w:szCs w:val="21"/>
                <w:highlight w:val="none"/>
              </w:rPr>
            </w:pPr>
            <w:r>
              <w:rPr>
                <w:rFonts w:hint="eastAsia" w:ascii="宋体" w:hAnsi="宋体"/>
                <w:szCs w:val="21"/>
                <w:highlight w:val="none"/>
              </w:rPr>
              <w:t>广州白云国际机场P</w:t>
            </w:r>
            <w:r>
              <w:rPr>
                <w:rFonts w:ascii="宋体" w:hAnsi="宋体"/>
                <w:szCs w:val="21"/>
                <w:highlight w:val="none"/>
              </w:rPr>
              <w:t>2</w:t>
            </w:r>
            <w:r>
              <w:rPr>
                <w:rFonts w:hint="eastAsia" w:ascii="宋体" w:hAnsi="宋体"/>
                <w:szCs w:val="21"/>
                <w:highlight w:val="none"/>
              </w:rPr>
              <w:t>交通综合体工程地铁保护监控服务</w:t>
            </w:r>
          </w:p>
        </w:tc>
        <w:tc>
          <w:tcPr>
            <w:tcW w:w="709" w:type="dxa"/>
            <w:noWrap w:val="0"/>
            <w:vAlign w:val="center"/>
          </w:tcPr>
          <w:p>
            <w:pPr>
              <w:pStyle w:val="2"/>
              <w:ind w:firstLine="0"/>
              <w:jc w:val="center"/>
              <w:rPr>
                <w:rFonts w:hint="eastAsia" w:ascii="宋体" w:hAnsi="宋体"/>
                <w:szCs w:val="21"/>
                <w:highlight w:val="none"/>
              </w:rPr>
            </w:pPr>
            <w:r>
              <w:rPr>
                <w:rFonts w:hint="eastAsia" w:ascii="宋体" w:hAnsi="宋体"/>
                <w:szCs w:val="21"/>
                <w:highlight w:val="none"/>
              </w:rPr>
              <w:t>1项</w:t>
            </w:r>
          </w:p>
        </w:tc>
        <w:tc>
          <w:tcPr>
            <w:tcW w:w="2126" w:type="dxa"/>
            <w:noWrap w:val="0"/>
            <w:vAlign w:val="center"/>
          </w:tcPr>
          <w:p>
            <w:pPr>
              <w:pStyle w:val="2"/>
              <w:ind w:firstLine="0"/>
              <w:jc w:val="center"/>
              <w:rPr>
                <w:rFonts w:hint="eastAsia" w:ascii="宋体" w:hAnsi="宋体"/>
                <w:szCs w:val="21"/>
                <w:highlight w:val="none"/>
              </w:rPr>
            </w:pPr>
            <w:r>
              <w:rPr>
                <w:rFonts w:hint="eastAsia" w:ascii="宋体" w:hAnsi="宋体"/>
                <w:szCs w:val="21"/>
                <w:highlight w:val="none"/>
              </w:rPr>
              <w:t>人民币：</w:t>
            </w:r>
            <w:r>
              <w:rPr>
                <w:rFonts w:hint="eastAsia" w:ascii="宋体" w:hAnsi="宋体"/>
                <w:szCs w:val="21"/>
                <w:highlight w:val="none"/>
                <w:lang w:val="en-US" w:eastAsia="zh-CN"/>
              </w:rPr>
              <w:t>98</w:t>
            </w:r>
            <w:r>
              <w:rPr>
                <w:rFonts w:hint="eastAsia" w:ascii="宋体" w:hAnsi="宋体"/>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163" w:type="dxa"/>
            <w:gridSpan w:val="3"/>
            <w:noWrap w:val="0"/>
            <w:vAlign w:val="center"/>
          </w:tcPr>
          <w:p>
            <w:pPr>
              <w:pStyle w:val="2"/>
              <w:ind w:firstLine="0"/>
              <w:jc w:val="center"/>
              <w:rPr>
                <w:rFonts w:hint="eastAsia" w:ascii="宋体" w:hAnsi="宋体"/>
                <w:szCs w:val="21"/>
                <w:highlight w:val="none"/>
              </w:rPr>
            </w:pPr>
            <w:r>
              <w:rPr>
                <w:rFonts w:hint="eastAsia" w:ascii="宋体" w:hAnsi="宋体"/>
                <w:szCs w:val="21"/>
                <w:highlight w:val="none"/>
              </w:rPr>
              <w:t>合计</w:t>
            </w:r>
          </w:p>
        </w:tc>
        <w:tc>
          <w:tcPr>
            <w:tcW w:w="2126" w:type="dxa"/>
            <w:noWrap w:val="0"/>
            <w:vAlign w:val="center"/>
          </w:tcPr>
          <w:p>
            <w:pPr>
              <w:pStyle w:val="2"/>
              <w:ind w:firstLine="0"/>
              <w:jc w:val="center"/>
              <w:rPr>
                <w:rFonts w:ascii="宋体" w:hAnsi="宋体"/>
                <w:szCs w:val="21"/>
                <w:highlight w:val="none"/>
              </w:rPr>
            </w:pPr>
            <w:r>
              <w:rPr>
                <w:rFonts w:hint="eastAsia" w:ascii="宋体" w:hAnsi="宋体"/>
                <w:szCs w:val="21"/>
                <w:highlight w:val="none"/>
              </w:rPr>
              <w:t>人民币：</w:t>
            </w:r>
            <w:r>
              <w:rPr>
                <w:rFonts w:hint="eastAsia" w:ascii="宋体" w:hAnsi="宋体"/>
                <w:szCs w:val="21"/>
                <w:highlight w:val="none"/>
                <w:lang w:val="en-US" w:eastAsia="zh-CN"/>
              </w:rPr>
              <w:t>98</w:t>
            </w:r>
            <w:r>
              <w:rPr>
                <w:rFonts w:hint="eastAsia" w:ascii="宋体" w:hAnsi="宋体"/>
                <w:szCs w:val="21"/>
                <w:highlight w:val="none"/>
              </w:rPr>
              <w:t>万元</w:t>
            </w:r>
          </w:p>
        </w:tc>
      </w:tr>
    </w:tbl>
    <w:p>
      <w:pPr>
        <w:spacing w:line="360" w:lineRule="auto"/>
        <w:ind w:left="987" w:leftChars="270" w:hanging="420" w:hangingChars="200"/>
        <w:rPr>
          <w:rFonts w:hint="eastAsia"/>
          <w:szCs w:val="21"/>
          <w:highlight w:val="none"/>
        </w:rPr>
      </w:pPr>
      <w:r>
        <w:rPr>
          <w:rFonts w:hint="eastAsia"/>
          <w:szCs w:val="21"/>
          <w:highlight w:val="none"/>
        </w:rPr>
        <w:t>注：供应商</w:t>
      </w:r>
      <w:r>
        <w:rPr>
          <w:rFonts w:hint="eastAsia" w:ascii="宋体" w:hAnsi="宋体" w:cs="Tahoma"/>
          <w:kern w:val="28"/>
          <w:szCs w:val="21"/>
          <w:highlight w:val="none"/>
        </w:rPr>
        <w:t>必须对全部服务内容进行报价</w:t>
      </w:r>
      <w:r>
        <w:rPr>
          <w:rFonts w:hint="eastAsia"/>
          <w:szCs w:val="21"/>
          <w:highlight w:val="none"/>
        </w:rPr>
        <w:t>，勘探点复核或复测</w:t>
      </w:r>
      <w:r>
        <w:rPr>
          <w:rFonts w:hint="eastAsia"/>
          <w:szCs w:val="21"/>
          <w:highlight w:val="none"/>
          <w:lang w:val="en-US" w:eastAsia="zh-CN"/>
        </w:rPr>
        <w:t>以及</w:t>
      </w:r>
      <w:r>
        <w:rPr>
          <w:rFonts w:hint="eastAsia"/>
          <w:szCs w:val="21"/>
          <w:highlight w:val="none"/>
        </w:rPr>
        <w:t>地铁保护监控服务费</w:t>
      </w:r>
      <w:r>
        <w:rPr>
          <w:rFonts w:hint="eastAsia"/>
          <w:szCs w:val="21"/>
          <w:highlight w:val="none"/>
          <w:lang w:val="en-US" w:eastAsia="zh-CN"/>
        </w:rPr>
        <w:t>均</w:t>
      </w:r>
      <w:r>
        <w:rPr>
          <w:rFonts w:hint="eastAsia"/>
          <w:szCs w:val="21"/>
          <w:highlight w:val="none"/>
        </w:rPr>
        <w:t>采用总价包干，包括报价人履行本项目合同（如果中选）所必须的所有成本费用和报价人应承担的一切税费，包括但不仅限于各种资料费、保险、税金、快递费、印刷费、差旅费、评审费、会务费、加班费、管理费、不可预见费及利润等与本项目服务工作相关的一切费用。</w:t>
      </w:r>
      <w:r>
        <w:rPr>
          <w:rFonts w:hint="eastAsia"/>
          <w:szCs w:val="21"/>
          <w:highlight w:val="none"/>
          <w:lang w:val="en-US" w:eastAsia="zh-CN"/>
        </w:rPr>
        <w:t>本</w:t>
      </w:r>
      <w:r>
        <w:rPr>
          <w:rFonts w:hint="eastAsia"/>
          <w:szCs w:val="21"/>
          <w:highlight w:val="none"/>
        </w:rPr>
        <w:t>项目</w:t>
      </w:r>
      <w:r>
        <w:rPr>
          <w:rFonts w:hint="eastAsia"/>
          <w:szCs w:val="21"/>
          <w:highlight w:val="none"/>
          <w:lang w:val="en-US" w:eastAsia="zh-CN"/>
        </w:rPr>
        <w:t>费用</w:t>
      </w:r>
      <w:r>
        <w:rPr>
          <w:rFonts w:hint="eastAsia"/>
          <w:szCs w:val="21"/>
          <w:highlight w:val="none"/>
        </w:rPr>
        <w:t>在合同执行期间不作调整。</w:t>
      </w:r>
    </w:p>
    <w:p>
      <w:pPr>
        <w:numPr>
          <w:ilvl w:val="0"/>
          <w:numId w:val="8"/>
        </w:numPr>
        <w:spacing w:line="360" w:lineRule="auto"/>
        <w:rPr>
          <w:rFonts w:hint="eastAsia"/>
          <w:szCs w:val="21"/>
          <w:highlight w:val="none"/>
        </w:rPr>
      </w:pPr>
      <w:r>
        <w:rPr>
          <w:rFonts w:hint="eastAsia"/>
          <w:szCs w:val="21"/>
          <w:highlight w:val="none"/>
        </w:rPr>
        <w:t>监控范围：</w:t>
      </w:r>
    </w:p>
    <w:p>
      <w:pPr>
        <w:spacing w:line="360" w:lineRule="auto"/>
        <w:ind w:left="540"/>
        <w:rPr>
          <w:rFonts w:hint="eastAsia"/>
          <w:szCs w:val="21"/>
          <w:highlight w:val="none"/>
        </w:rPr>
      </w:pPr>
      <w:bookmarkStart w:id="0" w:name="OLE_LINK1"/>
      <w:r>
        <w:rPr>
          <w:rFonts w:hint="eastAsia"/>
          <w:szCs w:val="21"/>
          <w:highlight w:val="none"/>
        </w:rPr>
        <w:t>广州白云国际机场P</w:t>
      </w:r>
      <w:r>
        <w:rPr>
          <w:szCs w:val="21"/>
          <w:highlight w:val="none"/>
        </w:rPr>
        <w:t>2</w:t>
      </w:r>
      <w:r>
        <w:rPr>
          <w:rFonts w:hint="eastAsia"/>
          <w:szCs w:val="21"/>
          <w:highlight w:val="none"/>
        </w:rPr>
        <w:t>交通综合体工程</w:t>
      </w:r>
      <w:bookmarkEnd w:id="0"/>
      <w:r>
        <w:rPr>
          <w:rFonts w:hint="eastAsia"/>
          <w:szCs w:val="21"/>
          <w:highlight w:val="none"/>
        </w:rPr>
        <w:t>在地铁保护区域范围内的前期地质勘探阶段和项目实施阶段±0.00以下的基坑工程（含围护结构、止水帷幕、土方开挖、内支撑安装和拆除、基坑回填等）、桩基础工程、地下室结构工程以及±0.00以上的地铁设施正上方结构工程等涉及到地铁保护方面的工程施工监控。</w:t>
      </w:r>
    </w:p>
    <w:p>
      <w:pPr>
        <w:numPr>
          <w:ilvl w:val="0"/>
          <w:numId w:val="8"/>
        </w:numPr>
        <w:spacing w:line="360" w:lineRule="auto"/>
        <w:rPr>
          <w:rFonts w:hint="eastAsia"/>
          <w:szCs w:val="21"/>
          <w:highlight w:val="none"/>
        </w:rPr>
      </w:pPr>
      <w:r>
        <w:rPr>
          <w:rFonts w:hint="eastAsia"/>
          <w:szCs w:val="21"/>
          <w:highlight w:val="none"/>
        </w:rPr>
        <w:t>服务内容：</w:t>
      </w:r>
    </w:p>
    <w:p>
      <w:pPr>
        <w:spacing w:line="360" w:lineRule="auto"/>
        <w:ind w:left="540"/>
        <w:rPr>
          <w:rFonts w:hint="eastAsia"/>
          <w:szCs w:val="21"/>
          <w:highlight w:val="none"/>
        </w:rPr>
      </w:pPr>
      <w:r>
        <w:rPr>
          <w:rFonts w:hint="eastAsia"/>
          <w:szCs w:val="21"/>
          <w:highlight w:val="none"/>
        </w:rPr>
        <w:t>（1）地铁保护安全监控工作交底及培训</w:t>
      </w:r>
    </w:p>
    <w:p>
      <w:pPr>
        <w:spacing w:line="360" w:lineRule="auto"/>
        <w:ind w:left="540"/>
        <w:rPr>
          <w:rFonts w:hint="eastAsia"/>
          <w:szCs w:val="21"/>
          <w:highlight w:val="none"/>
        </w:rPr>
      </w:pPr>
      <w:r>
        <w:rPr>
          <w:rFonts w:hint="eastAsia"/>
          <w:szCs w:val="21"/>
          <w:highlight w:val="none"/>
        </w:rPr>
        <w:t>介绍地铁保护安全监控的工作目的、内容、流程、方式等工作；对地铁设施保护管理要求、地铁运营管理办法以及专家审查会议意见、实施过程注意事项、沟通协调机制等向项目参建各方进行交底，组织专项培训（培训方案须报采购人审核）。</w:t>
      </w:r>
    </w:p>
    <w:p>
      <w:pPr>
        <w:spacing w:line="360" w:lineRule="auto"/>
        <w:ind w:left="540"/>
        <w:rPr>
          <w:rFonts w:hint="eastAsia"/>
          <w:szCs w:val="21"/>
          <w:highlight w:val="none"/>
        </w:rPr>
      </w:pPr>
      <w:r>
        <w:rPr>
          <w:rFonts w:hint="eastAsia"/>
          <w:szCs w:val="21"/>
          <w:highlight w:val="none"/>
        </w:rPr>
        <w:t>（2）组织工前普查</w:t>
      </w:r>
    </w:p>
    <w:p>
      <w:pPr>
        <w:spacing w:line="360" w:lineRule="auto"/>
        <w:ind w:left="540"/>
        <w:rPr>
          <w:rFonts w:hint="eastAsia"/>
          <w:szCs w:val="21"/>
          <w:highlight w:val="none"/>
        </w:rPr>
      </w:pPr>
      <w:r>
        <w:rPr>
          <w:rFonts w:hint="eastAsia"/>
          <w:szCs w:val="21"/>
          <w:highlight w:val="none"/>
        </w:rPr>
        <w:t>组织项目参建各方对受影响范围地铁既有结构进行工前现状普查、病害量测与记录，由监测单位出具书面报告；或由建设方委托有结构鉴定资质的单位实施。</w:t>
      </w:r>
    </w:p>
    <w:p>
      <w:pPr>
        <w:spacing w:line="360" w:lineRule="auto"/>
        <w:ind w:left="540"/>
        <w:rPr>
          <w:rFonts w:hint="eastAsia"/>
          <w:szCs w:val="21"/>
          <w:highlight w:val="none"/>
        </w:rPr>
      </w:pPr>
      <w:r>
        <w:rPr>
          <w:rFonts w:hint="eastAsia"/>
          <w:szCs w:val="21"/>
          <w:highlight w:val="none"/>
        </w:rPr>
        <w:t>（3）图纸复查</w:t>
      </w:r>
    </w:p>
    <w:p>
      <w:pPr>
        <w:spacing w:line="360" w:lineRule="auto"/>
        <w:ind w:left="540"/>
        <w:rPr>
          <w:rFonts w:hint="eastAsia"/>
          <w:szCs w:val="21"/>
          <w:highlight w:val="none"/>
        </w:rPr>
      </w:pPr>
      <w:r>
        <w:rPr>
          <w:rFonts w:hint="eastAsia"/>
          <w:szCs w:val="21"/>
          <w:highlight w:val="none"/>
        </w:rPr>
        <w:t>复查地保区范围内对地铁有影响的分部工程施工图是否符合地铁保护办公室审批要求。</w:t>
      </w:r>
    </w:p>
    <w:p>
      <w:pPr>
        <w:spacing w:line="360" w:lineRule="auto"/>
        <w:ind w:left="540"/>
        <w:rPr>
          <w:rFonts w:hint="eastAsia"/>
          <w:szCs w:val="21"/>
          <w:highlight w:val="none"/>
        </w:rPr>
      </w:pPr>
      <w:r>
        <w:rPr>
          <w:rFonts w:hint="eastAsia"/>
          <w:szCs w:val="21"/>
          <w:highlight w:val="none"/>
        </w:rPr>
        <w:t>（4）方案复查</w:t>
      </w:r>
    </w:p>
    <w:p>
      <w:pPr>
        <w:spacing w:line="360" w:lineRule="auto"/>
        <w:ind w:left="540"/>
        <w:rPr>
          <w:rFonts w:hint="eastAsia"/>
          <w:szCs w:val="21"/>
          <w:highlight w:val="none"/>
        </w:rPr>
      </w:pPr>
      <w:r>
        <w:rPr>
          <w:rFonts w:hint="eastAsia"/>
          <w:szCs w:val="21"/>
          <w:highlight w:val="none"/>
        </w:rPr>
        <w:t>复查涉及地铁保护相关的施工方案是否符合地铁保护要求。</w:t>
      </w:r>
    </w:p>
    <w:p>
      <w:pPr>
        <w:spacing w:line="360" w:lineRule="auto"/>
        <w:ind w:left="540"/>
        <w:rPr>
          <w:rFonts w:hint="eastAsia"/>
          <w:szCs w:val="21"/>
          <w:highlight w:val="none"/>
        </w:rPr>
      </w:pPr>
      <w:r>
        <w:rPr>
          <w:rFonts w:hint="eastAsia"/>
          <w:szCs w:val="21"/>
          <w:highlight w:val="none"/>
        </w:rPr>
        <w:t>（5）测量放样复核或复测</w:t>
      </w:r>
    </w:p>
    <w:p>
      <w:pPr>
        <w:spacing w:line="360" w:lineRule="auto"/>
        <w:ind w:left="540"/>
        <w:rPr>
          <w:rFonts w:hint="eastAsia"/>
          <w:szCs w:val="21"/>
          <w:highlight w:val="none"/>
        </w:rPr>
      </w:pPr>
      <w:r>
        <w:rPr>
          <w:rFonts w:hint="eastAsia"/>
          <w:szCs w:val="21"/>
          <w:highlight w:val="none"/>
        </w:rPr>
        <w:t>邻近地铁侧勘探、施工测量放样的复核或复测。</w:t>
      </w:r>
    </w:p>
    <w:p>
      <w:pPr>
        <w:spacing w:line="360" w:lineRule="auto"/>
        <w:ind w:left="540"/>
        <w:rPr>
          <w:rFonts w:hint="eastAsia"/>
          <w:szCs w:val="21"/>
          <w:highlight w:val="none"/>
        </w:rPr>
      </w:pPr>
      <w:r>
        <w:rPr>
          <w:rFonts w:hint="eastAsia"/>
          <w:szCs w:val="21"/>
          <w:highlight w:val="none"/>
        </w:rPr>
        <w:t>（6）地铁监测布点检查</w:t>
      </w:r>
    </w:p>
    <w:p>
      <w:pPr>
        <w:spacing w:line="360" w:lineRule="auto"/>
        <w:ind w:left="540"/>
        <w:rPr>
          <w:rFonts w:hint="eastAsia"/>
          <w:szCs w:val="21"/>
          <w:highlight w:val="none"/>
        </w:rPr>
      </w:pPr>
      <w:r>
        <w:rPr>
          <w:rFonts w:hint="eastAsia"/>
          <w:szCs w:val="21"/>
          <w:highlight w:val="none"/>
        </w:rPr>
        <w:t>检查地铁结构监测布点是否符合监测方案要求。</w:t>
      </w:r>
    </w:p>
    <w:p>
      <w:pPr>
        <w:spacing w:line="360" w:lineRule="auto"/>
        <w:ind w:left="540"/>
        <w:rPr>
          <w:rFonts w:hint="eastAsia"/>
          <w:szCs w:val="21"/>
          <w:highlight w:val="none"/>
        </w:rPr>
      </w:pPr>
      <w:r>
        <w:rPr>
          <w:rFonts w:hint="eastAsia"/>
          <w:szCs w:val="21"/>
          <w:highlight w:val="none"/>
        </w:rPr>
        <w:t>（7）工地巡检</w:t>
      </w:r>
    </w:p>
    <w:p>
      <w:pPr>
        <w:spacing w:line="360" w:lineRule="auto"/>
        <w:ind w:left="540"/>
        <w:rPr>
          <w:rFonts w:hint="eastAsia"/>
          <w:szCs w:val="21"/>
          <w:highlight w:val="none"/>
        </w:rPr>
      </w:pPr>
      <w:r>
        <w:rPr>
          <w:rFonts w:hint="eastAsia"/>
          <w:szCs w:val="21"/>
          <w:highlight w:val="none"/>
        </w:rPr>
        <w:t>巡视项目现场施工情况，是否按图纸、方案实施和落实地保措施。</w:t>
      </w:r>
    </w:p>
    <w:p>
      <w:pPr>
        <w:spacing w:line="360" w:lineRule="auto"/>
        <w:ind w:left="540"/>
        <w:rPr>
          <w:rFonts w:hint="eastAsia"/>
          <w:szCs w:val="21"/>
          <w:highlight w:val="none"/>
        </w:rPr>
      </w:pPr>
      <w:r>
        <w:rPr>
          <w:rFonts w:hint="eastAsia"/>
          <w:szCs w:val="21"/>
          <w:highlight w:val="none"/>
        </w:rPr>
        <w:t>（8）监测数据收集分析</w:t>
      </w:r>
    </w:p>
    <w:p>
      <w:pPr>
        <w:spacing w:line="360" w:lineRule="auto"/>
        <w:ind w:left="540"/>
        <w:rPr>
          <w:rFonts w:hint="eastAsia"/>
          <w:b/>
          <w:bCs/>
          <w:color w:val="00B050"/>
          <w:szCs w:val="21"/>
          <w:highlight w:val="none"/>
        </w:rPr>
      </w:pPr>
      <w:r>
        <w:rPr>
          <w:rFonts w:hint="eastAsia"/>
          <w:szCs w:val="21"/>
          <w:highlight w:val="none"/>
        </w:rPr>
        <w:t>对基坑监测、地铁结构监测数据进行收集，调取地铁营运内部数据对比分析，并根据地铁结构、运营现状进行风险识别、风险分析及应对建议，并提交监理月报。</w:t>
      </w:r>
    </w:p>
    <w:p>
      <w:pPr>
        <w:spacing w:line="360" w:lineRule="auto"/>
        <w:ind w:left="540"/>
        <w:rPr>
          <w:rFonts w:hint="eastAsia"/>
          <w:szCs w:val="21"/>
          <w:highlight w:val="none"/>
        </w:rPr>
      </w:pPr>
      <w:r>
        <w:rPr>
          <w:rFonts w:hint="eastAsia"/>
          <w:szCs w:val="21"/>
          <w:highlight w:val="none"/>
        </w:rPr>
        <w:t>（9）现场地保专题会议</w:t>
      </w:r>
    </w:p>
    <w:p>
      <w:pPr>
        <w:spacing w:line="360" w:lineRule="auto"/>
        <w:ind w:left="540"/>
        <w:rPr>
          <w:szCs w:val="21"/>
          <w:highlight w:val="none"/>
        </w:rPr>
      </w:pPr>
      <w:r>
        <w:rPr>
          <w:rFonts w:hint="eastAsia"/>
          <w:szCs w:val="21"/>
          <w:highlight w:val="none"/>
        </w:rPr>
        <w:t>根据项目现场情况，在有必要时主持召开现场地铁保护专题会议，解决与地铁保护相关的问题。</w:t>
      </w:r>
    </w:p>
    <w:p>
      <w:pPr>
        <w:spacing w:line="360" w:lineRule="auto"/>
        <w:ind w:left="540"/>
        <w:rPr>
          <w:rFonts w:hint="eastAsia"/>
          <w:szCs w:val="21"/>
          <w:highlight w:val="none"/>
        </w:rPr>
      </w:pPr>
      <w:r>
        <w:rPr>
          <w:rFonts w:hint="eastAsia"/>
          <w:szCs w:val="21"/>
          <w:highlight w:val="none"/>
        </w:rPr>
        <w:t>（10）参加项目相关工程会议</w:t>
      </w:r>
    </w:p>
    <w:p>
      <w:pPr>
        <w:spacing w:line="360" w:lineRule="auto"/>
        <w:ind w:left="540"/>
        <w:rPr>
          <w:rFonts w:hint="eastAsia"/>
          <w:szCs w:val="21"/>
          <w:highlight w:val="none"/>
        </w:rPr>
      </w:pPr>
      <w:r>
        <w:rPr>
          <w:rFonts w:hint="eastAsia"/>
          <w:szCs w:val="21"/>
          <w:highlight w:val="none"/>
        </w:rPr>
        <w:t>根据采购人要求及项目实施需要，安排专人参加工程相关会议，并按要求进行汇报。</w:t>
      </w:r>
    </w:p>
    <w:p>
      <w:pPr>
        <w:spacing w:line="360" w:lineRule="auto"/>
        <w:ind w:left="540"/>
        <w:rPr>
          <w:rFonts w:hint="eastAsia"/>
          <w:szCs w:val="21"/>
          <w:highlight w:val="none"/>
        </w:rPr>
      </w:pPr>
      <w:r>
        <w:rPr>
          <w:rFonts w:hint="eastAsia"/>
          <w:szCs w:val="21"/>
          <w:highlight w:val="none"/>
        </w:rPr>
        <w:t>（1</w:t>
      </w:r>
      <w:r>
        <w:rPr>
          <w:szCs w:val="21"/>
          <w:highlight w:val="none"/>
        </w:rPr>
        <w:t>1</w:t>
      </w:r>
      <w:r>
        <w:rPr>
          <w:rFonts w:hint="eastAsia"/>
          <w:szCs w:val="21"/>
          <w:highlight w:val="none"/>
        </w:rPr>
        <w:t>）协助与地铁集团联系沟通</w:t>
      </w:r>
    </w:p>
    <w:p>
      <w:pPr>
        <w:spacing w:line="360" w:lineRule="auto"/>
        <w:ind w:left="540"/>
        <w:rPr>
          <w:rFonts w:hint="eastAsia"/>
          <w:szCs w:val="21"/>
          <w:highlight w:val="none"/>
        </w:rPr>
      </w:pPr>
      <w:r>
        <w:rPr>
          <w:rFonts w:hint="eastAsia"/>
          <w:szCs w:val="21"/>
          <w:highlight w:val="none"/>
        </w:rPr>
        <w:t>配合地铁保护办公室、地铁集团房产总部、运营总部等，服务于建设业主，对现场状况及时与地铁方进行通报、沟通和处置，减少对项目工期及地铁运营的影响。</w:t>
      </w:r>
    </w:p>
    <w:p>
      <w:pPr>
        <w:spacing w:line="360" w:lineRule="auto"/>
        <w:ind w:left="540"/>
        <w:rPr>
          <w:rFonts w:hint="eastAsia"/>
          <w:szCs w:val="21"/>
          <w:highlight w:val="none"/>
        </w:rPr>
      </w:pPr>
      <w:r>
        <w:rPr>
          <w:rFonts w:hint="eastAsia"/>
          <w:szCs w:val="21"/>
          <w:highlight w:val="none"/>
        </w:rPr>
        <w:t>（1</w:t>
      </w:r>
      <w:r>
        <w:rPr>
          <w:szCs w:val="21"/>
          <w:highlight w:val="none"/>
        </w:rPr>
        <w:t>2</w:t>
      </w:r>
      <w:r>
        <w:rPr>
          <w:rFonts w:hint="eastAsia"/>
          <w:szCs w:val="21"/>
          <w:highlight w:val="none"/>
        </w:rPr>
        <w:t>）监控日志、监控周报、监控月报的编写</w:t>
      </w:r>
    </w:p>
    <w:p>
      <w:pPr>
        <w:spacing w:line="360" w:lineRule="auto"/>
        <w:ind w:left="540"/>
        <w:rPr>
          <w:rFonts w:hint="eastAsia"/>
          <w:szCs w:val="21"/>
          <w:highlight w:val="none"/>
        </w:rPr>
      </w:pPr>
      <w:r>
        <w:rPr>
          <w:rFonts w:hint="eastAsia"/>
          <w:szCs w:val="21"/>
          <w:highlight w:val="none"/>
        </w:rPr>
        <w:t>（1</w:t>
      </w:r>
      <w:r>
        <w:rPr>
          <w:szCs w:val="21"/>
          <w:highlight w:val="none"/>
        </w:rPr>
        <w:t>3</w:t>
      </w:r>
      <w:r>
        <w:rPr>
          <w:rFonts w:hint="eastAsia"/>
          <w:szCs w:val="21"/>
          <w:highlight w:val="none"/>
        </w:rPr>
        <w:t>）监控总结及地保结案</w:t>
      </w:r>
    </w:p>
    <w:p>
      <w:pPr>
        <w:numPr>
          <w:ilvl w:val="0"/>
          <w:numId w:val="8"/>
        </w:numPr>
        <w:spacing w:line="360" w:lineRule="auto"/>
        <w:rPr>
          <w:rFonts w:hint="eastAsia"/>
          <w:szCs w:val="21"/>
          <w:highlight w:val="none"/>
        </w:rPr>
      </w:pPr>
      <w:r>
        <w:rPr>
          <w:rFonts w:hint="eastAsia"/>
          <w:szCs w:val="21"/>
          <w:highlight w:val="none"/>
        </w:rPr>
        <w:t>服务期限：</w:t>
      </w:r>
    </w:p>
    <w:p>
      <w:pPr>
        <w:spacing w:line="360" w:lineRule="auto"/>
        <w:ind w:left="431" w:firstLine="420" w:firstLineChars="200"/>
        <w:rPr>
          <w:rFonts w:hint="eastAsia" w:ascii="宋体"/>
          <w:szCs w:val="21"/>
          <w:highlight w:val="none"/>
        </w:rPr>
      </w:pPr>
      <w:r>
        <w:rPr>
          <w:rFonts w:hint="eastAsia" w:ascii="宋体"/>
          <w:szCs w:val="21"/>
          <w:highlight w:val="none"/>
        </w:rPr>
        <w:t>前期地质勘探阶段：从地质勘探人员进场进行地质钻探测量放样开始至完成地铁保护范围内的地质勘探工作。</w:t>
      </w:r>
    </w:p>
    <w:p>
      <w:pPr>
        <w:spacing w:line="360" w:lineRule="auto"/>
        <w:ind w:left="431" w:firstLine="420" w:firstLineChars="200"/>
        <w:rPr>
          <w:rFonts w:hint="eastAsia" w:ascii="宋体"/>
          <w:szCs w:val="21"/>
          <w:highlight w:val="none"/>
        </w:rPr>
      </w:pPr>
      <w:r>
        <w:rPr>
          <w:rFonts w:hint="eastAsia" w:ascii="宋体"/>
          <w:szCs w:val="21"/>
          <w:highlight w:val="none"/>
        </w:rPr>
        <w:t>项目实施阶段：</w:t>
      </w:r>
      <w:r>
        <w:rPr>
          <w:rFonts w:hint="eastAsia" w:ascii="宋体"/>
          <w:szCs w:val="21"/>
          <w:highlight w:val="none"/>
          <w:lang w:val="en-US" w:eastAsia="zh-CN"/>
        </w:rPr>
        <w:t>暂估</w:t>
      </w:r>
      <w:r>
        <w:rPr>
          <w:rFonts w:hint="eastAsia" w:ascii="宋体"/>
          <w:szCs w:val="21"/>
          <w:highlight w:val="none"/>
          <w:u w:val="single"/>
          <w:lang w:val="en-US" w:eastAsia="zh-CN"/>
        </w:rPr>
        <w:t>7</w:t>
      </w:r>
      <w:r>
        <w:rPr>
          <w:rFonts w:hint="eastAsia" w:ascii="宋体"/>
          <w:szCs w:val="21"/>
          <w:highlight w:val="none"/>
        </w:rPr>
        <w:t>个月【从监测单位进入隧道布置监测点或实际工作开始时（两者在前的时间）开始至完成涉及地铁保护方面工程的全过程施工时间，暂定从</w:t>
      </w:r>
      <w:r>
        <w:rPr>
          <w:rFonts w:ascii="宋体"/>
          <w:szCs w:val="21"/>
          <w:highlight w:val="none"/>
          <w:u w:val="single"/>
        </w:rPr>
        <w:t>2022</w:t>
      </w:r>
      <w:r>
        <w:rPr>
          <w:rFonts w:hint="eastAsia" w:ascii="宋体"/>
          <w:szCs w:val="21"/>
          <w:highlight w:val="none"/>
        </w:rPr>
        <w:t>年</w:t>
      </w:r>
      <w:r>
        <w:rPr>
          <w:rFonts w:hint="eastAsia" w:ascii="宋体"/>
          <w:szCs w:val="21"/>
          <w:highlight w:val="none"/>
          <w:u w:val="single"/>
          <w:lang w:val="en-US" w:eastAsia="zh-CN"/>
        </w:rPr>
        <w:t>10</w:t>
      </w:r>
      <w:r>
        <w:rPr>
          <w:rFonts w:hint="eastAsia" w:ascii="宋体"/>
          <w:szCs w:val="21"/>
          <w:highlight w:val="none"/>
        </w:rPr>
        <w:t>月</w:t>
      </w:r>
      <w:r>
        <w:rPr>
          <w:rFonts w:ascii="宋体"/>
          <w:szCs w:val="21"/>
          <w:highlight w:val="none"/>
          <w:u w:val="single"/>
        </w:rPr>
        <w:t>30</w:t>
      </w:r>
      <w:r>
        <w:rPr>
          <w:rFonts w:hint="eastAsia" w:ascii="宋体"/>
          <w:szCs w:val="21"/>
          <w:highlight w:val="none"/>
          <w:u w:val="single"/>
        </w:rPr>
        <w:t xml:space="preserve"> </w:t>
      </w:r>
      <w:r>
        <w:rPr>
          <w:rFonts w:hint="eastAsia" w:ascii="宋体"/>
          <w:szCs w:val="21"/>
          <w:highlight w:val="none"/>
        </w:rPr>
        <w:t>日至</w:t>
      </w:r>
      <w:r>
        <w:rPr>
          <w:rFonts w:ascii="宋体"/>
          <w:szCs w:val="21"/>
          <w:highlight w:val="none"/>
          <w:u w:val="single"/>
        </w:rPr>
        <w:t>202</w:t>
      </w:r>
      <w:r>
        <w:rPr>
          <w:rFonts w:hint="eastAsia" w:ascii="宋体"/>
          <w:szCs w:val="21"/>
          <w:highlight w:val="none"/>
          <w:u w:val="single"/>
        </w:rPr>
        <w:t>3</w:t>
      </w:r>
      <w:r>
        <w:rPr>
          <w:rFonts w:hint="eastAsia" w:ascii="宋体"/>
          <w:szCs w:val="21"/>
          <w:highlight w:val="none"/>
        </w:rPr>
        <w:t>年</w:t>
      </w:r>
      <w:r>
        <w:rPr>
          <w:rFonts w:hint="eastAsia" w:ascii="宋体"/>
          <w:szCs w:val="21"/>
          <w:highlight w:val="none"/>
          <w:u w:val="single"/>
          <w:lang w:val="en-US" w:eastAsia="zh-CN"/>
        </w:rPr>
        <w:t>4</w:t>
      </w:r>
      <w:r>
        <w:rPr>
          <w:rFonts w:hint="eastAsia" w:ascii="宋体"/>
          <w:szCs w:val="21"/>
          <w:highlight w:val="none"/>
        </w:rPr>
        <w:t>月</w:t>
      </w:r>
      <w:r>
        <w:rPr>
          <w:rFonts w:ascii="宋体"/>
          <w:szCs w:val="21"/>
          <w:highlight w:val="none"/>
          <w:u w:val="single"/>
        </w:rPr>
        <w:t>30</w:t>
      </w:r>
      <w:r>
        <w:rPr>
          <w:rFonts w:hint="eastAsia" w:ascii="宋体"/>
          <w:szCs w:val="21"/>
          <w:highlight w:val="none"/>
        </w:rPr>
        <w:t>日】，具体</w:t>
      </w:r>
      <w:r>
        <w:rPr>
          <w:rFonts w:hint="eastAsia" w:ascii="宋体"/>
          <w:szCs w:val="21"/>
          <w:highlight w:val="none"/>
          <w:lang w:val="en-US" w:eastAsia="zh-CN"/>
        </w:rPr>
        <w:t>实施时间以实际时间为准，其中</w:t>
      </w:r>
      <w:r>
        <w:rPr>
          <w:rFonts w:hint="eastAsia" w:ascii="宋体"/>
          <w:szCs w:val="21"/>
          <w:highlight w:val="none"/>
        </w:rPr>
        <w:t>进场时间以采购人的通知为准，服务结束时间以广州地铁集团有限公司地保办确定的日期或经审批的地铁保护方案实施完毕（两者在前的时间）为准。</w:t>
      </w:r>
    </w:p>
    <w:p>
      <w:pPr>
        <w:numPr>
          <w:ilvl w:val="0"/>
          <w:numId w:val="7"/>
        </w:numPr>
        <w:tabs>
          <w:tab w:val="left" w:pos="540"/>
        </w:tabs>
        <w:spacing w:line="360" w:lineRule="auto"/>
        <w:rPr>
          <w:rFonts w:hint="eastAsia" w:ascii="宋体"/>
          <w:b/>
          <w:bCs/>
          <w:szCs w:val="21"/>
          <w:highlight w:val="none"/>
        </w:rPr>
      </w:pPr>
      <w:r>
        <w:rPr>
          <w:rFonts w:hint="eastAsia" w:ascii="宋体"/>
          <w:b/>
          <w:bCs/>
          <w:szCs w:val="21"/>
          <w:highlight w:val="none"/>
        </w:rPr>
        <w:t>合格供应商资格条件：</w:t>
      </w:r>
    </w:p>
    <w:p>
      <w:pPr>
        <w:numPr>
          <w:ilvl w:val="0"/>
          <w:numId w:val="9"/>
        </w:numPr>
        <w:tabs>
          <w:tab w:val="clear" w:pos="420"/>
        </w:tabs>
        <w:spacing w:line="360" w:lineRule="auto"/>
        <w:ind w:left="851"/>
        <w:rPr>
          <w:rFonts w:ascii="宋体"/>
          <w:szCs w:val="21"/>
          <w:highlight w:val="none"/>
        </w:rPr>
      </w:pPr>
      <w:r>
        <w:rPr>
          <w:rFonts w:hint="eastAsia" w:ascii="宋体"/>
          <w:szCs w:val="21"/>
          <w:highlight w:val="none"/>
        </w:rPr>
        <w:t>报价人必须为具备本项目履约能力的在中华人民共和国境内注册的独立的企业法人，同时持有工商行政管理部门核发的营业执照，并提供营业执照的复印件。</w:t>
      </w:r>
    </w:p>
    <w:p>
      <w:pPr>
        <w:numPr>
          <w:ilvl w:val="0"/>
          <w:numId w:val="9"/>
        </w:numPr>
        <w:tabs>
          <w:tab w:val="clear" w:pos="420"/>
        </w:tabs>
        <w:spacing w:line="360" w:lineRule="auto"/>
        <w:ind w:left="851"/>
        <w:rPr>
          <w:rFonts w:hint="eastAsia" w:ascii="宋体"/>
          <w:szCs w:val="21"/>
          <w:highlight w:val="none"/>
        </w:rPr>
      </w:pPr>
      <w:bookmarkStart w:id="1" w:name="_Hlk64965653"/>
      <w:r>
        <w:rPr>
          <w:rFonts w:hint="eastAsia" w:ascii="宋体"/>
          <w:szCs w:val="21"/>
          <w:highlight w:val="none"/>
        </w:rPr>
        <w:t>报价人应具有</w:t>
      </w:r>
      <w:r>
        <w:rPr>
          <w:rFonts w:hint="eastAsia" w:ascii="宋体"/>
          <w:b/>
          <w:bCs/>
          <w:szCs w:val="21"/>
          <w:highlight w:val="none"/>
          <w:u w:val="single"/>
          <w:lang w:eastAsia="zh-CN"/>
        </w:rPr>
        <w:t>工程监理综合资质或市政公用工程监理甲级</w:t>
      </w:r>
      <w:r>
        <w:rPr>
          <w:rFonts w:hint="eastAsia" w:ascii="宋体"/>
          <w:b/>
          <w:bCs/>
          <w:szCs w:val="21"/>
          <w:highlight w:val="none"/>
          <w:u w:val="single"/>
        </w:rPr>
        <w:t>资质</w:t>
      </w:r>
      <w:r>
        <w:rPr>
          <w:rFonts w:hint="eastAsia" w:ascii="宋体"/>
          <w:szCs w:val="21"/>
          <w:highlight w:val="none"/>
        </w:rPr>
        <w:t>。</w:t>
      </w:r>
    </w:p>
    <w:p>
      <w:pPr>
        <w:numPr>
          <w:ilvl w:val="0"/>
          <w:numId w:val="9"/>
        </w:numPr>
        <w:tabs>
          <w:tab w:val="clear" w:pos="420"/>
        </w:tabs>
        <w:spacing w:line="360" w:lineRule="auto"/>
        <w:ind w:left="851"/>
        <w:rPr>
          <w:rFonts w:hint="eastAsia" w:ascii="宋体"/>
          <w:szCs w:val="21"/>
          <w:highlight w:val="none"/>
        </w:rPr>
      </w:pPr>
      <w:bookmarkStart w:id="40" w:name="_GoBack"/>
      <w:bookmarkEnd w:id="40"/>
      <w:r>
        <w:rPr>
          <w:rFonts w:hint="eastAsia" w:ascii="宋体"/>
          <w:szCs w:val="21"/>
          <w:highlight w:val="none"/>
        </w:rPr>
        <w:t>报价人拟担任本工程项目负责人要求为具有</w:t>
      </w:r>
      <w:r>
        <w:rPr>
          <w:rFonts w:hint="eastAsia" w:ascii="宋体"/>
          <w:b/>
          <w:bCs/>
          <w:szCs w:val="21"/>
          <w:highlight w:val="none"/>
          <w:u w:val="single"/>
        </w:rPr>
        <w:t>工程类高级工程师或以上技术职称</w:t>
      </w:r>
      <w:r>
        <w:rPr>
          <w:rFonts w:hint="eastAsia" w:ascii="宋体"/>
          <w:szCs w:val="21"/>
          <w:highlight w:val="none"/>
        </w:rPr>
        <w:t>。</w:t>
      </w:r>
    </w:p>
    <w:bookmarkEnd w:id="1"/>
    <w:p>
      <w:pPr>
        <w:numPr>
          <w:ilvl w:val="0"/>
          <w:numId w:val="9"/>
        </w:numPr>
        <w:tabs>
          <w:tab w:val="clear" w:pos="420"/>
        </w:tabs>
        <w:spacing w:line="360" w:lineRule="auto"/>
        <w:ind w:left="851"/>
        <w:rPr>
          <w:rFonts w:hint="eastAsia" w:ascii="宋体"/>
          <w:szCs w:val="21"/>
          <w:highlight w:val="none"/>
        </w:rPr>
      </w:pPr>
      <w:r>
        <w:rPr>
          <w:rFonts w:hint="eastAsia"/>
          <w:highlight w:val="none"/>
        </w:rPr>
        <w:t>报价人需在广东省机场管理集团有限公司招标、采购管理平台(wz.gdairport.</w:t>
      </w:r>
      <w:r>
        <w:rPr>
          <w:highlight w:val="none"/>
        </w:rPr>
        <w:t>com</w:t>
      </w:r>
      <w:r>
        <w:rPr>
          <w:rFonts w:hint="eastAsia"/>
          <w:highlight w:val="none"/>
        </w:rPr>
        <w:t>)主页中“合作商注册”模块，按规定格式填写正确的供应商登记信息，登记为合格的候选供应商（已注册的除外）。并提供应商登陆系统打印的合作商登记表并加盖公章。</w:t>
      </w:r>
    </w:p>
    <w:p>
      <w:pPr>
        <w:numPr>
          <w:ilvl w:val="0"/>
          <w:numId w:val="9"/>
        </w:numPr>
        <w:tabs>
          <w:tab w:val="clear" w:pos="420"/>
        </w:tabs>
        <w:spacing w:line="360" w:lineRule="auto"/>
        <w:ind w:left="851"/>
        <w:rPr>
          <w:rFonts w:hint="eastAsia"/>
          <w:highlight w:val="none"/>
        </w:rPr>
      </w:pPr>
      <w:r>
        <w:rPr>
          <w:rFonts w:hint="eastAsia"/>
          <w:highlight w:val="none"/>
        </w:rPr>
        <w:t>201</w:t>
      </w:r>
      <w:r>
        <w:rPr>
          <w:highlight w:val="none"/>
        </w:rPr>
        <w:t>9</w:t>
      </w:r>
      <w:r>
        <w:rPr>
          <w:rFonts w:hint="eastAsia"/>
          <w:highlight w:val="none"/>
        </w:rPr>
        <w:t>年1月1日至今，报价人没有因腐败或欺诈行为而被政府或业主宣布取消投标资格；同时，2019年1月1日年至今报价人（包括其关联公司）与采购人无发生各种诉讼、仲裁和不良投诉（须就此项内容提供承诺函并加盖报价人公章）；</w:t>
      </w:r>
    </w:p>
    <w:p>
      <w:pPr>
        <w:numPr>
          <w:ilvl w:val="0"/>
          <w:numId w:val="9"/>
        </w:numPr>
        <w:tabs>
          <w:tab w:val="clear" w:pos="420"/>
        </w:tabs>
        <w:spacing w:line="360" w:lineRule="auto"/>
        <w:ind w:left="851"/>
        <w:rPr>
          <w:rFonts w:hint="eastAsia"/>
          <w:highlight w:val="none"/>
        </w:rPr>
      </w:pPr>
      <w:r>
        <w:rPr>
          <w:rFonts w:hint="eastAsia"/>
          <w:highlight w:val="none"/>
        </w:rPr>
        <w:t>报价人不得被列为“严重失信主体”。（注：以“信用中国”网站（https://www.creditchina.gov.cn/）查询为准，投标人提供从“信用中国”网站截图“严重失信主体名单查询”页面并加盖公章（未按格式要求截图或截图信息不清晰将作认定为无效报价，截图格式见附录9）；</w:t>
      </w:r>
    </w:p>
    <w:p>
      <w:pPr>
        <w:numPr>
          <w:ilvl w:val="0"/>
          <w:numId w:val="9"/>
        </w:numPr>
        <w:tabs>
          <w:tab w:val="clear" w:pos="420"/>
        </w:tabs>
        <w:spacing w:line="360" w:lineRule="auto"/>
        <w:ind w:left="851"/>
        <w:rPr>
          <w:highlight w:val="none"/>
        </w:rPr>
      </w:pPr>
      <w:r>
        <w:rPr>
          <w:rFonts w:hint="eastAsia"/>
          <w:highlight w:val="none"/>
        </w:rPr>
        <w:t>报价人不得被列为严重违法失信企业名单（黑名单），以“国家企业信用信息公示系统”网站（www.gsxt.gov.cn）查询为准，报价人需在采购公告发布后从“国家企业信用信息公示系统”网站截图并加盖公章（截图格式见附录10）；</w:t>
      </w:r>
    </w:p>
    <w:p>
      <w:pPr>
        <w:numPr>
          <w:ilvl w:val="0"/>
          <w:numId w:val="9"/>
        </w:numPr>
        <w:tabs>
          <w:tab w:val="clear" w:pos="420"/>
        </w:tabs>
        <w:spacing w:line="360" w:lineRule="auto"/>
        <w:ind w:left="851"/>
        <w:rPr>
          <w:highlight w:val="none"/>
        </w:rPr>
      </w:pPr>
      <w:r>
        <w:rPr>
          <w:rFonts w:hint="eastAsia"/>
          <w:highlight w:val="none"/>
        </w:rPr>
        <w:t>报价人不得被列入中国执行信息公开网（http://zxgk.court.gov.cn/）的全国法院失信被执行人名单，报价人需在竞价公告发布后从“中国执行信息公开网”网站截图并加盖公章；</w:t>
      </w:r>
    </w:p>
    <w:p>
      <w:pPr>
        <w:numPr>
          <w:ilvl w:val="0"/>
          <w:numId w:val="9"/>
        </w:numPr>
        <w:tabs>
          <w:tab w:val="clear" w:pos="420"/>
        </w:tabs>
        <w:spacing w:line="360" w:lineRule="auto"/>
        <w:ind w:left="851"/>
        <w:rPr>
          <w:rFonts w:hint="eastAsia"/>
          <w:highlight w:val="none"/>
        </w:rPr>
      </w:pPr>
      <w:r>
        <w:rPr>
          <w:rFonts w:hint="eastAsia"/>
          <w:highlight w:val="none"/>
        </w:rPr>
        <w:t>报价人法定代表人为同一人的两个及两个以上法人，母公司、全资子公司及其控股公司，都不得在该项目中同时报价。</w:t>
      </w:r>
    </w:p>
    <w:p>
      <w:pPr>
        <w:numPr>
          <w:ilvl w:val="0"/>
          <w:numId w:val="9"/>
        </w:numPr>
        <w:tabs>
          <w:tab w:val="clear" w:pos="420"/>
        </w:tabs>
        <w:spacing w:line="360" w:lineRule="auto"/>
        <w:ind w:left="851" w:hanging="425"/>
        <w:rPr>
          <w:rFonts w:ascii="宋体"/>
          <w:szCs w:val="21"/>
          <w:highlight w:val="none"/>
        </w:rPr>
      </w:pPr>
      <w:r>
        <w:rPr>
          <w:rFonts w:hint="eastAsia" w:ascii="宋体"/>
          <w:szCs w:val="21"/>
          <w:highlight w:val="none"/>
        </w:rPr>
        <w:t>本项目不接受联合体报价。</w:t>
      </w:r>
    </w:p>
    <w:p>
      <w:pPr>
        <w:numPr>
          <w:ilvl w:val="0"/>
          <w:numId w:val="9"/>
        </w:numPr>
        <w:tabs>
          <w:tab w:val="clear" w:pos="420"/>
        </w:tabs>
        <w:spacing w:line="360" w:lineRule="auto"/>
        <w:ind w:left="851" w:hanging="425"/>
        <w:rPr>
          <w:rFonts w:ascii="宋体"/>
          <w:szCs w:val="21"/>
          <w:highlight w:val="none"/>
        </w:rPr>
      </w:pPr>
      <w:r>
        <w:rPr>
          <w:rFonts w:hint="eastAsia" w:ascii="宋体"/>
          <w:szCs w:val="21"/>
          <w:highlight w:val="none"/>
        </w:rPr>
        <w:t>已登记为本项目报价人。</w:t>
      </w:r>
    </w:p>
    <w:p>
      <w:pPr>
        <w:numPr>
          <w:ilvl w:val="0"/>
          <w:numId w:val="7"/>
        </w:numPr>
        <w:tabs>
          <w:tab w:val="left" w:pos="540"/>
        </w:tabs>
        <w:spacing w:line="360" w:lineRule="auto"/>
        <w:rPr>
          <w:rFonts w:hint="eastAsia" w:ascii="宋体"/>
          <w:b/>
          <w:bCs/>
          <w:szCs w:val="21"/>
          <w:highlight w:val="none"/>
        </w:rPr>
      </w:pPr>
      <w:r>
        <w:rPr>
          <w:rFonts w:hint="eastAsia" w:ascii="宋体"/>
          <w:b/>
          <w:bCs/>
          <w:szCs w:val="21"/>
          <w:highlight w:val="none"/>
        </w:rPr>
        <w:t>报价登记及获取采购文件</w:t>
      </w:r>
    </w:p>
    <w:p>
      <w:pPr>
        <w:numPr>
          <w:ilvl w:val="0"/>
          <w:numId w:val="10"/>
        </w:numPr>
        <w:tabs>
          <w:tab w:val="clear" w:pos="420"/>
        </w:tabs>
        <w:spacing w:line="360" w:lineRule="auto"/>
        <w:ind w:left="826" w:hanging="400"/>
        <w:rPr>
          <w:rFonts w:ascii="宋体"/>
          <w:kern w:val="0"/>
          <w:szCs w:val="21"/>
          <w:highlight w:val="none"/>
        </w:rPr>
      </w:pPr>
      <w:r>
        <w:rPr>
          <w:rFonts w:hint="eastAsia" w:ascii="宋体" w:hAnsi="宋体"/>
          <w:szCs w:val="21"/>
          <w:highlight w:val="none"/>
        </w:rPr>
        <w:t>登记时间为</w:t>
      </w:r>
      <w:r>
        <w:rPr>
          <w:rFonts w:hint="eastAsia" w:ascii="宋体" w:hAnsi="宋体"/>
          <w:szCs w:val="21"/>
          <w:highlight w:val="yellow"/>
        </w:rPr>
        <w:t>202</w:t>
      </w:r>
      <w:r>
        <w:rPr>
          <w:rFonts w:hint="eastAsia" w:ascii="宋体" w:hAnsi="宋体"/>
          <w:szCs w:val="21"/>
          <w:highlight w:val="yellow"/>
          <w:lang w:val="en-US" w:eastAsia="zh-CN"/>
        </w:rPr>
        <w:t>2</w:t>
      </w:r>
      <w:r>
        <w:rPr>
          <w:rFonts w:hint="eastAsia" w:ascii="宋体" w:hAnsi="宋体"/>
          <w:szCs w:val="21"/>
          <w:highlight w:val="yellow"/>
        </w:rPr>
        <w:t>年</w:t>
      </w:r>
      <w:r>
        <w:rPr>
          <w:rFonts w:hint="eastAsia" w:ascii="宋体" w:hAnsi="宋体"/>
          <w:szCs w:val="21"/>
          <w:highlight w:val="yellow"/>
          <w:lang w:val="en-US" w:eastAsia="zh-CN"/>
        </w:rPr>
        <w:t>9</w:t>
      </w:r>
      <w:r>
        <w:rPr>
          <w:rFonts w:hint="eastAsia" w:ascii="宋体" w:hAnsi="宋体"/>
          <w:szCs w:val="21"/>
          <w:highlight w:val="yellow"/>
        </w:rPr>
        <w:t>月</w:t>
      </w:r>
      <w:r>
        <w:rPr>
          <w:rFonts w:hint="eastAsia" w:ascii="宋体" w:hAnsi="宋体"/>
          <w:szCs w:val="21"/>
          <w:highlight w:val="yellow"/>
          <w:lang w:val="en-US" w:eastAsia="zh-CN"/>
        </w:rPr>
        <w:t>26</w:t>
      </w:r>
      <w:r>
        <w:rPr>
          <w:rFonts w:hint="eastAsia" w:ascii="宋体" w:hAnsi="宋体"/>
          <w:szCs w:val="21"/>
          <w:highlight w:val="yellow"/>
        </w:rPr>
        <w:t>日至202</w:t>
      </w:r>
      <w:r>
        <w:rPr>
          <w:rFonts w:hint="eastAsia" w:ascii="宋体" w:hAnsi="宋体"/>
          <w:szCs w:val="21"/>
          <w:highlight w:val="yellow"/>
          <w:lang w:val="en-US" w:eastAsia="zh-CN"/>
        </w:rPr>
        <w:t>2</w:t>
      </w:r>
      <w:r>
        <w:rPr>
          <w:rFonts w:hint="eastAsia" w:ascii="宋体" w:hAnsi="宋体"/>
          <w:szCs w:val="21"/>
          <w:highlight w:val="yellow"/>
        </w:rPr>
        <w:t>年</w:t>
      </w:r>
      <w:r>
        <w:rPr>
          <w:rFonts w:hint="eastAsia" w:ascii="宋体" w:hAnsi="宋体"/>
          <w:szCs w:val="21"/>
          <w:highlight w:val="yellow"/>
          <w:lang w:val="en-US" w:eastAsia="zh-CN"/>
        </w:rPr>
        <w:t>9</w:t>
      </w:r>
      <w:r>
        <w:rPr>
          <w:rFonts w:hint="eastAsia" w:ascii="宋体" w:hAnsi="宋体"/>
          <w:szCs w:val="21"/>
          <w:highlight w:val="yellow"/>
        </w:rPr>
        <w:t>月</w:t>
      </w:r>
      <w:r>
        <w:rPr>
          <w:rFonts w:hint="eastAsia" w:ascii="宋体" w:hAnsi="宋体"/>
          <w:szCs w:val="21"/>
          <w:highlight w:val="yellow"/>
          <w:lang w:val="en-US" w:eastAsia="zh-CN"/>
        </w:rPr>
        <w:t>30</w:t>
      </w:r>
      <w:r>
        <w:rPr>
          <w:rFonts w:hint="eastAsia" w:ascii="宋体" w:hAnsi="宋体"/>
          <w:szCs w:val="21"/>
          <w:highlight w:val="yellow"/>
        </w:rPr>
        <w:t>日</w:t>
      </w:r>
      <w:r>
        <w:rPr>
          <w:rFonts w:hint="eastAsia" w:ascii="宋体" w:hAnsi="宋体"/>
          <w:szCs w:val="21"/>
          <w:highlight w:val="none"/>
        </w:rPr>
        <w:t>（节假日除外）的上午9：30～11：30，下午14：00～16：00（</w:t>
      </w:r>
      <w:r>
        <w:rPr>
          <w:rFonts w:hint="eastAsia" w:ascii="宋体"/>
          <w:kern w:val="0"/>
          <w:szCs w:val="21"/>
          <w:highlight w:val="none"/>
          <w:lang w:val="zh-CN"/>
        </w:rPr>
        <w:t>北京时间</w:t>
      </w:r>
      <w:r>
        <w:rPr>
          <w:rFonts w:hint="eastAsia" w:ascii="宋体" w:hAnsi="宋体"/>
          <w:szCs w:val="21"/>
          <w:highlight w:val="none"/>
        </w:rPr>
        <w:t>），由供应商代表将登记函（详见采购文件格式一）及法定代表人证明书、法定代表人授权委托书（非法定代表人登记时提供）</w:t>
      </w:r>
      <w:bookmarkStart w:id="2" w:name="_Hlt10932752"/>
      <w:bookmarkStart w:id="3" w:name="_Hlt10932753"/>
      <w:r>
        <w:rPr>
          <w:rFonts w:hint="eastAsia" w:ascii="宋体" w:hAnsi="宋体"/>
          <w:szCs w:val="21"/>
          <w:highlight w:val="none"/>
        </w:rPr>
        <w:t>的电子版文件以邮件形式发送至采购人邮箱</w:t>
      </w:r>
      <w:r>
        <w:rPr>
          <w:rFonts w:ascii="宋体" w:hAnsi="宋体"/>
          <w:szCs w:val="21"/>
          <w:highlight w:val="none"/>
        </w:rPr>
        <w:fldChar w:fldCharType="begin"/>
      </w:r>
      <w:r>
        <w:rPr>
          <w:rFonts w:ascii="宋体" w:hAnsi="宋体"/>
          <w:szCs w:val="21"/>
          <w:highlight w:val="none"/>
        </w:rPr>
        <w:instrText xml:space="preserve"> HYPERLINK "mailto:</w:instrText>
      </w:r>
      <w:r>
        <w:rPr>
          <w:rFonts w:hint="eastAsia" w:ascii="宋体" w:hAnsi="宋体"/>
          <w:szCs w:val="21"/>
          <w:highlight w:val="none"/>
        </w:rPr>
        <w:instrText xml:space="preserve">（XXX</w:instrText>
      </w:r>
      <w:r>
        <w:rPr>
          <w:rFonts w:ascii="宋体" w:hAnsi="宋体"/>
          <w:szCs w:val="21"/>
          <w:highlight w:val="none"/>
        </w:rPr>
        <w:instrText xml:space="preserve">@gdairport.com" </w:instrText>
      </w:r>
      <w:r>
        <w:rPr>
          <w:rFonts w:ascii="宋体" w:hAnsi="宋体"/>
          <w:szCs w:val="21"/>
          <w:highlight w:val="none"/>
        </w:rPr>
        <w:fldChar w:fldCharType="separate"/>
      </w:r>
      <w:r>
        <w:rPr>
          <w:rStyle w:val="15"/>
          <w:rFonts w:hint="eastAsia" w:ascii="宋体" w:hAnsi="宋体"/>
          <w:color w:val="auto"/>
          <w:szCs w:val="21"/>
          <w:highlight w:val="none"/>
        </w:rPr>
        <w:t>（yaoshuo@gdairport.com</w:t>
      </w:r>
      <w:r>
        <w:rPr>
          <w:rFonts w:ascii="宋体" w:hAnsi="宋体"/>
          <w:szCs w:val="21"/>
          <w:highlight w:val="none"/>
        </w:rPr>
        <w:fldChar w:fldCharType="end"/>
      </w:r>
      <w:bookmarkEnd w:id="2"/>
      <w:bookmarkEnd w:id="3"/>
      <w:r>
        <w:rPr>
          <w:rFonts w:hint="eastAsia" w:ascii="宋体" w:hAnsi="宋体"/>
          <w:szCs w:val="21"/>
          <w:highlight w:val="none"/>
          <w:lang w:val="en-US" w:eastAsia="zh-CN"/>
        </w:rPr>
        <w:t>或</w:t>
      </w:r>
      <w:r>
        <w:rPr>
          <w:rStyle w:val="15"/>
          <w:rFonts w:hint="eastAsia" w:ascii="宋体" w:hAnsi="宋体" w:eastAsia="宋体" w:cs="Times New Roman"/>
          <w:color w:val="auto"/>
          <w:szCs w:val="21"/>
          <w:highlight w:val="none"/>
          <w:lang w:val="en-US" w:eastAsia="zh-CN"/>
        </w:rPr>
        <w:t>zhangqi</w:t>
      </w:r>
      <w:r>
        <w:rPr>
          <w:rStyle w:val="15"/>
          <w:rFonts w:hint="eastAsia" w:ascii="宋体" w:hAnsi="宋体" w:eastAsia="宋体" w:cs="Times New Roman"/>
          <w:color w:val="auto"/>
          <w:szCs w:val="21"/>
          <w:highlight w:val="none"/>
        </w:rPr>
        <w:t>@gd</w:t>
      </w:r>
      <w:r>
        <w:rPr>
          <w:rStyle w:val="15"/>
          <w:rFonts w:hint="eastAsia" w:ascii="宋体" w:hAnsi="宋体"/>
          <w:color w:val="auto"/>
          <w:szCs w:val="21"/>
          <w:highlight w:val="none"/>
        </w:rPr>
        <w:t>airport.com</w:t>
      </w:r>
      <w:r>
        <w:rPr>
          <w:rFonts w:hint="eastAsia" w:ascii="宋体" w:hAnsi="宋体"/>
          <w:szCs w:val="21"/>
          <w:highlight w:val="none"/>
        </w:rPr>
        <w:t>）进行登记及获取采购文件，</w:t>
      </w:r>
      <w:r>
        <w:rPr>
          <w:rFonts w:hint="eastAsia" w:hAnsi="宋体"/>
          <w:szCs w:val="21"/>
          <w:highlight w:val="none"/>
        </w:rPr>
        <w:t>逾期可不受理。</w:t>
      </w:r>
      <w:r>
        <w:rPr>
          <w:rFonts w:hint="eastAsia" w:ascii="宋体" w:hAnsi="宋体"/>
          <w:szCs w:val="21"/>
          <w:highlight w:val="none"/>
        </w:rPr>
        <w:t>采购人将在收到邮件后1个工作日回复，并向供应商发出采购文件。</w:t>
      </w:r>
    </w:p>
    <w:p>
      <w:pPr>
        <w:numPr>
          <w:ilvl w:val="0"/>
          <w:numId w:val="10"/>
        </w:numPr>
        <w:tabs>
          <w:tab w:val="clear" w:pos="420"/>
        </w:tabs>
        <w:spacing w:line="360" w:lineRule="auto"/>
        <w:ind w:left="826" w:hanging="400"/>
        <w:rPr>
          <w:rFonts w:ascii="宋体"/>
          <w:kern w:val="0"/>
          <w:szCs w:val="21"/>
          <w:highlight w:val="none"/>
        </w:rPr>
      </w:pPr>
      <w:r>
        <w:rPr>
          <w:rFonts w:hint="eastAsia" w:ascii="宋体" w:hAnsi="宋体"/>
          <w:szCs w:val="21"/>
          <w:highlight w:val="none"/>
        </w:rPr>
        <w:t>在规定的登记期间，登记的供应商不足3名时，采购人将发布公告延长接受登记时间。在延期登记时间内，已登记供应商的资料仍有效并可自行补充资料，未登记的申请单位可根据公告的约定参与登记。</w:t>
      </w:r>
    </w:p>
    <w:p>
      <w:pPr>
        <w:numPr>
          <w:ilvl w:val="0"/>
          <w:numId w:val="10"/>
        </w:numPr>
        <w:tabs>
          <w:tab w:val="clear" w:pos="420"/>
        </w:tabs>
        <w:spacing w:line="360" w:lineRule="auto"/>
        <w:ind w:left="826" w:hanging="400"/>
        <w:rPr>
          <w:rFonts w:hint="eastAsia" w:ascii="宋体"/>
          <w:kern w:val="0"/>
          <w:szCs w:val="21"/>
          <w:highlight w:val="none"/>
        </w:rPr>
      </w:pPr>
      <w:r>
        <w:rPr>
          <w:rFonts w:hint="eastAsia" w:ascii="宋体" w:hAnsi="宋体"/>
          <w:szCs w:val="21"/>
          <w:highlight w:val="none"/>
        </w:rPr>
        <w:t>若延长登记时间后，登记的供应上仍不足3名时，采购人将变更采购方式。</w:t>
      </w:r>
    </w:p>
    <w:p>
      <w:pPr>
        <w:numPr>
          <w:ilvl w:val="0"/>
          <w:numId w:val="7"/>
        </w:numPr>
        <w:tabs>
          <w:tab w:val="left" w:pos="540"/>
        </w:tabs>
        <w:spacing w:line="360" w:lineRule="auto"/>
        <w:rPr>
          <w:rFonts w:hint="eastAsia" w:ascii="宋体"/>
          <w:b/>
          <w:bCs/>
          <w:szCs w:val="21"/>
          <w:highlight w:val="none"/>
        </w:rPr>
      </w:pPr>
      <w:r>
        <w:rPr>
          <w:rFonts w:hint="eastAsia" w:ascii="宋体"/>
          <w:b/>
          <w:bCs/>
          <w:szCs w:val="21"/>
          <w:highlight w:val="none"/>
        </w:rPr>
        <w:t>报价文件的提交形式、地址和截止时间</w:t>
      </w:r>
    </w:p>
    <w:p>
      <w:pPr>
        <w:numPr>
          <w:ilvl w:val="1"/>
          <w:numId w:val="7"/>
        </w:numPr>
        <w:spacing w:line="360" w:lineRule="auto"/>
        <w:rPr>
          <w:rFonts w:ascii="宋体"/>
          <w:szCs w:val="21"/>
          <w:highlight w:val="none"/>
        </w:rPr>
      </w:pPr>
      <w:r>
        <w:rPr>
          <w:rFonts w:hint="eastAsia" w:ascii="宋体"/>
          <w:szCs w:val="21"/>
          <w:highlight w:val="none"/>
        </w:rPr>
        <w:t>报价人须现场递交和邮寄两种方式递交项目报价文件。</w:t>
      </w:r>
    </w:p>
    <w:p>
      <w:pPr>
        <w:numPr>
          <w:ilvl w:val="1"/>
          <w:numId w:val="7"/>
        </w:numPr>
        <w:spacing w:line="360" w:lineRule="auto"/>
        <w:rPr>
          <w:rFonts w:ascii="宋体"/>
          <w:szCs w:val="21"/>
          <w:highlight w:val="none"/>
        </w:rPr>
      </w:pPr>
      <w:r>
        <w:rPr>
          <w:rFonts w:hint="eastAsia" w:ascii="宋体"/>
          <w:szCs w:val="21"/>
          <w:highlight w:val="none"/>
        </w:rPr>
        <w:t>报价文件现场递交地址为：</w:t>
      </w:r>
      <w:r>
        <w:rPr>
          <w:rFonts w:hint="eastAsia" w:ascii="宋体" w:hAnsi="宋体"/>
          <w:szCs w:val="21"/>
          <w:highlight w:val="none"/>
        </w:rPr>
        <w:t>广州市白云区人和镇新白云机场东南工作区广州白云国际机场股份有限公司办公楼226办公室，收件人：</w:t>
      </w:r>
      <w:r>
        <w:rPr>
          <w:rFonts w:hint="eastAsia" w:ascii="宋体" w:hAnsi="宋体"/>
          <w:szCs w:val="21"/>
          <w:highlight w:val="none"/>
          <w:lang w:val="en-US" w:eastAsia="zh-CN"/>
        </w:rPr>
        <w:t>张工</w:t>
      </w:r>
    </w:p>
    <w:p>
      <w:pPr>
        <w:numPr>
          <w:ilvl w:val="1"/>
          <w:numId w:val="7"/>
        </w:numPr>
        <w:spacing w:line="360" w:lineRule="auto"/>
        <w:rPr>
          <w:rFonts w:ascii="宋体"/>
          <w:szCs w:val="21"/>
          <w:highlight w:val="none"/>
        </w:rPr>
      </w:pPr>
      <w:r>
        <w:rPr>
          <w:rFonts w:hint="eastAsia" w:ascii="宋体"/>
          <w:szCs w:val="21"/>
          <w:highlight w:val="none"/>
        </w:rPr>
        <w:t>报价文件递交截止时间：</w:t>
      </w:r>
      <w:r>
        <w:rPr>
          <w:rFonts w:hint="eastAsia" w:ascii="宋体"/>
          <w:szCs w:val="21"/>
          <w:highlight w:val="yellow"/>
        </w:rPr>
        <w:t>2</w:t>
      </w:r>
      <w:r>
        <w:rPr>
          <w:rFonts w:ascii="宋体"/>
          <w:szCs w:val="21"/>
          <w:highlight w:val="yellow"/>
        </w:rPr>
        <w:t>0</w:t>
      </w:r>
      <w:r>
        <w:rPr>
          <w:rFonts w:hint="eastAsia" w:ascii="宋体"/>
          <w:szCs w:val="21"/>
          <w:highlight w:val="yellow"/>
        </w:rPr>
        <w:t>2</w:t>
      </w:r>
      <w:r>
        <w:rPr>
          <w:rFonts w:ascii="宋体"/>
          <w:szCs w:val="21"/>
          <w:highlight w:val="yellow"/>
        </w:rPr>
        <w:t>2</w:t>
      </w:r>
      <w:r>
        <w:rPr>
          <w:rFonts w:hint="eastAsia" w:ascii="宋体"/>
          <w:szCs w:val="21"/>
          <w:highlight w:val="yellow"/>
        </w:rPr>
        <w:t>年</w:t>
      </w:r>
      <w:r>
        <w:rPr>
          <w:rFonts w:hint="eastAsia" w:ascii="宋体"/>
          <w:szCs w:val="21"/>
          <w:highlight w:val="yellow"/>
          <w:lang w:val="en-US" w:eastAsia="zh-CN"/>
        </w:rPr>
        <w:t>10</w:t>
      </w:r>
      <w:r>
        <w:rPr>
          <w:rFonts w:hint="eastAsia" w:ascii="宋体"/>
          <w:szCs w:val="21"/>
          <w:highlight w:val="yellow"/>
        </w:rPr>
        <w:t>月</w:t>
      </w:r>
      <w:r>
        <w:rPr>
          <w:rFonts w:hint="eastAsia" w:ascii="宋体" w:hAnsi="宋体"/>
          <w:szCs w:val="21"/>
          <w:highlight w:val="yellow"/>
          <w:lang w:val="en-US" w:eastAsia="zh-CN"/>
        </w:rPr>
        <w:t>14</w:t>
      </w:r>
      <w:r>
        <w:rPr>
          <w:rFonts w:hint="eastAsia" w:ascii="宋体"/>
          <w:szCs w:val="21"/>
          <w:highlight w:val="yellow"/>
        </w:rPr>
        <w:t>日</w:t>
      </w:r>
      <w:r>
        <w:rPr>
          <w:rFonts w:hint="eastAsia" w:ascii="宋体"/>
          <w:szCs w:val="21"/>
          <w:highlight w:val="none"/>
        </w:rPr>
        <w:t>，1</w:t>
      </w:r>
      <w:r>
        <w:rPr>
          <w:rFonts w:ascii="宋体"/>
          <w:szCs w:val="21"/>
          <w:highlight w:val="none"/>
        </w:rPr>
        <w:t>6</w:t>
      </w:r>
      <w:r>
        <w:rPr>
          <w:rFonts w:hint="eastAsia" w:ascii="宋体"/>
          <w:szCs w:val="21"/>
          <w:highlight w:val="none"/>
        </w:rPr>
        <w:t>:</w:t>
      </w:r>
      <w:r>
        <w:rPr>
          <w:rFonts w:ascii="宋体"/>
          <w:szCs w:val="21"/>
          <w:highlight w:val="none"/>
        </w:rPr>
        <w:t>00</w:t>
      </w:r>
      <w:r>
        <w:rPr>
          <w:rFonts w:hint="eastAsia" w:ascii="宋体"/>
          <w:szCs w:val="21"/>
          <w:highlight w:val="none"/>
        </w:rPr>
        <w:t>。（邮寄方式递交的报价文件以文件寄出时间为准）</w:t>
      </w:r>
    </w:p>
    <w:p>
      <w:pPr>
        <w:numPr>
          <w:ilvl w:val="1"/>
          <w:numId w:val="7"/>
        </w:numPr>
        <w:spacing w:line="360" w:lineRule="auto"/>
        <w:rPr>
          <w:rFonts w:hint="eastAsia" w:ascii="宋体"/>
          <w:szCs w:val="21"/>
          <w:highlight w:val="none"/>
        </w:rPr>
      </w:pPr>
      <w:r>
        <w:rPr>
          <w:rFonts w:hint="eastAsia" w:ascii="宋体"/>
          <w:szCs w:val="21"/>
          <w:highlight w:val="none"/>
        </w:rPr>
        <w:t>报价文件按指定时间、地点送达，逾期递交的报价文件恕不接受。</w:t>
      </w:r>
    </w:p>
    <w:p>
      <w:pPr>
        <w:numPr>
          <w:ilvl w:val="1"/>
          <w:numId w:val="7"/>
        </w:numPr>
        <w:spacing w:line="360" w:lineRule="auto"/>
        <w:rPr>
          <w:rFonts w:hint="eastAsia" w:ascii="宋体"/>
          <w:szCs w:val="21"/>
          <w:highlight w:val="none"/>
        </w:rPr>
      </w:pPr>
      <w:r>
        <w:rPr>
          <w:rFonts w:hint="eastAsia"/>
          <w:color w:val="333333"/>
          <w:szCs w:val="21"/>
          <w:highlight w:val="none"/>
        </w:rPr>
        <w:t>采购人不接受以邮件、电话、传真等形式的报价。</w:t>
      </w:r>
    </w:p>
    <w:p>
      <w:pPr>
        <w:numPr>
          <w:ilvl w:val="0"/>
          <w:numId w:val="7"/>
        </w:numPr>
        <w:tabs>
          <w:tab w:val="clear" w:pos="360"/>
        </w:tabs>
        <w:spacing w:line="360" w:lineRule="auto"/>
        <w:ind w:left="425" w:hanging="426" w:hangingChars="202"/>
        <w:rPr>
          <w:rFonts w:hint="eastAsia" w:ascii="宋体"/>
          <w:b/>
          <w:bCs/>
          <w:szCs w:val="21"/>
          <w:highlight w:val="none"/>
        </w:rPr>
      </w:pPr>
      <w:r>
        <w:rPr>
          <w:rFonts w:hint="eastAsia" w:ascii="宋体"/>
          <w:b/>
          <w:bCs/>
          <w:szCs w:val="21"/>
          <w:highlight w:val="none"/>
        </w:rPr>
        <w:t>本项目不设未成交供应商经济补偿，准备报价文件和递交报价文件所发生的任何成本或费用由供应商自理。</w:t>
      </w:r>
    </w:p>
    <w:p>
      <w:pPr>
        <w:numPr>
          <w:ilvl w:val="0"/>
          <w:numId w:val="7"/>
        </w:numPr>
        <w:tabs>
          <w:tab w:val="left" w:pos="540"/>
        </w:tabs>
        <w:spacing w:line="360" w:lineRule="auto"/>
        <w:rPr>
          <w:rFonts w:hint="eastAsia" w:ascii="宋体"/>
          <w:b/>
          <w:bCs/>
          <w:szCs w:val="21"/>
          <w:highlight w:val="none"/>
        </w:rPr>
      </w:pPr>
      <w:r>
        <w:rPr>
          <w:rFonts w:hint="eastAsia" w:ascii="宋体"/>
          <w:b/>
          <w:bCs/>
          <w:szCs w:val="21"/>
          <w:highlight w:val="none"/>
        </w:rPr>
        <w:t>有关此次采购之事宜，可按下列地址向采购人查询：</w:t>
      </w:r>
    </w:p>
    <w:p>
      <w:pPr>
        <w:tabs>
          <w:tab w:val="left" w:pos="540"/>
        </w:tabs>
        <w:spacing w:line="360" w:lineRule="auto"/>
        <w:ind w:left="357" w:firstLine="67" w:firstLineChars="32"/>
        <w:rPr>
          <w:rFonts w:hint="eastAsia" w:ascii="宋体"/>
          <w:szCs w:val="21"/>
          <w:highlight w:val="none"/>
        </w:rPr>
      </w:pPr>
      <w:r>
        <w:rPr>
          <w:rFonts w:hint="eastAsia" w:ascii="宋体"/>
          <w:szCs w:val="21"/>
          <w:highlight w:val="none"/>
        </w:rPr>
        <w:t>采购人：广州白云国际机场股份有限公司</w:t>
      </w:r>
    </w:p>
    <w:p>
      <w:pPr>
        <w:tabs>
          <w:tab w:val="left" w:pos="2127"/>
        </w:tabs>
        <w:spacing w:line="360" w:lineRule="auto"/>
        <w:ind w:left="1274" w:leftChars="202" w:hanging="850" w:hangingChars="405"/>
        <w:rPr>
          <w:rFonts w:hint="eastAsia" w:ascii="宋体" w:hAnsi="宋体"/>
          <w:szCs w:val="21"/>
          <w:highlight w:val="none"/>
        </w:rPr>
      </w:pPr>
      <w:r>
        <w:rPr>
          <w:rFonts w:hint="eastAsia" w:ascii="宋体"/>
          <w:szCs w:val="21"/>
          <w:highlight w:val="none"/>
        </w:rPr>
        <w:t>地  址：</w:t>
      </w:r>
      <w:r>
        <w:rPr>
          <w:rFonts w:hint="eastAsia" w:ascii="宋体" w:hAnsi="宋体"/>
          <w:szCs w:val="21"/>
          <w:highlight w:val="none"/>
        </w:rPr>
        <w:t>广州市白云区人和镇新白云机场东南工作区广州白云国际机场股份有限公司办公楼226办公室</w:t>
      </w:r>
    </w:p>
    <w:p>
      <w:pPr>
        <w:tabs>
          <w:tab w:val="left" w:pos="2127"/>
        </w:tabs>
        <w:spacing w:line="360" w:lineRule="auto"/>
        <w:ind w:left="1133" w:leftChars="203" w:hanging="707" w:hangingChars="337"/>
        <w:rPr>
          <w:rFonts w:ascii="宋体" w:hAnsi="宋体"/>
          <w:szCs w:val="21"/>
          <w:highlight w:val="none"/>
        </w:rPr>
      </w:pPr>
      <w:r>
        <w:rPr>
          <w:rFonts w:hint="eastAsia" w:ascii="宋体" w:hAnsi="宋体"/>
          <w:szCs w:val="21"/>
          <w:highlight w:val="none"/>
        </w:rPr>
        <w:t>联系人：</w:t>
      </w:r>
      <w:r>
        <w:rPr>
          <w:rFonts w:hint="eastAsia" w:ascii="宋体" w:hAnsi="宋体"/>
          <w:szCs w:val="21"/>
          <w:highlight w:val="none"/>
          <w:lang w:val="en-US" w:eastAsia="zh-CN"/>
        </w:rPr>
        <w:t>张工</w:t>
      </w:r>
    </w:p>
    <w:p>
      <w:pPr>
        <w:tabs>
          <w:tab w:val="left" w:pos="2127"/>
        </w:tabs>
        <w:spacing w:line="360" w:lineRule="auto"/>
        <w:ind w:left="1133" w:leftChars="203" w:hanging="707" w:hangingChars="337"/>
        <w:rPr>
          <w:rFonts w:hint="default" w:ascii="宋体" w:hAnsi="宋体" w:eastAsia="宋体"/>
          <w:szCs w:val="21"/>
          <w:highlight w:val="none"/>
          <w:lang w:val="en-US" w:eastAsia="zh-CN"/>
        </w:rPr>
      </w:pPr>
      <w:r>
        <w:rPr>
          <w:rFonts w:hint="eastAsia" w:ascii="宋体" w:hAnsi="宋体"/>
          <w:szCs w:val="21"/>
          <w:highlight w:val="none"/>
        </w:rPr>
        <w:t>联系电话：</w:t>
      </w:r>
      <w:r>
        <w:rPr>
          <w:rFonts w:hint="eastAsia" w:ascii="宋体"/>
          <w:szCs w:val="21"/>
          <w:highlight w:val="none"/>
          <w:lang w:val="en-US" w:eastAsia="zh-CN"/>
        </w:rPr>
        <w:t>020-36067232</w:t>
      </w:r>
    </w:p>
    <w:p>
      <w:pPr>
        <w:numPr>
          <w:ilvl w:val="0"/>
          <w:numId w:val="7"/>
        </w:numPr>
        <w:tabs>
          <w:tab w:val="left" w:pos="540"/>
        </w:tabs>
        <w:spacing w:line="360" w:lineRule="auto"/>
        <w:rPr>
          <w:rFonts w:hint="eastAsia" w:ascii="宋体"/>
          <w:b/>
          <w:bCs/>
          <w:szCs w:val="21"/>
          <w:highlight w:val="none"/>
        </w:rPr>
      </w:pPr>
      <w:r>
        <w:rPr>
          <w:rFonts w:hint="eastAsia" w:ascii="宋体"/>
          <w:b/>
          <w:bCs/>
          <w:szCs w:val="21"/>
          <w:highlight w:val="none"/>
        </w:rPr>
        <w:t>投诉监督</w:t>
      </w:r>
    </w:p>
    <w:p>
      <w:pPr>
        <w:tabs>
          <w:tab w:val="left" w:pos="540"/>
        </w:tabs>
        <w:spacing w:line="360" w:lineRule="auto"/>
        <w:ind w:left="424" w:leftChars="202"/>
        <w:rPr>
          <w:rFonts w:hint="eastAsia" w:ascii="宋体"/>
          <w:szCs w:val="21"/>
          <w:highlight w:val="none"/>
        </w:rPr>
      </w:pPr>
      <w:r>
        <w:rPr>
          <w:rFonts w:hint="eastAsia" w:ascii="宋体"/>
          <w:szCs w:val="21"/>
          <w:highlight w:val="none"/>
        </w:rPr>
        <w:t>供应商可以对本次采购活动中的任何违法及不公平内容向广州白云国际机场股份有限公司建设管理部实名提出。</w:t>
      </w:r>
    </w:p>
    <w:p>
      <w:pPr>
        <w:tabs>
          <w:tab w:val="left" w:pos="2127"/>
        </w:tabs>
        <w:spacing w:line="360" w:lineRule="auto"/>
        <w:ind w:left="1133" w:leftChars="203" w:hanging="707" w:hangingChars="337"/>
        <w:rPr>
          <w:rFonts w:hint="eastAsia" w:ascii="宋体" w:hAnsi="宋体"/>
          <w:szCs w:val="21"/>
          <w:highlight w:val="none"/>
        </w:rPr>
      </w:pPr>
      <w:r>
        <w:rPr>
          <w:rFonts w:hint="eastAsia" w:ascii="宋体" w:hAnsi="宋体"/>
          <w:szCs w:val="21"/>
          <w:highlight w:val="none"/>
        </w:rPr>
        <w:t>联系人：潘工</w:t>
      </w:r>
    </w:p>
    <w:p>
      <w:pPr>
        <w:tabs>
          <w:tab w:val="left" w:pos="540"/>
        </w:tabs>
        <w:spacing w:line="360" w:lineRule="auto"/>
        <w:ind w:left="424" w:leftChars="202"/>
        <w:rPr>
          <w:rFonts w:ascii="宋体"/>
          <w:szCs w:val="21"/>
          <w:highlight w:val="none"/>
        </w:rPr>
      </w:pPr>
      <w:r>
        <w:rPr>
          <w:rFonts w:hint="eastAsia" w:ascii="宋体"/>
          <w:szCs w:val="21"/>
          <w:highlight w:val="none"/>
        </w:rPr>
        <w:t>联系电话：020-36067950</w:t>
      </w:r>
    </w:p>
    <w:p>
      <w:pPr>
        <w:widowControl/>
        <w:tabs>
          <w:tab w:val="left" w:pos="567"/>
        </w:tabs>
        <w:autoSpaceDE w:val="0"/>
        <w:autoSpaceDN w:val="0"/>
        <w:spacing w:line="360" w:lineRule="auto"/>
        <w:ind w:left="567" w:hanging="567"/>
        <w:jc w:val="left"/>
        <w:textAlignment w:val="bottom"/>
        <w:rPr>
          <w:rFonts w:hint="eastAsia"/>
          <w:highlight w:val="none"/>
        </w:rPr>
        <w:sectPr>
          <w:footerReference r:id="rId3" w:type="first"/>
          <w:pgSz w:w="11906" w:h="16838"/>
          <w:pgMar w:top="1286" w:right="1616" w:bottom="1246" w:left="1701" w:header="737" w:footer="680" w:gutter="0"/>
          <w:pgNumType w:start="1"/>
          <w:cols w:space="720" w:num="1"/>
          <w:titlePg/>
          <w:docGrid w:type="lines" w:linePitch="312" w:charSpace="0"/>
        </w:sectPr>
      </w:pPr>
    </w:p>
    <w:p>
      <w:pPr>
        <w:keepNext/>
        <w:keepLines/>
        <w:pageBreakBefore/>
        <w:widowControl w:val="0"/>
        <w:snapToGrid w:val="0"/>
        <w:spacing w:before="240" w:beforeLines="0" w:after="240" w:afterLines="0" w:line="240" w:lineRule="auto"/>
        <w:jc w:val="left"/>
        <w:textAlignment w:val="center"/>
        <w:outlineLvl w:val="0"/>
        <w:rPr>
          <w:rFonts w:ascii="宋体" w:hAnsi="宋体" w:eastAsia="宋体" w:cs="Times New Roman"/>
          <w:b/>
          <w:kern w:val="44"/>
          <w:sz w:val="24"/>
          <w:highlight w:val="none"/>
          <w:lang w:val="en-US" w:eastAsia="zh-CN" w:bidi="ar-SA"/>
        </w:rPr>
      </w:pPr>
      <w:bookmarkStart w:id="4" w:name="_Toc22149480"/>
      <w:bookmarkStart w:id="5" w:name="_Toc353536760"/>
      <w:bookmarkStart w:id="6" w:name="_Toc98040837"/>
      <w:bookmarkStart w:id="7" w:name="_Toc237246981"/>
      <w:bookmarkStart w:id="8" w:name="_Toc187235503"/>
      <w:bookmarkStart w:id="9" w:name="_Toc272229620"/>
      <w:bookmarkStart w:id="10" w:name="_Toc49317161"/>
      <w:bookmarkStart w:id="11" w:name="_Toc41129151"/>
      <w:bookmarkStart w:id="12" w:name="_Toc520148232"/>
      <w:bookmarkStart w:id="13" w:name="_Toc41125554"/>
      <w:bookmarkStart w:id="14" w:name="_Toc41208028"/>
      <w:r>
        <w:rPr>
          <w:rFonts w:hint="eastAsia" w:ascii="宋体" w:hAnsi="宋体" w:eastAsia="宋体" w:cs="Times New Roman"/>
          <w:b/>
          <w:kern w:val="44"/>
          <w:sz w:val="24"/>
          <w:highlight w:val="none"/>
          <w:lang w:val="en-US" w:eastAsia="zh-CN" w:bidi="ar-SA"/>
        </w:rPr>
        <w:t>附录</w:t>
      </w:r>
      <w:r>
        <w:rPr>
          <w:rFonts w:ascii="宋体" w:hAnsi="宋体" w:eastAsia="宋体" w:cs="Times New Roman"/>
          <w:b/>
          <w:kern w:val="44"/>
          <w:sz w:val="24"/>
          <w:highlight w:val="none"/>
          <w:lang w:val="en-US" w:eastAsia="zh-CN" w:bidi="ar-SA"/>
        </w:rPr>
        <w:t>1</w:t>
      </w:r>
      <w:bookmarkEnd w:id="4"/>
      <w:r>
        <w:rPr>
          <w:rFonts w:hint="eastAsia" w:ascii="宋体" w:hAnsi="宋体" w:eastAsia="宋体" w:cs="Times New Roman"/>
          <w:b/>
          <w:kern w:val="44"/>
          <w:sz w:val="24"/>
          <w:highlight w:val="none"/>
          <w:lang w:val="en-US" w:eastAsia="zh-CN" w:bidi="ar-SA"/>
        </w:rPr>
        <w:tab/>
      </w:r>
      <w:bookmarkEnd w:id="5"/>
      <w:bookmarkEnd w:id="6"/>
      <w:bookmarkEnd w:id="7"/>
      <w:bookmarkEnd w:id="8"/>
      <w:bookmarkEnd w:id="9"/>
      <w:bookmarkEnd w:id="10"/>
      <w:bookmarkEnd w:id="11"/>
      <w:bookmarkEnd w:id="12"/>
      <w:bookmarkEnd w:id="13"/>
      <w:bookmarkEnd w:id="14"/>
    </w:p>
    <w:p>
      <w:pPr>
        <w:jc w:val="center"/>
        <w:rPr>
          <w:b/>
          <w:sz w:val="32"/>
          <w:highlight w:val="none"/>
        </w:rPr>
      </w:pPr>
      <w:bookmarkStart w:id="15" w:name="_Toc23795_WPSOffice_Level1"/>
      <w:r>
        <w:rPr>
          <w:rFonts w:hint="eastAsia"/>
          <w:b/>
          <w:sz w:val="32"/>
          <w:highlight w:val="none"/>
        </w:rPr>
        <w:t>供 应 商 登 记 函</w:t>
      </w:r>
      <w:bookmarkEnd w:id="15"/>
    </w:p>
    <w:p>
      <w:pPr>
        <w:widowControl/>
        <w:spacing w:line="360" w:lineRule="auto"/>
        <w:jc w:val="left"/>
        <w:rPr>
          <w:rFonts w:ascii="宋体" w:hAnsi="宋体" w:cs="宋体"/>
          <w:color w:val="000000"/>
          <w:kern w:val="0"/>
          <w:szCs w:val="21"/>
          <w:highlight w:val="none"/>
        </w:rPr>
      </w:pPr>
      <w:bookmarkStart w:id="16" w:name="_Toc133028962"/>
      <w:r>
        <w:rPr>
          <w:rFonts w:hint="eastAsia" w:ascii="宋体" w:hAnsi="宋体"/>
          <w:szCs w:val="21"/>
          <w:highlight w:val="none"/>
        </w:rPr>
        <w:t>广州白云国际机场股份有限公司</w:t>
      </w:r>
      <w:r>
        <w:rPr>
          <w:rFonts w:hint="eastAsia" w:ascii="宋体" w:hAnsi="宋体" w:cs="宋体"/>
          <w:color w:val="000000"/>
          <w:kern w:val="0"/>
          <w:szCs w:val="21"/>
          <w:highlight w:val="none"/>
        </w:rPr>
        <w:t>:</w:t>
      </w:r>
    </w:p>
    <w:p>
      <w:pPr>
        <w:widowControl/>
        <w:spacing w:line="360" w:lineRule="auto"/>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rPr>
        <w:t>我单位报名参加</w:t>
      </w:r>
      <w:r>
        <w:rPr>
          <w:rFonts w:hint="eastAsia" w:ascii="宋体" w:hAnsi="宋体" w:cs="宋体"/>
          <w:color w:val="000000"/>
          <w:kern w:val="0"/>
          <w:szCs w:val="21"/>
          <w:highlight w:val="none"/>
          <w:u w:val="single"/>
        </w:rPr>
        <w:t>广州白云国际机场P</w:t>
      </w:r>
      <w:r>
        <w:rPr>
          <w:rFonts w:ascii="宋体" w:hAnsi="宋体" w:cs="宋体"/>
          <w:color w:val="000000"/>
          <w:kern w:val="0"/>
          <w:szCs w:val="21"/>
          <w:highlight w:val="none"/>
          <w:u w:val="single"/>
        </w:rPr>
        <w:t>2</w:t>
      </w:r>
      <w:r>
        <w:rPr>
          <w:rFonts w:hint="eastAsia" w:ascii="宋体" w:hAnsi="宋体" w:cs="宋体"/>
          <w:color w:val="000000"/>
          <w:kern w:val="0"/>
          <w:szCs w:val="21"/>
          <w:highlight w:val="none"/>
          <w:u w:val="single"/>
        </w:rPr>
        <w:t>交通综合体工程地铁保护监控服务</w:t>
      </w:r>
      <w:r>
        <w:rPr>
          <w:rFonts w:hint="eastAsia" w:ascii="宋体" w:hAnsi="宋体" w:cs="宋体"/>
          <w:color w:val="000000"/>
          <w:kern w:val="0"/>
          <w:szCs w:val="21"/>
          <w:highlight w:val="none"/>
        </w:rPr>
        <w:t>的报价，严格遵守有关规定，并按采购文件的规定，准时报送报价文件。</w:t>
      </w:r>
    </w:p>
    <w:p>
      <w:pPr>
        <w:widowControl/>
        <w:spacing w:line="360" w:lineRule="auto"/>
        <w:jc w:val="center"/>
        <w:rPr>
          <w:rFonts w:ascii="宋体" w:hAnsi="宋体" w:cs="宋体"/>
          <w:color w:val="000000"/>
          <w:kern w:val="0"/>
          <w:szCs w:val="21"/>
          <w:highlight w:val="none"/>
        </w:rPr>
      </w:pPr>
    </w:p>
    <w:p>
      <w:pPr>
        <w:widowControl/>
        <w:spacing w:line="360" w:lineRule="auto"/>
        <w:jc w:val="center"/>
        <w:rPr>
          <w:rFonts w:ascii="宋体" w:hAnsi="宋体" w:cs="宋体"/>
          <w:color w:val="000000"/>
          <w:kern w:val="0"/>
          <w:szCs w:val="21"/>
          <w:highlight w:val="none"/>
        </w:rPr>
      </w:pPr>
    </w:p>
    <w:p>
      <w:pPr>
        <w:widowControl/>
        <w:ind w:right="84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                                      </w:t>
      </w:r>
      <w:bookmarkStart w:id="17" w:name="_Toc14851_WPSOffice_Level1"/>
      <w:r>
        <w:rPr>
          <w:rFonts w:hint="eastAsia"/>
          <w:highlight w:val="none"/>
        </w:rPr>
        <w:t>供应商名称</w:t>
      </w:r>
      <w:r>
        <w:rPr>
          <w:rFonts w:hint="eastAsia" w:ascii="宋体" w:hAnsi="宋体" w:cs="宋体"/>
          <w:color w:val="000000"/>
          <w:kern w:val="0"/>
          <w:szCs w:val="21"/>
          <w:highlight w:val="none"/>
        </w:rPr>
        <w:t>（公章）：</w:t>
      </w:r>
      <w:bookmarkEnd w:id="17"/>
      <w:r>
        <w:rPr>
          <w:rFonts w:hint="eastAsia" w:ascii="宋体" w:hAnsi="宋体" w:cs="宋体"/>
          <w:color w:val="000000"/>
          <w:kern w:val="0"/>
          <w:szCs w:val="21"/>
          <w:highlight w:val="none"/>
        </w:rPr>
        <w:t xml:space="preserve">    </w:t>
      </w:r>
    </w:p>
    <w:p>
      <w:pPr>
        <w:widowControl/>
        <w:ind w:right="840"/>
        <w:jc w:val="center"/>
        <w:rPr>
          <w:rFonts w:ascii="宋体" w:hAnsi="宋体" w:cs="宋体"/>
          <w:color w:val="000000"/>
          <w:kern w:val="0"/>
          <w:szCs w:val="21"/>
          <w:highlight w:val="none"/>
        </w:rPr>
      </w:pPr>
      <w:r>
        <w:rPr>
          <w:rFonts w:hint="eastAsia" w:ascii="宋体" w:hAnsi="宋体" w:cs="宋体"/>
          <w:color w:val="000000"/>
          <w:kern w:val="0"/>
          <w:szCs w:val="21"/>
          <w:highlight w:val="none"/>
        </w:rPr>
        <w:t xml:space="preserve">        </w:t>
      </w:r>
    </w:p>
    <w:p>
      <w:pPr>
        <w:widowControl/>
        <w:ind w:right="2310"/>
        <w:jc w:val="right"/>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法定代表人或授权代表签字：            </w:t>
      </w:r>
    </w:p>
    <w:p>
      <w:pPr>
        <w:widowControl/>
        <w:ind w:right="840" w:firstLine="420" w:firstLineChars="200"/>
        <w:rPr>
          <w:rFonts w:hint="eastAsia" w:ascii="宋体" w:hAnsi="宋体" w:cs="宋体"/>
          <w:color w:val="000000"/>
          <w:kern w:val="0"/>
          <w:szCs w:val="21"/>
          <w:highlight w:val="none"/>
        </w:rPr>
      </w:pPr>
    </w:p>
    <w:p>
      <w:pPr>
        <w:widowControl/>
        <w:ind w:right="840" w:firstLine="5250" w:firstLineChars="2500"/>
        <w:rPr>
          <w:rFonts w:ascii="宋体" w:hAnsi="宋体" w:cs="宋体"/>
          <w:color w:val="000000"/>
          <w:kern w:val="0"/>
          <w:szCs w:val="21"/>
          <w:highlight w:val="none"/>
        </w:rPr>
      </w:pPr>
      <w:r>
        <w:rPr>
          <w:rFonts w:hint="eastAsia" w:ascii="宋体" w:hAnsi="宋体" w:cs="宋体"/>
          <w:color w:val="000000"/>
          <w:kern w:val="0"/>
          <w:szCs w:val="21"/>
          <w:highlight w:val="none"/>
        </w:rPr>
        <w:t xml:space="preserve">年    月    日             </w:t>
      </w:r>
    </w:p>
    <w:p>
      <w:pPr>
        <w:ind w:right="210"/>
        <w:rPr>
          <w:sz w:val="28"/>
          <w:szCs w:val="28"/>
          <w:highlight w:val="none"/>
        </w:rPr>
      </w:pPr>
    </w:p>
    <w:p>
      <w:pPr>
        <w:widowControl/>
        <w:ind w:right="210" w:firstLine="562"/>
        <w:jc w:val="center"/>
        <w:rPr>
          <w:rFonts w:ascii="宋体" w:hAnsi="宋体" w:cs="宋体"/>
          <w:color w:val="000000"/>
          <w:kern w:val="0"/>
          <w:sz w:val="28"/>
          <w:szCs w:val="28"/>
          <w:highlight w:val="none"/>
        </w:rPr>
      </w:pPr>
      <w:bookmarkStart w:id="18" w:name="_Toc25510_WPSOffice_Level2"/>
      <w:r>
        <w:rPr>
          <w:rFonts w:hint="eastAsia" w:ascii="宋体" w:hAnsi="宋体" w:cs="宋体"/>
          <w:b/>
          <w:bCs/>
          <w:color w:val="000000"/>
          <w:kern w:val="0"/>
          <w:sz w:val="28"/>
          <w:szCs w:val="28"/>
          <w:highlight w:val="none"/>
        </w:rPr>
        <w:t>报价企业概况表</w:t>
      </w:r>
      <w:bookmarkEnd w:id="18"/>
    </w:p>
    <w:tbl>
      <w:tblPr>
        <w:tblStyle w:val="12"/>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color w:val="000000"/>
                <w:kern w:val="0"/>
                <w:szCs w:val="21"/>
                <w:highlight w:val="none"/>
              </w:rPr>
            </w:pPr>
            <w:r>
              <w:rPr>
                <w:rFonts w:hint="eastAsia" w:ascii="宋体" w:hAnsi="宋体" w:cs="宋体"/>
                <w:color w:val="000000"/>
                <w:kern w:val="0"/>
                <w:szCs w:val="21"/>
                <w:highlight w:val="none"/>
              </w:rPr>
              <w:t>企业名称</w:t>
            </w:r>
          </w:p>
        </w:tc>
        <w:tc>
          <w:tcPr>
            <w:tcW w:w="7286" w:type="dxa"/>
            <w:gridSpan w:val="3"/>
            <w:tcBorders>
              <w:top w:val="outset" w:color="auto" w:sz="6" w:space="0"/>
              <w:left w:val="outset" w:color="auto" w:sz="6" w:space="0"/>
              <w:bottom w:val="outset" w:color="auto" w:sz="6" w:space="0"/>
              <w:right w:val="outset" w:color="auto" w:sz="6" w:space="0"/>
            </w:tcBorders>
            <w:noWrap w:val="0"/>
            <w:vAlign w:val="center"/>
          </w:tcPr>
          <w:p>
            <w:pPr>
              <w:widowControl/>
              <w:ind w:right="210" w:firstLine="420"/>
              <w:jc w:val="center"/>
              <w:rPr>
                <w:rFonts w:ascii="宋体" w:hAnsi="宋体" w:cs="宋体"/>
                <w:color w:val="000000"/>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color w:val="000000"/>
                <w:kern w:val="0"/>
                <w:szCs w:val="21"/>
                <w:highlight w:val="none"/>
              </w:rPr>
            </w:pPr>
            <w:r>
              <w:rPr>
                <w:rFonts w:hint="eastAsia" w:ascii="宋体" w:hAnsi="宋体" w:cs="宋体"/>
                <w:color w:val="000000"/>
                <w:kern w:val="0"/>
                <w:szCs w:val="21"/>
                <w:highlight w:val="none"/>
              </w:rPr>
              <w:t>通讯地址</w:t>
            </w:r>
          </w:p>
        </w:tc>
        <w:tc>
          <w:tcPr>
            <w:tcW w:w="7286" w:type="dxa"/>
            <w:gridSpan w:val="3"/>
            <w:tcBorders>
              <w:top w:val="outset" w:color="auto" w:sz="6" w:space="0"/>
              <w:left w:val="outset" w:color="auto" w:sz="6" w:space="0"/>
              <w:bottom w:val="outset" w:color="auto" w:sz="6" w:space="0"/>
              <w:right w:val="outset" w:color="auto" w:sz="6" w:space="0"/>
            </w:tcBorders>
            <w:noWrap w:val="0"/>
            <w:vAlign w:val="center"/>
          </w:tcPr>
          <w:p>
            <w:pPr>
              <w:widowControl/>
              <w:ind w:right="210" w:firstLine="420"/>
              <w:jc w:val="center"/>
              <w:rPr>
                <w:rFonts w:ascii="宋体" w:hAnsi="宋体" w:cs="宋体"/>
                <w:color w:val="000000"/>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color w:val="000000"/>
                <w:kern w:val="0"/>
                <w:szCs w:val="21"/>
                <w:highlight w:val="none"/>
              </w:rPr>
            </w:pPr>
            <w:r>
              <w:rPr>
                <w:rFonts w:hint="eastAsia" w:ascii="宋体" w:hAnsi="宋体" w:cs="宋体"/>
                <w:color w:val="000000"/>
                <w:kern w:val="0"/>
                <w:szCs w:val="21"/>
                <w:highlight w:val="none"/>
              </w:rPr>
              <w:t>营业执照</w:t>
            </w:r>
          </w:p>
        </w:tc>
        <w:tc>
          <w:tcPr>
            <w:tcW w:w="1950" w:type="dxa"/>
            <w:tcBorders>
              <w:top w:val="outset" w:color="auto" w:sz="6" w:space="0"/>
              <w:left w:val="outset" w:color="auto" w:sz="6" w:space="0"/>
              <w:bottom w:val="outset" w:color="auto" w:sz="6" w:space="0"/>
              <w:right w:val="outset" w:color="auto" w:sz="6" w:space="0"/>
            </w:tcBorders>
            <w:noWrap w:val="0"/>
            <w:vAlign w:val="center"/>
          </w:tcPr>
          <w:p>
            <w:pPr>
              <w:widowControl/>
              <w:ind w:right="28" w:firstLine="48" w:firstLineChars="23"/>
              <w:jc w:val="center"/>
              <w:rPr>
                <w:rFonts w:ascii="宋体" w:hAnsi="宋体" w:cs="宋体"/>
                <w:color w:val="000000"/>
                <w:kern w:val="0"/>
                <w:szCs w:val="21"/>
                <w:highlight w:val="none"/>
              </w:rPr>
            </w:pPr>
            <w:r>
              <w:rPr>
                <w:rFonts w:hint="eastAsia" w:ascii="宋体" w:hAnsi="宋体" w:cs="宋体"/>
                <w:color w:val="000000"/>
                <w:kern w:val="0"/>
                <w:szCs w:val="21"/>
                <w:highlight w:val="none"/>
              </w:rPr>
              <w:t>1、编 号</w:t>
            </w:r>
          </w:p>
        </w:tc>
        <w:tc>
          <w:tcPr>
            <w:tcW w:w="2631"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2601"/>
              </w:tabs>
              <w:ind w:right="210" w:firstLine="81" w:firstLineChars="39"/>
              <w:jc w:val="center"/>
              <w:rPr>
                <w:rFonts w:ascii="宋体" w:hAnsi="宋体" w:cs="宋体"/>
                <w:color w:val="000000"/>
                <w:kern w:val="0"/>
                <w:szCs w:val="21"/>
                <w:highlight w:val="none"/>
              </w:rPr>
            </w:pPr>
            <w:r>
              <w:rPr>
                <w:rFonts w:hint="eastAsia" w:ascii="宋体" w:hAnsi="宋体" w:cs="宋体"/>
                <w:color w:val="000000"/>
                <w:kern w:val="0"/>
                <w:szCs w:val="21"/>
                <w:highlight w:val="none"/>
              </w:rPr>
              <w:t>2、营业范围</w:t>
            </w:r>
          </w:p>
        </w:tc>
        <w:tc>
          <w:tcPr>
            <w:tcW w:w="2705" w:type="dxa"/>
            <w:tcBorders>
              <w:top w:val="outset" w:color="auto" w:sz="6" w:space="0"/>
              <w:left w:val="outset" w:color="auto" w:sz="6" w:space="0"/>
              <w:bottom w:val="outset" w:color="auto" w:sz="6" w:space="0"/>
              <w:right w:val="outset" w:color="auto" w:sz="6" w:space="0"/>
            </w:tcBorders>
            <w:noWrap w:val="0"/>
            <w:vAlign w:val="center"/>
          </w:tcPr>
          <w:p>
            <w:pPr>
              <w:widowControl/>
              <w:ind w:firstLine="2" w:firstLineChars="1"/>
              <w:jc w:val="center"/>
              <w:rPr>
                <w:rFonts w:ascii="宋体" w:hAnsi="宋体" w:cs="宋体"/>
                <w:color w:val="000000"/>
                <w:kern w:val="0"/>
                <w:szCs w:val="21"/>
                <w:highlight w:val="none"/>
              </w:rPr>
            </w:pPr>
            <w:r>
              <w:rPr>
                <w:rFonts w:hint="eastAsia" w:ascii="宋体" w:hAnsi="宋体" w:cs="宋体"/>
                <w:color w:val="000000"/>
                <w:kern w:val="0"/>
                <w:szCs w:val="21"/>
                <w:highlight w:val="none"/>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color w:val="000000"/>
                <w:kern w:val="0"/>
                <w:szCs w:val="21"/>
                <w:highlight w:val="none"/>
              </w:rPr>
            </w:pPr>
          </w:p>
        </w:tc>
        <w:tc>
          <w:tcPr>
            <w:tcW w:w="1950" w:type="dxa"/>
            <w:tcBorders>
              <w:top w:val="outset" w:color="auto" w:sz="6" w:space="0"/>
              <w:left w:val="outset" w:color="auto" w:sz="6" w:space="0"/>
              <w:bottom w:val="outset" w:color="auto" w:sz="6" w:space="0"/>
              <w:right w:val="outset" w:color="auto" w:sz="6" w:space="0"/>
            </w:tcBorders>
            <w:noWrap w:val="0"/>
            <w:vAlign w:val="center"/>
          </w:tcPr>
          <w:p>
            <w:pPr>
              <w:widowControl/>
              <w:ind w:right="28" w:firstLine="48" w:firstLineChars="23"/>
              <w:jc w:val="center"/>
              <w:rPr>
                <w:rFonts w:ascii="宋体" w:hAnsi="宋体" w:cs="宋体"/>
                <w:color w:val="000000"/>
                <w:kern w:val="0"/>
                <w:szCs w:val="21"/>
                <w:highlight w:val="none"/>
              </w:rPr>
            </w:pPr>
          </w:p>
        </w:tc>
        <w:tc>
          <w:tcPr>
            <w:tcW w:w="2631"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2601"/>
              </w:tabs>
              <w:ind w:right="210" w:firstLine="81" w:firstLineChars="39"/>
              <w:jc w:val="center"/>
              <w:rPr>
                <w:rFonts w:ascii="宋体" w:hAnsi="宋体" w:cs="宋体"/>
                <w:color w:val="000000"/>
                <w:kern w:val="0"/>
                <w:szCs w:val="21"/>
                <w:highlight w:val="none"/>
              </w:rPr>
            </w:pPr>
          </w:p>
        </w:tc>
        <w:tc>
          <w:tcPr>
            <w:tcW w:w="2705" w:type="dxa"/>
            <w:tcBorders>
              <w:top w:val="outset" w:color="auto" w:sz="6" w:space="0"/>
              <w:left w:val="outset" w:color="auto" w:sz="6" w:space="0"/>
              <w:bottom w:val="outset" w:color="auto" w:sz="6" w:space="0"/>
              <w:right w:val="outset" w:color="auto" w:sz="6" w:space="0"/>
            </w:tcBorders>
            <w:noWrap w:val="0"/>
            <w:vAlign w:val="center"/>
          </w:tcPr>
          <w:p>
            <w:pPr>
              <w:widowControl/>
              <w:ind w:firstLine="2" w:firstLineChars="1"/>
              <w:jc w:val="center"/>
              <w:rPr>
                <w:rFonts w:ascii="宋体" w:hAnsi="宋体" w:cs="宋体"/>
                <w:color w:val="000000"/>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color w:val="000000"/>
                <w:kern w:val="0"/>
                <w:szCs w:val="21"/>
                <w:highlight w:val="none"/>
              </w:rPr>
            </w:pPr>
            <w:r>
              <w:rPr>
                <w:rFonts w:hint="eastAsia" w:ascii="宋体" w:hAnsi="宋体" w:cs="宋体"/>
                <w:color w:val="000000"/>
                <w:kern w:val="0"/>
                <w:szCs w:val="21"/>
                <w:highlight w:val="none"/>
              </w:rPr>
              <w:t>现在职工</w:t>
            </w:r>
          </w:p>
        </w:tc>
        <w:tc>
          <w:tcPr>
            <w:tcW w:w="1950" w:type="dxa"/>
            <w:tcBorders>
              <w:top w:val="outset" w:color="auto" w:sz="6" w:space="0"/>
              <w:left w:val="outset" w:color="auto" w:sz="6" w:space="0"/>
              <w:bottom w:val="outset" w:color="auto" w:sz="6" w:space="0"/>
              <w:right w:val="outset" w:color="auto" w:sz="6" w:space="0"/>
            </w:tcBorders>
            <w:noWrap w:val="0"/>
            <w:vAlign w:val="center"/>
          </w:tcPr>
          <w:p>
            <w:pPr>
              <w:widowControl/>
              <w:ind w:right="28" w:firstLine="48" w:firstLineChars="23"/>
              <w:jc w:val="center"/>
              <w:rPr>
                <w:rFonts w:ascii="宋体" w:hAnsi="宋体" w:cs="宋体"/>
                <w:color w:val="000000"/>
                <w:kern w:val="0"/>
                <w:szCs w:val="21"/>
                <w:highlight w:val="none"/>
              </w:rPr>
            </w:pPr>
          </w:p>
        </w:tc>
        <w:tc>
          <w:tcPr>
            <w:tcW w:w="2631"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2601"/>
              </w:tabs>
              <w:ind w:right="210" w:firstLine="81" w:firstLineChars="39"/>
              <w:jc w:val="center"/>
              <w:rPr>
                <w:rFonts w:ascii="宋体" w:hAnsi="宋体" w:cs="宋体"/>
                <w:color w:val="000000"/>
                <w:kern w:val="0"/>
                <w:szCs w:val="21"/>
                <w:highlight w:val="none"/>
              </w:rPr>
            </w:pPr>
            <w:r>
              <w:rPr>
                <w:rFonts w:hint="eastAsia" w:ascii="宋体" w:hAnsi="宋体" w:cs="宋体"/>
                <w:color w:val="000000"/>
                <w:kern w:val="0"/>
                <w:szCs w:val="21"/>
                <w:highlight w:val="none"/>
              </w:rPr>
              <w:t>注册资本金（万元）</w:t>
            </w:r>
          </w:p>
        </w:tc>
        <w:tc>
          <w:tcPr>
            <w:tcW w:w="2705" w:type="dxa"/>
            <w:tcBorders>
              <w:top w:val="outset" w:color="auto" w:sz="6" w:space="0"/>
              <w:left w:val="outset" w:color="auto" w:sz="6" w:space="0"/>
              <w:bottom w:val="outset" w:color="auto" w:sz="6" w:space="0"/>
              <w:right w:val="outset" w:color="auto" w:sz="6" w:space="0"/>
            </w:tcBorders>
            <w:noWrap w:val="0"/>
            <w:vAlign w:val="center"/>
          </w:tcPr>
          <w:p>
            <w:pPr>
              <w:widowControl/>
              <w:ind w:firstLine="2" w:firstLineChars="1"/>
              <w:jc w:val="center"/>
              <w:rPr>
                <w:rFonts w:ascii="宋体" w:hAnsi="宋体" w:cs="宋体"/>
                <w:color w:val="000000"/>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color w:val="000000"/>
                <w:kern w:val="0"/>
                <w:szCs w:val="21"/>
                <w:highlight w:val="none"/>
              </w:rPr>
            </w:pPr>
            <w:r>
              <w:rPr>
                <w:rFonts w:hint="eastAsia" w:ascii="宋体" w:hAnsi="宋体" w:cs="宋体"/>
                <w:color w:val="000000"/>
                <w:kern w:val="0"/>
                <w:szCs w:val="21"/>
                <w:highlight w:val="none"/>
              </w:rPr>
              <w:t>法人代表</w:t>
            </w:r>
          </w:p>
        </w:tc>
        <w:tc>
          <w:tcPr>
            <w:tcW w:w="1950" w:type="dxa"/>
            <w:tcBorders>
              <w:top w:val="outset" w:color="auto" w:sz="6" w:space="0"/>
              <w:left w:val="outset" w:color="auto" w:sz="6" w:space="0"/>
              <w:bottom w:val="outset" w:color="auto" w:sz="6" w:space="0"/>
              <w:right w:val="outset" w:color="auto" w:sz="6" w:space="0"/>
            </w:tcBorders>
            <w:noWrap w:val="0"/>
            <w:vAlign w:val="center"/>
          </w:tcPr>
          <w:p>
            <w:pPr>
              <w:widowControl/>
              <w:ind w:right="28" w:firstLine="48" w:firstLineChars="23"/>
              <w:jc w:val="center"/>
              <w:rPr>
                <w:rFonts w:ascii="宋体" w:hAnsi="宋体" w:cs="宋体"/>
                <w:color w:val="000000"/>
                <w:kern w:val="0"/>
                <w:szCs w:val="21"/>
                <w:highlight w:val="none"/>
              </w:rPr>
            </w:pPr>
          </w:p>
        </w:tc>
        <w:tc>
          <w:tcPr>
            <w:tcW w:w="2631"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2601"/>
              </w:tabs>
              <w:ind w:right="210" w:firstLine="81" w:firstLineChars="39"/>
              <w:jc w:val="center"/>
              <w:rPr>
                <w:rFonts w:ascii="宋体" w:hAnsi="宋体" w:cs="宋体"/>
                <w:color w:val="000000"/>
                <w:kern w:val="0"/>
                <w:szCs w:val="21"/>
                <w:highlight w:val="none"/>
              </w:rPr>
            </w:pPr>
            <w:r>
              <w:rPr>
                <w:rFonts w:hint="eastAsia" w:ascii="宋体" w:hAnsi="宋体" w:cs="宋体"/>
                <w:color w:val="000000"/>
                <w:kern w:val="0"/>
                <w:szCs w:val="21"/>
                <w:highlight w:val="none"/>
              </w:rPr>
              <w:t>项目联系人</w:t>
            </w:r>
          </w:p>
        </w:tc>
        <w:tc>
          <w:tcPr>
            <w:tcW w:w="2705" w:type="dxa"/>
            <w:tcBorders>
              <w:top w:val="outset" w:color="auto" w:sz="6" w:space="0"/>
              <w:left w:val="outset" w:color="auto" w:sz="6" w:space="0"/>
              <w:bottom w:val="outset" w:color="auto" w:sz="6" w:space="0"/>
              <w:right w:val="outset" w:color="auto" w:sz="6" w:space="0"/>
            </w:tcBorders>
            <w:noWrap w:val="0"/>
            <w:vAlign w:val="center"/>
          </w:tcPr>
          <w:p>
            <w:pPr>
              <w:widowControl/>
              <w:ind w:firstLine="2" w:firstLineChars="1"/>
              <w:jc w:val="center"/>
              <w:rPr>
                <w:rFonts w:ascii="宋体" w:hAnsi="宋体" w:cs="宋体"/>
                <w:color w:val="000000"/>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color w:val="000000"/>
                <w:kern w:val="0"/>
                <w:szCs w:val="21"/>
                <w:highlight w:val="none"/>
              </w:rPr>
            </w:pPr>
            <w:r>
              <w:rPr>
                <w:rFonts w:hint="eastAsia" w:ascii="宋体" w:hAnsi="宋体" w:cs="宋体"/>
                <w:color w:val="000000"/>
                <w:kern w:val="0"/>
                <w:szCs w:val="21"/>
                <w:highlight w:val="none"/>
              </w:rPr>
              <w:t>联系方式</w:t>
            </w:r>
          </w:p>
        </w:tc>
        <w:tc>
          <w:tcPr>
            <w:tcW w:w="7286" w:type="dxa"/>
            <w:gridSpan w:val="3"/>
            <w:tcBorders>
              <w:top w:val="outset" w:color="auto" w:sz="6" w:space="0"/>
              <w:left w:val="outset" w:color="auto" w:sz="6" w:space="0"/>
              <w:bottom w:val="outset" w:color="auto" w:sz="6" w:space="0"/>
              <w:right w:val="outset" w:color="auto" w:sz="6" w:space="0"/>
            </w:tcBorders>
            <w:noWrap w:val="0"/>
            <w:vAlign w:val="center"/>
          </w:tcPr>
          <w:p>
            <w:pPr>
              <w:widowControl/>
              <w:ind w:right="210" w:firstLine="420"/>
              <w:jc w:val="left"/>
              <w:rPr>
                <w:rFonts w:ascii="宋体" w:hAnsi="宋体" w:cs="宋体"/>
                <w:color w:val="000000"/>
                <w:kern w:val="0"/>
                <w:szCs w:val="21"/>
                <w:highlight w:val="none"/>
              </w:rPr>
            </w:pPr>
            <w:r>
              <w:rPr>
                <w:rFonts w:hint="eastAsia" w:ascii="宋体" w:hAnsi="宋体" w:cs="宋体"/>
                <w:color w:val="000000"/>
                <w:kern w:val="0"/>
                <w:szCs w:val="21"/>
                <w:highlight w:val="none"/>
              </w:rPr>
              <w:t xml:space="preserve">手 </w:t>
            </w:r>
            <w:r>
              <w:rPr>
                <w:rFonts w:ascii="宋体" w:hAnsi="宋体" w:cs="宋体"/>
                <w:color w:val="000000"/>
                <w:kern w:val="0"/>
                <w:szCs w:val="21"/>
                <w:highlight w:val="none"/>
              </w:rPr>
              <w:t xml:space="preserve">   </w:t>
            </w:r>
            <w:r>
              <w:rPr>
                <w:rFonts w:hint="eastAsia" w:ascii="宋体" w:hAnsi="宋体" w:cs="宋体"/>
                <w:color w:val="000000"/>
                <w:kern w:val="0"/>
                <w:szCs w:val="21"/>
                <w:highlight w:val="none"/>
              </w:rPr>
              <w:t>机：       传  真：</w:t>
            </w:r>
          </w:p>
          <w:p>
            <w:pPr>
              <w:widowControl/>
              <w:ind w:right="210" w:firstLine="420"/>
              <w:jc w:val="left"/>
              <w:rPr>
                <w:rFonts w:ascii="宋体" w:hAnsi="宋体" w:cs="宋体"/>
                <w:color w:val="000000"/>
                <w:kern w:val="0"/>
                <w:szCs w:val="21"/>
                <w:highlight w:val="none"/>
              </w:rPr>
            </w:pPr>
            <w:r>
              <w:rPr>
                <w:rFonts w:hint="eastAsia" w:ascii="宋体" w:hAnsi="宋体" w:cs="宋体"/>
                <w:color w:val="000000"/>
                <w:kern w:val="0"/>
                <w:szCs w:val="21"/>
                <w:highlight w:val="none"/>
              </w:rPr>
              <w:t>邮政编码：          E-mail：</w:t>
            </w:r>
          </w:p>
        </w:tc>
      </w:tr>
    </w:tbl>
    <w:p>
      <w:pPr>
        <w:widowControl/>
        <w:ind w:right="1680" w:firstLine="560"/>
        <w:jc w:val="center"/>
        <w:rPr>
          <w:rFonts w:hint="eastAsia" w:ascii="宋体" w:hAnsi="宋体" w:cs="宋体"/>
          <w:color w:val="000000"/>
          <w:kern w:val="0"/>
          <w:szCs w:val="21"/>
          <w:highlight w:val="none"/>
        </w:rPr>
      </w:pPr>
    </w:p>
    <w:p>
      <w:pPr>
        <w:widowControl/>
        <w:ind w:right="1680" w:firstLine="560"/>
        <w:jc w:val="center"/>
        <w:rPr>
          <w:rFonts w:hint="eastAsia" w:ascii="宋体" w:hAnsi="宋体" w:cs="宋体"/>
          <w:color w:val="000000"/>
          <w:kern w:val="0"/>
          <w:szCs w:val="21"/>
          <w:highlight w:val="none"/>
        </w:rPr>
      </w:pPr>
    </w:p>
    <w:p>
      <w:pPr>
        <w:widowControl/>
        <w:ind w:right="1680" w:firstLine="56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                                         </w:t>
      </w:r>
      <w:bookmarkStart w:id="19" w:name="_Toc31091_WPSOffice_Level1"/>
      <w:r>
        <w:rPr>
          <w:rFonts w:hint="eastAsia"/>
          <w:highlight w:val="none"/>
        </w:rPr>
        <w:t>供应商名称</w:t>
      </w:r>
      <w:r>
        <w:rPr>
          <w:rFonts w:hint="eastAsia" w:ascii="宋体" w:hAnsi="宋体" w:cs="宋体"/>
          <w:color w:val="000000"/>
          <w:kern w:val="0"/>
          <w:szCs w:val="21"/>
          <w:highlight w:val="none"/>
        </w:rPr>
        <w:t>（章）：</w:t>
      </w:r>
      <w:bookmarkEnd w:id="19"/>
      <w:r>
        <w:rPr>
          <w:rFonts w:hint="eastAsia" w:ascii="宋体" w:hAnsi="宋体" w:cs="宋体"/>
          <w:color w:val="000000"/>
          <w:kern w:val="0"/>
          <w:szCs w:val="21"/>
          <w:highlight w:val="none"/>
        </w:rPr>
        <w:t xml:space="preserve">  </w:t>
      </w:r>
    </w:p>
    <w:p>
      <w:pPr>
        <w:widowControl/>
        <w:ind w:right="1680" w:firstLine="560"/>
        <w:jc w:val="center"/>
        <w:rPr>
          <w:rFonts w:ascii="宋体" w:hAnsi="宋体" w:cs="宋体"/>
          <w:color w:val="000000"/>
          <w:kern w:val="0"/>
          <w:szCs w:val="21"/>
          <w:highlight w:val="none"/>
        </w:rPr>
      </w:pPr>
      <w:r>
        <w:rPr>
          <w:rFonts w:hint="eastAsia" w:ascii="宋体" w:hAnsi="宋体" w:cs="宋体"/>
          <w:color w:val="000000"/>
          <w:kern w:val="0"/>
          <w:szCs w:val="21"/>
          <w:highlight w:val="none"/>
        </w:rPr>
        <w:t xml:space="preserve">          </w:t>
      </w:r>
    </w:p>
    <w:p>
      <w:pPr>
        <w:widowControl/>
        <w:wordWrap w:val="0"/>
        <w:ind w:right="1050" w:firstLine="56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                                 </w:t>
      </w:r>
      <w:bookmarkStart w:id="20" w:name="_Toc16478_WPSOffice_Level1"/>
      <w:r>
        <w:rPr>
          <w:rFonts w:hint="eastAsia" w:ascii="宋体" w:hAnsi="宋体" w:cs="宋体"/>
          <w:color w:val="000000"/>
          <w:kern w:val="0"/>
          <w:szCs w:val="21"/>
          <w:highlight w:val="none"/>
        </w:rPr>
        <w:t>法定代表人或授权代表签字：</w:t>
      </w:r>
      <w:bookmarkEnd w:id="20"/>
      <w:r>
        <w:rPr>
          <w:rFonts w:hint="eastAsia" w:ascii="宋体" w:hAnsi="宋体" w:cs="宋体"/>
          <w:color w:val="000000"/>
          <w:kern w:val="0"/>
          <w:szCs w:val="21"/>
          <w:highlight w:val="none"/>
        </w:rPr>
        <w:t xml:space="preserve">     </w:t>
      </w:r>
    </w:p>
    <w:p>
      <w:pPr>
        <w:widowControl/>
        <w:wordWrap w:val="0"/>
        <w:ind w:right="1050" w:firstLine="4830" w:firstLineChars="2300"/>
        <w:rPr>
          <w:rFonts w:hint="eastAsia" w:ascii="宋体" w:hAnsi="宋体" w:cs="宋体"/>
          <w:color w:val="000000"/>
          <w:kern w:val="0"/>
          <w:szCs w:val="21"/>
          <w:highlight w:val="none"/>
        </w:rPr>
      </w:pPr>
    </w:p>
    <w:p>
      <w:pPr>
        <w:widowControl/>
        <w:wordWrap w:val="0"/>
        <w:ind w:right="1050" w:firstLine="4830" w:firstLineChars="2300"/>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日期：  年    月    日 </w:t>
      </w:r>
      <w:bookmarkEnd w:id="16"/>
    </w:p>
    <w:p>
      <w:pPr>
        <w:keepNext/>
        <w:keepLines/>
        <w:pageBreakBefore/>
        <w:widowControl w:val="0"/>
        <w:snapToGrid w:val="0"/>
        <w:spacing w:before="240" w:beforeLines="0" w:after="240" w:afterLines="0" w:line="240" w:lineRule="auto"/>
        <w:jc w:val="left"/>
        <w:textAlignment w:val="center"/>
        <w:outlineLvl w:val="0"/>
        <w:rPr>
          <w:rFonts w:hint="eastAsia" w:ascii="宋体" w:hAnsi="宋体" w:eastAsia="宋体" w:cs="Times New Roman"/>
          <w:b/>
          <w:kern w:val="44"/>
          <w:sz w:val="24"/>
          <w:highlight w:val="none"/>
          <w:lang w:val="en-US" w:eastAsia="zh-CN" w:bidi="ar-SA"/>
        </w:rPr>
      </w:pPr>
      <w:bookmarkStart w:id="21" w:name="_Toc22149485"/>
      <w:r>
        <w:rPr>
          <w:rFonts w:hint="eastAsia" w:ascii="宋体" w:hAnsi="宋体" w:eastAsia="宋体" w:cs="Times New Roman"/>
          <w:b/>
          <w:kern w:val="44"/>
          <w:sz w:val="24"/>
          <w:highlight w:val="none"/>
          <w:lang w:val="en-US" w:eastAsia="zh-CN" w:bidi="ar-SA"/>
        </w:rPr>
        <w:t>附录</w:t>
      </w:r>
      <w:r>
        <w:rPr>
          <w:rFonts w:ascii="宋体" w:hAnsi="宋体" w:eastAsia="宋体" w:cs="Times New Roman"/>
          <w:b/>
          <w:kern w:val="44"/>
          <w:sz w:val="24"/>
          <w:highlight w:val="none"/>
          <w:lang w:val="en-US" w:eastAsia="zh-CN" w:bidi="ar-SA"/>
        </w:rPr>
        <w:t>4</w:t>
      </w:r>
      <w:bookmarkEnd w:id="21"/>
    </w:p>
    <w:p>
      <w:pPr>
        <w:keepNext/>
        <w:keepLines/>
        <w:widowControl w:val="0"/>
        <w:numPr>
          <w:ilvl w:val="0"/>
          <w:numId w:val="0"/>
        </w:numPr>
        <w:spacing w:before="120" w:after="120" w:line="416" w:lineRule="auto"/>
        <w:ind w:left="425"/>
        <w:jc w:val="both"/>
        <w:outlineLvl w:val="1"/>
        <w:rPr>
          <w:rFonts w:ascii="Arial" w:hAnsi="Arial" w:eastAsia="黑体" w:cs="Times New Roman"/>
          <w:b/>
          <w:kern w:val="2"/>
          <w:sz w:val="24"/>
          <w:highlight w:val="none"/>
          <w:lang w:val="en-US" w:eastAsia="zh-CN" w:bidi="ar-SA"/>
        </w:rPr>
      </w:pPr>
      <w:bookmarkStart w:id="22" w:name="_Toc196204536"/>
      <w:bookmarkStart w:id="23" w:name="_Toc468915202"/>
      <w:bookmarkStart w:id="24" w:name="_Toc22149486"/>
      <w:bookmarkStart w:id="25" w:name="_Toc328942813"/>
      <w:bookmarkStart w:id="26" w:name="_Toc485798083"/>
      <w:bookmarkStart w:id="27" w:name="_Toc393199696"/>
      <w:bookmarkStart w:id="28" w:name="_Toc196204640"/>
      <w:bookmarkStart w:id="29" w:name="_Toc196204746"/>
      <w:bookmarkStart w:id="30" w:name="_Toc468915640"/>
      <w:r>
        <w:rPr>
          <w:rFonts w:ascii="Arial" w:hAnsi="Arial" w:eastAsia="黑体" w:cs="Times New Roman"/>
          <w:b/>
          <w:kern w:val="2"/>
          <w:sz w:val="24"/>
          <w:highlight w:val="none"/>
          <w:lang w:val="en-US" w:eastAsia="zh-CN" w:bidi="ar-SA"/>
        </w:rPr>
        <w:t>4</w:t>
      </w:r>
      <w:r>
        <w:rPr>
          <w:rFonts w:hint="eastAsia" w:ascii="Arial" w:hAnsi="Arial" w:eastAsia="黑体" w:cs="Times New Roman"/>
          <w:b/>
          <w:kern w:val="2"/>
          <w:sz w:val="24"/>
          <w:highlight w:val="none"/>
          <w:lang w:val="en-US" w:eastAsia="zh-CN" w:bidi="ar-SA"/>
        </w:rPr>
        <w:t>.1法定代表人证明书</w:t>
      </w:r>
      <w:bookmarkEnd w:id="22"/>
      <w:bookmarkEnd w:id="23"/>
      <w:bookmarkEnd w:id="24"/>
      <w:bookmarkEnd w:id="25"/>
      <w:bookmarkEnd w:id="26"/>
      <w:bookmarkEnd w:id="27"/>
      <w:bookmarkEnd w:id="28"/>
      <w:bookmarkEnd w:id="29"/>
      <w:bookmarkEnd w:id="30"/>
    </w:p>
    <w:p>
      <w:pPr>
        <w:wordWrap w:val="0"/>
        <w:snapToGrid w:val="0"/>
        <w:spacing w:line="360" w:lineRule="auto"/>
        <w:jc w:val="center"/>
        <w:rPr>
          <w:rFonts w:hint="eastAsia" w:ascii="宋体" w:cs="宋体"/>
          <w:b/>
          <w:sz w:val="32"/>
          <w:szCs w:val="21"/>
          <w:highlight w:val="none"/>
        </w:rPr>
      </w:pPr>
    </w:p>
    <w:p>
      <w:pPr>
        <w:wordWrap w:val="0"/>
        <w:snapToGrid w:val="0"/>
        <w:spacing w:line="360" w:lineRule="auto"/>
        <w:jc w:val="center"/>
        <w:rPr>
          <w:rFonts w:ascii="宋体" w:cs="宋体"/>
          <w:b/>
          <w:sz w:val="32"/>
          <w:szCs w:val="21"/>
          <w:highlight w:val="none"/>
        </w:rPr>
      </w:pPr>
      <w:r>
        <w:rPr>
          <w:rFonts w:hint="eastAsia" w:ascii="宋体" w:cs="宋体"/>
          <w:b/>
          <w:sz w:val="32"/>
          <w:szCs w:val="21"/>
          <w:highlight w:val="none"/>
        </w:rPr>
        <w:t>法定代表人证明书</w:t>
      </w:r>
    </w:p>
    <w:p>
      <w:pPr>
        <w:wordWrap w:val="0"/>
        <w:spacing w:before="156" w:beforeLines="50"/>
        <w:ind w:firstLine="420" w:firstLineChars="200"/>
        <w:rPr>
          <w:rFonts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现任我单位</w:t>
      </w:r>
      <w:r>
        <w:rPr>
          <w:rFonts w:hint="eastAsia" w:ascii="宋体" w:hAnsi="宋体"/>
          <w:szCs w:val="21"/>
          <w:highlight w:val="none"/>
          <w:u w:val="single"/>
        </w:rPr>
        <w:t xml:space="preserve">                  </w:t>
      </w:r>
      <w:r>
        <w:rPr>
          <w:rFonts w:hint="eastAsia" w:ascii="宋体" w:hAnsi="宋体"/>
          <w:szCs w:val="21"/>
          <w:highlight w:val="none"/>
        </w:rPr>
        <w:t>职务，为法定代表人（负责人），特此证明。</w:t>
      </w:r>
    </w:p>
    <w:p>
      <w:pPr>
        <w:wordWrap w:val="0"/>
        <w:snapToGrid w:val="0"/>
        <w:spacing w:line="480" w:lineRule="atLeast"/>
        <w:ind w:firstLine="420" w:firstLineChars="200"/>
        <w:rPr>
          <w:rFonts w:hint="eastAsia" w:ascii="宋体" w:hAnsi="宋体"/>
          <w:szCs w:val="21"/>
          <w:highlight w:val="none"/>
          <w:u w:val="single"/>
        </w:rPr>
      </w:pPr>
      <w:r>
        <w:rPr>
          <w:rFonts w:hint="eastAsia" w:ascii="宋体" w:hAnsi="宋体"/>
          <w:szCs w:val="21"/>
          <w:highlight w:val="none"/>
        </w:rPr>
        <w:t>有效期限：</w:t>
      </w:r>
      <w:r>
        <w:rPr>
          <w:rFonts w:hint="eastAsia" w:ascii="宋体" w:hAnsi="宋体"/>
          <w:szCs w:val="21"/>
          <w:highlight w:val="none"/>
          <w:u w:val="single"/>
        </w:rPr>
        <w:t xml:space="preserve">                </w:t>
      </w:r>
      <w:r>
        <w:rPr>
          <w:rFonts w:hint="eastAsia" w:ascii="宋体" w:hAnsi="宋体"/>
          <w:szCs w:val="21"/>
          <w:highlight w:val="none"/>
        </w:rPr>
        <w:t>签发日期：</w:t>
      </w:r>
      <w:r>
        <w:rPr>
          <w:rFonts w:hint="eastAsia" w:ascii="宋体" w:hAnsi="宋体"/>
          <w:szCs w:val="21"/>
          <w:highlight w:val="none"/>
          <w:u w:val="single"/>
        </w:rPr>
        <w:t xml:space="preserve">                </w:t>
      </w:r>
    </w:p>
    <w:p>
      <w:pPr>
        <w:wordWrap w:val="0"/>
        <w:snapToGrid w:val="0"/>
        <w:spacing w:line="480" w:lineRule="atLeast"/>
        <w:ind w:firstLine="420" w:firstLineChars="200"/>
        <w:rPr>
          <w:rFonts w:ascii="宋体" w:hAnsi="宋体"/>
          <w:szCs w:val="21"/>
          <w:highlight w:val="none"/>
          <w:u w:val="single"/>
        </w:rPr>
      </w:pPr>
      <w:r>
        <w:rPr>
          <w:rFonts w:hint="eastAsia" w:ascii="宋体" w:hAnsi="宋体"/>
          <w:szCs w:val="21"/>
          <w:highlight w:val="none"/>
        </w:rPr>
        <w:t>附：法定代表人（负责人）性别：</w:t>
      </w:r>
      <w:r>
        <w:rPr>
          <w:rFonts w:hint="eastAsia" w:ascii="宋体" w:hAnsi="宋体"/>
          <w:szCs w:val="21"/>
          <w:highlight w:val="none"/>
          <w:u w:val="single"/>
        </w:rPr>
        <w:t>　   　</w:t>
      </w:r>
      <w:r>
        <w:rPr>
          <w:rFonts w:hint="eastAsia" w:ascii="宋体" w:hAnsi="宋体"/>
          <w:szCs w:val="21"/>
          <w:highlight w:val="none"/>
        </w:rPr>
        <w:t>年龄：</w:t>
      </w:r>
      <w:r>
        <w:rPr>
          <w:rFonts w:hint="eastAsia" w:ascii="宋体" w:hAnsi="宋体"/>
          <w:szCs w:val="21"/>
          <w:highlight w:val="none"/>
          <w:u w:val="single"/>
        </w:rPr>
        <w:t>　 　</w:t>
      </w:r>
      <w:r>
        <w:rPr>
          <w:rFonts w:hint="eastAsia" w:ascii="宋体" w:hAnsi="宋体"/>
          <w:szCs w:val="21"/>
          <w:highlight w:val="none"/>
        </w:rPr>
        <w:t>身份证号码：</w:t>
      </w:r>
    </w:p>
    <w:p>
      <w:pPr>
        <w:wordWrap w:val="0"/>
        <w:snapToGrid w:val="0"/>
        <w:spacing w:line="480" w:lineRule="atLeast"/>
        <w:ind w:firstLine="840" w:firstLineChars="400"/>
        <w:rPr>
          <w:rFonts w:ascii="宋体" w:hAnsi="宋体"/>
          <w:szCs w:val="21"/>
          <w:highlight w:val="none"/>
          <w:u w:val="single"/>
        </w:rPr>
      </w:pPr>
      <w:r>
        <w:rPr>
          <w:rFonts w:hint="eastAsia" w:ascii="宋体" w:hAnsi="宋体"/>
          <w:szCs w:val="21"/>
          <w:highlight w:val="none"/>
        </w:rPr>
        <w:t>注册号码：</w:t>
      </w:r>
      <w:r>
        <w:rPr>
          <w:rFonts w:hint="eastAsia" w:ascii="宋体" w:hAnsi="宋体"/>
          <w:szCs w:val="21"/>
          <w:highlight w:val="none"/>
          <w:u w:val="single"/>
        </w:rPr>
        <w:t>　                  　</w:t>
      </w:r>
      <w:r>
        <w:rPr>
          <w:rFonts w:hint="eastAsia" w:ascii="宋体" w:hAnsi="宋体"/>
          <w:szCs w:val="21"/>
          <w:highlight w:val="none"/>
        </w:rPr>
        <w:t xml:space="preserve"> 企业类型：</w:t>
      </w:r>
      <w:r>
        <w:rPr>
          <w:rFonts w:hint="eastAsia" w:ascii="宋体" w:hAnsi="宋体"/>
          <w:szCs w:val="21"/>
          <w:highlight w:val="none"/>
          <w:u w:val="single"/>
        </w:rPr>
        <w:t>　                  　</w:t>
      </w:r>
    </w:p>
    <w:p>
      <w:pPr>
        <w:wordWrap w:val="0"/>
        <w:snapToGrid w:val="0"/>
        <w:spacing w:line="480" w:lineRule="atLeast"/>
        <w:ind w:firstLine="840" w:firstLineChars="400"/>
        <w:rPr>
          <w:rFonts w:hint="eastAsia" w:ascii="宋体" w:hAnsi="宋体"/>
          <w:szCs w:val="21"/>
          <w:highlight w:val="none"/>
        </w:rPr>
      </w:pPr>
      <w:r>
        <w:rPr>
          <w:rFonts w:hint="eastAsia" w:ascii="宋体" w:hAnsi="宋体"/>
          <w:szCs w:val="21"/>
          <w:highlight w:val="none"/>
        </w:rPr>
        <w:t>经营范围：</w:t>
      </w:r>
    </w:p>
    <w:p>
      <w:pPr>
        <w:wordWrap w:val="0"/>
        <w:snapToGrid w:val="0"/>
        <w:spacing w:line="480" w:lineRule="atLeast"/>
        <w:ind w:firstLine="840" w:firstLineChars="400"/>
        <w:rPr>
          <w:rFonts w:hint="eastAsia" w:ascii="宋体" w:hAnsi="宋体"/>
          <w:szCs w:val="21"/>
          <w:highlight w:val="none"/>
          <w:u w:val="single"/>
        </w:rPr>
      </w:pPr>
      <w:r>
        <w:rPr>
          <w:rFonts w:hint="eastAsia" w:ascii="宋体" w:hAnsi="宋体"/>
          <w:szCs w:val="21"/>
          <w:highlight w:val="none"/>
          <w:u w:val="single"/>
        </w:rPr>
        <w:t xml:space="preserve">                                                                 </w:t>
      </w:r>
    </w:p>
    <w:p>
      <w:pPr>
        <w:wordWrap w:val="0"/>
        <w:snapToGrid w:val="0"/>
        <w:spacing w:line="480" w:lineRule="atLeast"/>
        <w:ind w:firstLine="840" w:firstLineChars="400"/>
        <w:rPr>
          <w:rFonts w:hint="eastAsia" w:ascii="宋体" w:hAnsi="宋体"/>
          <w:szCs w:val="21"/>
          <w:highlight w:val="none"/>
          <w:u w:val="single"/>
        </w:rPr>
      </w:pPr>
      <w:r>
        <w:rPr>
          <w:rFonts w:hint="eastAsia" w:ascii="宋体" w:hAnsi="宋体"/>
          <w:szCs w:val="21"/>
          <w:highlight w:val="none"/>
          <w:u w:val="single"/>
        </w:rPr>
        <w:t xml:space="preserve">                                                                 </w:t>
      </w:r>
    </w:p>
    <w:p>
      <w:pPr>
        <w:wordWrap w:val="0"/>
        <w:snapToGrid w:val="0"/>
        <w:spacing w:line="480" w:lineRule="atLeast"/>
        <w:ind w:firstLine="840" w:firstLineChars="400"/>
        <w:rPr>
          <w:rFonts w:hint="eastAsia" w:ascii="宋体" w:hAnsi="宋体"/>
          <w:szCs w:val="21"/>
          <w:highlight w:val="none"/>
          <w:u w:val="single"/>
        </w:rPr>
      </w:pPr>
      <w:r>
        <w:rPr>
          <w:rFonts w:hint="eastAsia" w:ascii="宋体" w:hAnsi="宋体"/>
          <w:szCs w:val="21"/>
          <w:highlight w:val="none"/>
          <w:u w:val="single"/>
        </w:rPr>
        <w:t xml:space="preserve">                                                                 </w:t>
      </w:r>
    </w:p>
    <w:p>
      <w:pPr>
        <w:wordWrap w:val="0"/>
        <w:snapToGrid w:val="0"/>
        <w:spacing w:line="480" w:lineRule="atLeast"/>
        <w:ind w:firstLine="840" w:firstLineChars="400"/>
        <w:rPr>
          <w:rFonts w:hint="eastAsia" w:ascii="宋体" w:hAnsi="宋体"/>
          <w:szCs w:val="21"/>
          <w:highlight w:val="none"/>
          <w:u w:val="single"/>
        </w:rPr>
      </w:pPr>
      <w:r>
        <w:rPr>
          <w:rFonts w:hint="eastAsia" w:ascii="宋体" w:hAnsi="宋体"/>
          <w:szCs w:val="21"/>
          <w:highlight w:val="none"/>
          <w:u w:val="single"/>
        </w:rPr>
        <w:t xml:space="preserve">                                                                 </w:t>
      </w:r>
    </w:p>
    <w:p>
      <w:pPr>
        <w:wordWrap w:val="0"/>
        <w:snapToGrid w:val="0"/>
        <w:spacing w:line="480" w:lineRule="atLeast"/>
        <w:ind w:firstLine="840" w:firstLineChars="400"/>
        <w:rPr>
          <w:rFonts w:hint="eastAsia" w:ascii="宋体" w:hAnsi="宋体"/>
          <w:szCs w:val="21"/>
          <w:highlight w:val="none"/>
          <w:u w:val="single"/>
        </w:rPr>
      </w:pPr>
      <w:r>
        <w:rPr>
          <w:rFonts w:hint="eastAsia" w:ascii="宋体" w:hAnsi="宋体"/>
          <w:szCs w:val="21"/>
          <w:highlight w:val="none"/>
          <w:u w:val="single"/>
        </w:rPr>
        <w:t xml:space="preserve">                                                                 </w:t>
      </w:r>
    </w:p>
    <w:p>
      <w:pPr>
        <w:wordWrap w:val="0"/>
        <w:snapToGrid w:val="0"/>
        <w:spacing w:line="480" w:lineRule="atLeast"/>
        <w:ind w:firstLine="840" w:firstLineChars="400"/>
        <w:rPr>
          <w:rFonts w:hint="eastAsia" w:ascii="宋体" w:hAnsi="宋体"/>
          <w:szCs w:val="21"/>
          <w:highlight w:val="none"/>
        </w:rPr>
      </w:pPr>
    </w:p>
    <w:p>
      <w:pPr>
        <w:wordWrap w:val="0"/>
        <w:snapToGrid w:val="0"/>
        <w:spacing w:line="480" w:lineRule="atLeast"/>
        <w:ind w:firstLine="840" w:firstLineChars="400"/>
        <w:rPr>
          <w:rFonts w:hint="eastAsia" w:ascii="宋体" w:hAnsi="宋体"/>
          <w:bCs/>
          <w:szCs w:val="21"/>
          <w:highlight w:val="none"/>
          <w:u w:val="single"/>
        </w:rPr>
      </w:pPr>
      <w:r>
        <w:rPr>
          <w:rFonts w:hint="eastAsia" w:ascii="宋体" w:hAnsi="宋体"/>
          <w:szCs w:val="21"/>
          <w:highlight w:val="none"/>
        </w:rPr>
        <w:t>单位：（盖公章）</w:t>
      </w:r>
      <w:r>
        <w:rPr>
          <w:rFonts w:hint="eastAsia" w:ascii="宋体" w:hAnsi="宋体"/>
          <w:bCs/>
          <w:szCs w:val="21"/>
          <w:highlight w:val="none"/>
          <w:u w:val="single"/>
        </w:rPr>
        <w:t xml:space="preserve">                                                  </w:t>
      </w:r>
    </w:p>
    <w:p>
      <w:pPr>
        <w:wordWrap w:val="0"/>
        <w:snapToGrid w:val="0"/>
        <w:spacing w:line="480" w:lineRule="atLeast"/>
        <w:ind w:firstLine="840" w:firstLineChars="400"/>
        <w:rPr>
          <w:rFonts w:hint="eastAsia" w:ascii="宋体" w:hAnsi="宋体"/>
          <w:bCs/>
          <w:szCs w:val="21"/>
          <w:highlight w:val="none"/>
          <w:u w:val="single"/>
        </w:rPr>
      </w:pPr>
    </w:p>
    <w:p>
      <w:pPr>
        <w:wordWrap w:val="0"/>
        <w:snapToGrid w:val="0"/>
        <w:spacing w:line="480" w:lineRule="atLeast"/>
        <w:ind w:firstLine="840" w:firstLineChars="400"/>
        <w:rPr>
          <w:rFonts w:hint="eastAsia" w:ascii="宋体" w:hAnsi="宋体"/>
          <w:szCs w:val="21"/>
          <w:highlight w:val="none"/>
        </w:rPr>
      </w:pPr>
      <w:r>
        <w:rPr>
          <w:rFonts w:hint="eastAsia" w:ascii="宋体" w:hAnsi="宋体"/>
          <w:szCs w:val="21"/>
          <w:highlight w:val="none"/>
        </w:rPr>
        <w:t>日期:　         年    月    日</w:t>
      </w:r>
    </w:p>
    <w:p>
      <w:pPr>
        <w:wordWrap w:val="0"/>
        <w:ind w:left="840"/>
        <w:rPr>
          <w:rFonts w:hint="eastAsia" w:ascii="宋体" w:hAnsi="宋体"/>
          <w:szCs w:val="21"/>
          <w:highlight w:val="none"/>
        </w:rPr>
      </w:pPr>
    </w:p>
    <w:p>
      <w:pPr>
        <w:ind w:left="840"/>
        <w:rPr>
          <w:rFonts w:hint="eastAsia" w:ascii="宋体" w:hAnsi="宋体"/>
          <w:sz w:val="24"/>
          <w:highlight w:val="none"/>
        </w:rPr>
      </w:pPr>
    </w:p>
    <w:p>
      <w:pPr>
        <w:ind w:left="840"/>
        <w:rPr>
          <w:rFonts w:hint="eastAsia" w:ascii="宋体" w:hAnsi="宋体"/>
          <w:sz w:val="24"/>
          <w:highlight w:val="none"/>
        </w:rPr>
      </w:pPr>
    </w:p>
    <w:p>
      <w:pPr>
        <w:ind w:left="840"/>
        <w:rPr>
          <w:rFonts w:hint="eastAsia" w:ascii="宋体" w:hAnsi="宋体"/>
          <w:sz w:val="24"/>
          <w:highlight w:val="none"/>
        </w:rPr>
      </w:pPr>
    </w:p>
    <w:p>
      <w:pPr>
        <w:ind w:left="840"/>
        <w:rPr>
          <w:rFonts w:hint="eastAsia" w:ascii="宋体" w:hAnsi="宋体"/>
          <w:sz w:val="24"/>
          <w:highlight w:val="none"/>
        </w:rPr>
      </w:pPr>
    </w:p>
    <w:p>
      <w:pPr>
        <w:ind w:left="840"/>
        <w:rPr>
          <w:rFonts w:hint="eastAsia" w:ascii="宋体" w:hAnsi="宋体"/>
          <w:sz w:val="24"/>
          <w:highlight w:val="none"/>
        </w:rPr>
      </w:pPr>
    </w:p>
    <w:p>
      <w:pPr>
        <w:ind w:left="840"/>
        <w:rPr>
          <w:rFonts w:hint="eastAsia" w:ascii="宋体" w:hAnsi="宋体"/>
          <w:sz w:val="24"/>
          <w:highlight w:val="none"/>
        </w:rPr>
      </w:pPr>
    </w:p>
    <w:p>
      <w:pPr>
        <w:ind w:left="840"/>
        <w:rPr>
          <w:rFonts w:hint="eastAsia" w:ascii="宋体" w:hAnsi="宋体"/>
          <w:sz w:val="24"/>
          <w:highlight w:val="none"/>
        </w:rPr>
      </w:pPr>
    </w:p>
    <w:p>
      <w:pPr>
        <w:ind w:left="840"/>
        <w:rPr>
          <w:rFonts w:hint="eastAsia" w:ascii="宋体" w:hAnsi="宋体"/>
          <w:sz w:val="24"/>
          <w:highlight w:val="none"/>
        </w:rPr>
      </w:pPr>
    </w:p>
    <w:p>
      <w:pPr>
        <w:ind w:left="840"/>
        <w:rPr>
          <w:rFonts w:hint="eastAsia" w:ascii="宋体" w:hAnsi="宋体"/>
          <w:sz w:val="24"/>
          <w:highlight w:val="none"/>
        </w:rPr>
      </w:pPr>
    </w:p>
    <w:p>
      <w:pPr>
        <w:ind w:left="840"/>
        <w:rPr>
          <w:rFonts w:hint="eastAsia" w:ascii="宋体" w:hAnsi="宋体"/>
          <w:sz w:val="24"/>
          <w:highlight w:val="none"/>
        </w:rPr>
      </w:pPr>
    </w:p>
    <w:p>
      <w:pPr>
        <w:ind w:left="840"/>
        <w:rPr>
          <w:rFonts w:hint="eastAsia" w:ascii="宋体" w:hAnsi="宋体"/>
          <w:sz w:val="24"/>
          <w:highlight w:val="none"/>
        </w:rPr>
      </w:pPr>
    </w:p>
    <w:p>
      <w:pPr>
        <w:pStyle w:val="2"/>
        <w:rPr>
          <w:rFonts w:hint="eastAsia"/>
        </w:rPr>
      </w:pPr>
    </w:p>
    <w:p>
      <w:pPr>
        <w:keepNext/>
        <w:keepLines/>
        <w:widowControl w:val="0"/>
        <w:numPr>
          <w:ilvl w:val="0"/>
          <w:numId w:val="0"/>
        </w:numPr>
        <w:spacing w:before="156" w:after="156" w:line="416" w:lineRule="auto"/>
        <w:ind w:left="424" w:leftChars="202"/>
        <w:jc w:val="both"/>
        <w:outlineLvl w:val="1"/>
        <w:rPr>
          <w:rFonts w:ascii="Arial" w:hAnsi="Arial" w:eastAsia="黑体" w:cs="Times New Roman"/>
          <w:b/>
          <w:kern w:val="2"/>
          <w:sz w:val="24"/>
          <w:highlight w:val="none"/>
          <w:lang w:val="en-US" w:eastAsia="zh-CN" w:bidi="ar-SA"/>
        </w:rPr>
      </w:pPr>
      <w:bookmarkStart w:id="31" w:name="_Toc328942812"/>
      <w:bookmarkStart w:id="32" w:name="_Toc22149487"/>
      <w:bookmarkStart w:id="33" w:name="_Toc196204535"/>
      <w:bookmarkStart w:id="34" w:name="_Toc196204639"/>
      <w:bookmarkStart w:id="35" w:name="_Toc196204745"/>
      <w:bookmarkStart w:id="36" w:name="_Toc485798084"/>
      <w:bookmarkStart w:id="37" w:name="_Toc468915201"/>
      <w:bookmarkStart w:id="38" w:name="_Toc468915639"/>
      <w:bookmarkStart w:id="39" w:name="_Toc393199695"/>
      <w:r>
        <w:rPr>
          <w:rFonts w:ascii="Arial" w:hAnsi="Arial" w:eastAsia="黑体" w:cs="Times New Roman"/>
          <w:b/>
          <w:kern w:val="2"/>
          <w:sz w:val="24"/>
          <w:highlight w:val="none"/>
          <w:lang w:val="en-US" w:eastAsia="zh-CN" w:bidi="ar-SA"/>
        </w:rPr>
        <w:t>4</w:t>
      </w:r>
      <w:r>
        <w:rPr>
          <w:rFonts w:hint="eastAsia" w:ascii="Arial" w:hAnsi="Arial" w:eastAsia="黑体" w:cs="Times New Roman"/>
          <w:b/>
          <w:kern w:val="2"/>
          <w:sz w:val="24"/>
          <w:highlight w:val="none"/>
          <w:lang w:val="en-US" w:eastAsia="zh-CN" w:bidi="ar-SA"/>
        </w:rPr>
        <w:t>.2法定代表人授权书</w:t>
      </w:r>
      <w:bookmarkEnd w:id="31"/>
      <w:bookmarkEnd w:id="32"/>
      <w:bookmarkEnd w:id="33"/>
      <w:bookmarkEnd w:id="34"/>
      <w:bookmarkEnd w:id="35"/>
      <w:bookmarkEnd w:id="36"/>
      <w:bookmarkEnd w:id="37"/>
      <w:bookmarkEnd w:id="38"/>
      <w:bookmarkEnd w:id="39"/>
    </w:p>
    <w:p>
      <w:pPr>
        <w:spacing w:line="360" w:lineRule="auto"/>
        <w:ind w:left="424" w:leftChars="202"/>
        <w:jc w:val="center"/>
        <w:rPr>
          <w:rFonts w:ascii="宋体" w:hAnsi="宋体"/>
          <w:spacing w:val="20"/>
          <w:sz w:val="32"/>
          <w:szCs w:val="32"/>
          <w:highlight w:val="none"/>
        </w:rPr>
      </w:pPr>
      <w:r>
        <w:rPr>
          <w:rFonts w:hint="eastAsia" w:ascii="宋体" w:hAnsi="宋体"/>
          <w:b/>
          <w:sz w:val="32"/>
          <w:szCs w:val="32"/>
          <w:highlight w:val="none"/>
        </w:rPr>
        <w:t>法人授权书</w:t>
      </w:r>
    </w:p>
    <w:p>
      <w:pPr>
        <w:wordWrap w:val="0"/>
        <w:spacing w:line="600" w:lineRule="exact"/>
        <w:ind w:left="424" w:leftChars="202"/>
        <w:rPr>
          <w:rFonts w:ascii="宋体" w:hAnsi="宋体"/>
          <w:szCs w:val="21"/>
          <w:highlight w:val="none"/>
        </w:rPr>
      </w:pPr>
      <w:r>
        <w:rPr>
          <w:rFonts w:hint="eastAsia" w:ascii="宋体" w:hAnsi="宋体"/>
          <w:szCs w:val="21"/>
          <w:highlight w:val="none"/>
        </w:rPr>
        <w:t>致：广州白云国际机场股份有限公司</w:t>
      </w:r>
    </w:p>
    <w:p>
      <w:pPr>
        <w:wordWrap w:val="0"/>
        <w:spacing w:line="600" w:lineRule="exact"/>
        <w:ind w:left="424" w:leftChars="202"/>
        <w:rPr>
          <w:rFonts w:ascii="宋体" w:hAnsi="宋体"/>
          <w:szCs w:val="21"/>
          <w:highlight w:val="none"/>
        </w:rPr>
      </w:pPr>
    </w:p>
    <w:p>
      <w:pPr>
        <w:wordWrap w:val="0"/>
        <w:spacing w:line="600" w:lineRule="exact"/>
        <w:ind w:left="424" w:leftChars="202" w:firstLine="420" w:firstLineChars="200"/>
        <w:rPr>
          <w:rFonts w:ascii="宋体" w:hAnsi="宋体"/>
          <w:szCs w:val="21"/>
          <w:highlight w:val="none"/>
        </w:rPr>
      </w:pPr>
      <w:r>
        <w:rPr>
          <w:rFonts w:hint="eastAsia" w:ascii="宋体" w:hAnsi="宋体"/>
          <w:szCs w:val="21"/>
          <w:highlight w:val="none"/>
        </w:rPr>
        <w:t>本授权书宣告：</w:t>
      </w:r>
      <w:r>
        <w:rPr>
          <w:rFonts w:hint="eastAsia" w:ascii="宋体" w:hAnsi="宋体"/>
          <w:szCs w:val="21"/>
          <w:highlight w:val="none"/>
          <w:u w:val="single"/>
        </w:rPr>
        <w:t xml:space="preserve">（报价人名称）  （职务）   （法定代表人姓名） </w:t>
      </w:r>
      <w:r>
        <w:rPr>
          <w:rFonts w:hint="eastAsia" w:ascii="宋体" w:hAnsi="宋体"/>
          <w:szCs w:val="21"/>
          <w:highlight w:val="none"/>
        </w:rPr>
        <w:t xml:space="preserve">是本单位的法定代表人，授权 </w:t>
      </w:r>
      <w:r>
        <w:rPr>
          <w:rFonts w:hint="eastAsia" w:ascii="宋体" w:hAnsi="宋体"/>
          <w:szCs w:val="21"/>
          <w:highlight w:val="none"/>
          <w:u w:val="single"/>
        </w:rPr>
        <w:t xml:space="preserve">（职务）  （姓名） </w:t>
      </w:r>
      <w:r>
        <w:rPr>
          <w:rFonts w:hint="eastAsia" w:ascii="宋体" w:hAnsi="宋体"/>
          <w:szCs w:val="21"/>
          <w:highlight w:val="none"/>
        </w:rPr>
        <w:t>为我单位代理人，该代理人有权在</w:t>
      </w:r>
      <w:r>
        <w:rPr>
          <w:rFonts w:hint="eastAsia" w:ascii="宋体" w:hAnsi="宋体"/>
          <w:szCs w:val="21"/>
          <w:highlight w:val="none"/>
          <w:u w:val="single"/>
        </w:rPr>
        <w:t xml:space="preserve"> XXXX项目  </w:t>
      </w:r>
      <w:r>
        <w:rPr>
          <w:rFonts w:hint="eastAsia" w:ascii="宋体" w:hAnsi="宋体"/>
          <w:szCs w:val="21"/>
          <w:highlight w:val="none"/>
        </w:rPr>
        <w:t>的报价活动中，以我单位的名义签署报价文件，与采购人协商、签订合同协议书以及执行一切与此有关的事项。</w:t>
      </w:r>
    </w:p>
    <w:p>
      <w:pPr>
        <w:wordWrap w:val="0"/>
        <w:spacing w:line="600" w:lineRule="exact"/>
        <w:ind w:left="424" w:leftChars="202"/>
        <w:rPr>
          <w:rFonts w:ascii="宋体" w:hAnsi="宋体"/>
          <w:szCs w:val="21"/>
          <w:highlight w:val="none"/>
        </w:rPr>
      </w:pPr>
    </w:p>
    <w:p>
      <w:pPr>
        <w:wordWrap w:val="0"/>
        <w:spacing w:line="600" w:lineRule="exact"/>
        <w:ind w:left="424" w:leftChars="202"/>
        <w:rPr>
          <w:rFonts w:ascii="宋体" w:hAnsi="宋体"/>
          <w:bCs/>
          <w:szCs w:val="21"/>
          <w:highlight w:val="none"/>
          <w:u w:val="single"/>
        </w:rPr>
      </w:pPr>
      <w:r>
        <w:rPr>
          <w:rFonts w:hint="eastAsia" w:ascii="宋体" w:hAnsi="宋体"/>
          <w:bCs/>
          <w:szCs w:val="21"/>
          <w:highlight w:val="none"/>
        </w:rPr>
        <w:t>报价人：（盖公章）</w:t>
      </w:r>
      <w:r>
        <w:rPr>
          <w:rFonts w:hint="eastAsia" w:ascii="宋体" w:hAnsi="宋体"/>
          <w:bCs/>
          <w:szCs w:val="21"/>
          <w:highlight w:val="none"/>
          <w:u w:val="single"/>
        </w:rPr>
        <w:t xml:space="preserve">                                         </w:t>
      </w:r>
    </w:p>
    <w:p>
      <w:pPr>
        <w:wordWrap w:val="0"/>
        <w:spacing w:line="600" w:lineRule="exact"/>
        <w:ind w:left="424" w:leftChars="202"/>
        <w:rPr>
          <w:rFonts w:ascii="宋体" w:hAnsi="宋体"/>
          <w:bCs/>
          <w:szCs w:val="21"/>
          <w:highlight w:val="none"/>
        </w:rPr>
      </w:pPr>
    </w:p>
    <w:p>
      <w:pPr>
        <w:wordWrap w:val="0"/>
        <w:spacing w:line="600" w:lineRule="exact"/>
        <w:ind w:left="424" w:leftChars="202"/>
        <w:rPr>
          <w:rFonts w:ascii="宋体" w:hAnsi="宋体"/>
          <w:bCs/>
          <w:szCs w:val="21"/>
          <w:highlight w:val="none"/>
        </w:rPr>
      </w:pPr>
      <w:r>
        <w:rPr>
          <w:rFonts w:hint="eastAsia" w:ascii="宋体" w:hAnsi="宋体"/>
          <w:bCs/>
          <w:szCs w:val="21"/>
          <w:highlight w:val="none"/>
        </w:rPr>
        <w:t>法定代表人：（签字或签章）</w:t>
      </w:r>
      <w:r>
        <w:rPr>
          <w:rFonts w:hint="eastAsia" w:ascii="宋体" w:hAnsi="宋体"/>
          <w:bCs/>
          <w:szCs w:val="21"/>
          <w:highlight w:val="none"/>
          <w:u w:val="single"/>
        </w:rPr>
        <w:t xml:space="preserve">                                         </w:t>
      </w:r>
    </w:p>
    <w:p>
      <w:pPr>
        <w:wordWrap w:val="0"/>
        <w:spacing w:line="600" w:lineRule="exact"/>
        <w:ind w:left="424" w:leftChars="202"/>
        <w:rPr>
          <w:rFonts w:ascii="宋体" w:hAnsi="宋体"/>
          <w:bCs/>
          <w:szCs w:val="21"/>
          <w:highlight w:val="none"/>
        </w:rPr>
      </w:pPr>
    </w:p>
    <w:p>
      <w:pPr>
        <w:wordWrap w:val="0"/>
        <w:spacing w:line="600" w:lineRule="exact"/>
        <w:ind w:left="424" w:leftChars="202"/>
        <w:rPr>
          <w:rFonts w:ascii="宋体" w:hAnsi="宋体"/>
          <w:szCs w:val="21"/>
          <w:highlight w:val="none"/>
          <w:u w:val="single"/>
        </w:rPr>
      </w:pPr>
      <w:r>
        <w:rPr>
          <w:rFonts w:hint="eastAsia" w:ascii="宋体" w:hAnsi="宋体"/>
          <w:bCs/>
          <w:szCs w:val="21"/>
          <w:highlight w:val="none"/>
        </w:rPr>
        <w:t>被授权人（代理人）：（签字）</w:t>
      </w:r>
      <w:r>
        <w:rPr>
          <w:rFonts w:hint="eastAsia" w:ascii="宋体" w:hAnsi="宋体"/>
          <w:bCs/>
          <w:szCs w:val="21"/>
          <w:highlight w:val="none"/>
          <w:u w:val="single"/>
        </w:rPr>
        <w:t xml:space="preserve">                                  </w:t>
      </w:r>
    </w:p>
    <w:p>
      <w:pPr>
        <w:wordWrap w:val="0"/>
        <w:spacing w:line="600" w:lineRule="exact"/>
        <w:ind w:left="424" w:leftChars="202"/>
        <w:rPr>
          <w:rFonts w:ascii="宋体" w:hAnsi="宋体"/>
          <w:szCs w:val="21"/>
          <w:highlight w:val="none"/>
        </w:rPr>
      </w:pPr>
    </w:p>
    <w:p>
      <w:pPr>
        <w:wordWrap w:val="0"/>
        <w:spacing w:line="360" w:lineRule="auto"/>
        <w:ind w:left="424" w:leftChars="202"/>
        <w:rPr>
          <w:rFonts w:ascii="宋体" w:hAnsi="宋体"/>
          <w:bCs/>
          <w:highlight w:val="none"/>
        </w:rPr>
        <w:sectPr>
          <w:footerReference r:id="rId4" w:type="default"/>
          <w:footerReference r:id="rId5" w:type="even"/>
          <w:pgSz w:w="11907" w:h="16840"/>
          <w:pgMar w:top="1134" w:right="1134" w:bottom="1134" w:left="1134" w:header="567" w:footer="567" w:gutter="0"/>
          <w:cols w:space="720" w:num="1"/>
          <w:docGrid w:type="linesAndChars" w:linePitch="312" w:charSpace="0"/>
        </w:sectPr>
      </w:pPr>
      <w:r>
        <w:rPr>
          <w:rFonts w:hint="eastAsia" w:ascii="宋体" w:hAnsi="宋体"/>
          <w:szCs w:val="21"/>
          <w:highlight w:val="none"/>
        </w:rPr>
        <w:t xml:space="preserve">日期：  年  月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1"/>
      </w:pBdr>
      <w:jc w:val="center"/>
    </w:pPr>
    <w:r>
      <w:fldChar w:fldCharType="begin"/>
    </w:r>
    <w:r>
      <w:rPr>
        <w:rStyle w:val="14"/>
      </w:rPr>
      <w:instrText xml:space="preserve"> PAGE </w:instrText>
    </w:r>
    <w:r>
      <w:fldChar w:fldCharType="separate"/>
    </w:r>
    <w:r>
      <w:rPr>
        <w:rStyle w:val="14"/>
      </w:rP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4"/>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w:fldChar w:fldCharType="begin"/>
    </w:r>
    <w:r>
      <w:rPr>
        <w:rStyle w:val="14"/>
        <w:rFonts w:ascii="Times New Roman" w:hAnsi="Times New Roman" w:eastAsia="宋体" w:cs="Times New Roman"/>
        <w:kern w:val="2"/>
        <w:sz w:val="18"/>
        <w:lang w:val="en-US" w:eastAsia="zh-CN" w:bidi="ar-SA"/>
      </w:rPr>
      <w:instrText xml:space="preserve">PAGE  </w:instrText>
    </w:r>
    <w:r>
      <w:rPr>
        <w:rFonts w:ascii="Times New Roman" w:hAnsi="Times New Roman" w:eastAsia="宋体" w:cs="Times New Roman"/>
        <w:kern w:val="2"/>
        <w:sz w:val="18"/>
        <w:lang w:val="en-US" w:eastAsia="zh-CN" w:bidi="ar-SA"/>
      </w:rPr>
      <w:fldChar w:fldCharType="separate"/>
    </w:r>
    <w:r>
      <w:rPr>
        <w:rStyle w:val="14"/>
        <w:rFonts w:ascii="Times New Roman" w:hAnsi="Times New Roman" w:eastAsia="宋体" w:cs="Times New Roman"/>
        <w:kern w:val="2"/>
        <w:sz w:val="18"/>
        <w:lang w:val="en-US" w:eastAsia="zh-CN" w:bidi="ar-SA"/>
      </w:rPr>
      <w:t>29</w:t>
    </w:r>
    <w:r>
      <w:rPr>
        <w:rFonts w:ascii="Times New Roman" w:hAnsi="Times New Roman" w:eastAsia="宋体" w:cs="Times New Roman"/>
        <w:kern w:val="2"/>
        <w:sz w:val="18"/>
        <w:lang w:val="en-US" w:eastAsia="zh-CN" w:bidi="ar-SA"/>
      </w:rPr>
      <w:fldChar w:fldCharType="end"/>
    </w:r>
  </w:p>
  <w:p>
    <w:pPr>
      <w:widowControl w:val="0"/>
      <w:snapToGrid w:val="0"/>
      <w:ind w:right="360"/>
      <w:jc w:val="left"/>
      <w:rPr>
        <w:rFonts w:ascii="Times New Roman" w:hAnsi="Times New Roman" w:eastAsia="宋体" w:cs="Times New Roman"/>
        <w:kern w:val="2"/>
        <w:sz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4"/>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w:fldChar w:fldCharType="begin"/>
    </w:r>
    <w:r>
      <w:rPr>
        <w:rStyle w:val="14"/>
        <w:rFonts w:ascii="Times New Roman" w:hAnsi="Times New Roman" w:eastAsia="宋体" w:cs="Times New Roman"/>
        <w:kern w:val="2"/>
        <w:sz w:val="18"/>
        <w:lang w:val="en-US" w:eastAsia="zh-CN" w:bidi="ar-SA"/>
      </w:rPr>
      <w:instrText xml:space="preserve">PAGE  </w:instrText>
    </w:r>
    <w:r>
      <w:rPr>
        <w:rFonts w:ascii="Times New Roman" w:hAnsi="Times New Roman" w:eastAsia="宋体" w:cs="Times New Roman"/>
        <w:kern w:val="2"/>
        <w:sz w:val="18"/>
        <w:lang w:val="en-US" w:eastAsia="zh-CN" w:bidi="ar-SA"/>
      </w:rPr>
      <w:fldChar w:fldCharType="separate"/>
    </w:r>
    <w:r>
      <w:rPr>
        <w:rStyle w:val="14"/>
        <w:rFonts w:ascii="Times New Roman" w:hAnsi="Times New Roman" w:eastAsia="宋体" w:cs="Times New Roman"/>
        <w:kern w:val="2"/>
        <w:sz w:val="18"/>
        <w:lang w:val="en-US" w:eastAsia="zh-CN" w:bidi="ar-SA"/>
      </w:rPr>
      <w:t>4</w:t>
    </w:r>
    <w:r>
      <w:rPr>
        <w:rFonts w:ascii="Times New Roman" w:hAnsi="Times New Roman" w:eastAsia="宋体" w:cs="Times New Roman"/>
        <w:kern w:val="2"/>
        <w:sz w:val="18"/>
        <w:lang w:val="en-US" w:eastAsia="zh-CN" w:bidi="ar-SA"/>
      </w:rPr>
      <w:fldChar w:fldCharType="end"/>
    </w:r>
  </w:p>
  <w:p>
    <w:pPr>
      <w:widowControl w:val="0"/>
      <w:snapToGrid w:val="0"/>
      <w:ind w:right="360"/>
      <w:jc w:val="left"/>
      <w:rPr>
        <w:rFonts w:ascii="Times New Roman" w:hAnsi="Times New Roman" w:eastAsia="宋体" w:cs="Times New Roman"/>
        <w:kern w:val="2"/>
        <w:sz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64F387"/>
    <w:multiLevelType w:val="multilevel"/>
    <w:tmpl w:val="D664F387"/>
    <w:lvl w:ilvl="0" w:tentative="0">
      <w:start w:val="1"/>
      <w:numFmt w:val="decimal"/>
      <w:suff w:val="space"/>
      <w:lvlText w:val="课题%1："/>
      <w:lvlJc w:val="left"/>
      <w:pPr>
        <w:tabs>
          <w:tab w:val="left" w:pos="0"/>
        </w:tabs>
        <w:ind w:left="0" w:firstLine="0"/>
      </w:pPr>
      <w:rPr>
        <w:rFonts w:hint="default"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pStyle w:val="19"/>
      <w:suff w:val="space"/>
      <w:lvlText w:val="%2."/>
      <w:lvlJc w:val="left"/>
      <w:pPr>
        <w:tabs>
          <w:tab w:val="left" w:pos="0"/>
        </w:tabs>
        <w:ind w:left="0" w:firstLine="0"/>
      </w:pPr>
      <w:rPr>
        <w:rFonts w:hint="default" w:ascii="宋体" w:hAnsi="宋体" w:eastAsia="楷体_GB2312" w:cs="宋体"/>
        <w:b/>
        <w:bCs/>
        <w:color w:val="404040"/>
        <w:spacing w:val="-1"/>
        <w:w w:val="100"/>
        <w:sz w:val="28"/>
        <w:szCs w:val="28"/>
      </w:rPr>
    </w:lvl>
    <w:lvl w:ilvl="2" w:tentative="0">
      <w:start w:val="1"/>
      <w:numFmt w:val="decimal"/>
      <w:suff w:val="space"/>
      <w:lvlText w:val="%2.%3"/>
      <w:lvlJc w:val="left"/>
      <w:pPr>
        <w:tabs>
          <w:tab w:val="left" w:pos="420"/>
        </w:tabs>
        <w:ind w:left="0" w:firstLine="0"/>
      </w:pPr>
      <w:rPr>
        <w:rFonts w:hint="default" w:ascii="宋体" w:hAnsi="宋体" w:eastAsia="宋体" w:cs="宋体"/>
        <w:b/>
        <w:bCs/>
        <w:color w:val="404040"/>
        <w:spacing w:val="-1"/>
        <w:w w:val="100"/>
        <w:sz w:val="24"/>
        <w:szCs w:val="24"/>
      </w:rPr>
    </w:lvl>
    <w:lvl w:ilvl="3" w:tentative="0">
      <w:start w:val="1"/>
      <w:numFmt w:val="decimal"/>
      <w:suff w:val="space"/>
      <w:lvlText w:val="%2.%3.%4"/>
      <w:lvlJc w:val="left"/>
      <w:pPr>
        <w:tabs>
          <w:tab w:val="left" w:pos="420"/>
        </w:tabs>
        <w:ind w:left="0" w:firstLine="0"/>
      </w:pPr>
      <w:rPr>
        <w:rFonts w:hint="default" w:ascii="宋体" w:hAnsi="宋体" w:eastAsia="宋体" w:cs="宋体"/>
      </w:rPr>
    </w:lvl>
    <w:lvl w:ilvl="4" w:tentative="0">
      <w:start w:val="0"/>
      <w:numFmt w:val="bullet"/>
      <w:lvlText w:val="•"/>
      <w:lvlJc w:val="left"/>
      <w:pPr>
        <w:ind w:left="0" w:firstLine="0"/>
      </w:pPr>
      <w:rPr>
        <w:rFonts w:hint="eastAsia"/>
      </w:rPr>
    </w:lvl>
    <w:lvl w:ilvl="5" w:tentative="0">
      <w:start w:val="0"/>
      <w:numFmt w:val="bullet"/>
      <w:lvlText w:val="•"/>
      <w:lvlJc w:val="left"/>
      <w:pPr>
        <w:ind w:left="0" w:firstLine="0"/>
      </w:pPr>
      <w:rPr>
        <w:rFonts w:hint="eastAsia"/>
      </w:rPr>
    </w:lvl>
    <w:lvl w:ilvl="6" w:tentative="0">
      <w:start w:val="0"/>
      <w:numFmt w:val="bullet"/>
      <w:lvlText w:val="•"/>
      <w:lvlJc w:val="left"/>
      <w:pPr>
        <w:ind w:left="0" w:firstLine="0"/>
      </w:pPr>
      <w:rPr>
        <w:rFonts w:hint="eastAsia"/>
      </w:rPr>
    </w:lvl>
    <w:lvl w:ilvl="7" w:tentative="0">
      <w:start w:val="0"/>
      <w:numFmt w:val="bullet"/>
      <w:lvlText w:val="•"/>
      <w:lvlJc w:val="left"/>
      <w:pPr>
        <w:ind w:left="0" w:firstLine="0"/>
      </w:pPr>
      <w:rPr>
        <w:rFonts w:hint="eastAsia"/>
      </w:rPr>
    </w:lvl>
    <w:lvl w:ilvl="8" w:tentative="0">
      <w:start w:val="0"/>
      <w:numFmt w:val="bullet"/>
      <w:lvlText w:val="•"/>
      <w:lvlJc w:val="left"/>
      <w:pPr>
        <w:ind w:left="0" w:firstLine="0"/>
      </w:pPr>
      <w:rPr>
        <w:rFonts w:hint="eastAsia"/>
      </w:rPr>
    </w:lvl>
  </w:abstractNum>
  <w:abstractNum w:abstractNumId="1">
    <w:nsid w:val="D6A7EC37"/>
    <w:multiLevelType w:val="multilevel"/>
    <w:tmpl w:val="D6A7EC37"/>
    <w:lvl w:ilvl="0" w:tentative="0">
      <w:start w:val="1"/>
      <w:numFmt w:val="decimal"/>
      <w:pStyle w:val="24"/>
      <w:suff w:val="space"/>
      <w:lvlText w:val="课题%1："/>
      <w:lvlJc w:val="left"/>
      <w:pPr>
        <w:tabs>
          <w:tab w:val="left" w:pos="0"/>
        </w:tabs>
        <w:ind w:left="0" w:firstLine="0"/>
      </w:pPr>
      <w:rPr>
        <w:rFonts w:hint="default"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suff w:val="space"/>
      <w:lvlText w:val="%2."/>
      <w:lvlJc w:val="left"/>
      <w:pPr>
        <w:tabs>
          <w:tab w:val="left" w:pos="0"/>
        </w:tabs>
        <w:ind w:left="0" w:firstLine="0"/>
      </w:pPr>
      <w:rPr>
        <w:rFonts w:hint="default" w:ascii="宋体" w:hAnsi="宋体" w:eastAsia="楷体_GB2312" w:cs="宋体"/>
        <w:b/>
        <w:bCs/>
        <w:color w:val="404040"/>
        <w:spacing w:val="-1"/>
        <w:w w:val="100"/>
        <w:sz w:val="28"/>
        <w:szCs w:val="28"/>
      </w:rPr>
    </w:lvl>
    <w:lvl w:ilvl="2" w:tentative="0">
      <w:start w:val="1"/>
      <w:numFmt w:val="decimal"/>
      <w:suff w:val="space"/>
      <w:lvlText w:val="%2.%3"/>
      <w:lvlJc w:val="left"/>
      <w:pPr>
        <w:tabs>
          <w:tab w:val="left" w:pos="420"/>
        </w:tabs>
        <w:ind w:left="0" w:firstLine="0"/>
      </w:pPr>
      <w:rPr>
        <w:rFonts w:hint="default" w:ascii="宋体" w:hAnsi="宋体" w:eastAsia="宋体" w:cs="宋体"/>
        <w:b/>
        <w:bCs/>
        <w:color w:val="404040"/>
        <w:spacing w:val="-1"/>
        <w:w w:val="100"/>
        <w:sz w:val="24"/>
        <w:szCs w:val="24"/>
      </w:rPr>
    </w:lvl>
    <w:lvl w:ilvl="3" w:tentative="0">
      <w:start w:val="1"/>
      <w:numFmt w:val="decimal"/>
      <w:pStyle w:val="20"/>
      <w:suff w:val="space"/>
      <w:lvlText w:val="%2.%3.%4"/>
      <w:lvlJc w:val="left"/>
      <w:pPr>
        <w:tabs>
          <w:tab w:val="left" w:pos="420"/>
        </w:tabs>
        <w:ind w:left="0" w:firstLine="0"/>
      </w:pPr>
      <w:rPr>
        <w:rFonts w:hint="default" w:ascii="宋体" w:hAnsi="宋体" w:eastAsia="宋体" w:cs="宋体"/>
      </w:rPr>
    </w:lvl>
    <w:lvl w:ilvl="4" w:tentative="0">
      <w:start w:val="0"/>
      <w:numFmt w:val="bullet"/>
      <w:lvlText w:val="•"/>
      <w:lvlJc w:val="left"/>
      <w:pPr>
        <w:ind w:left="0" w:firstLine="0"/>
      </w:pPr>
      <w:rPr>
        <w:rFonts w:hint="eastAsia"/>
      </w:rPr>
    </w:lvl>
    <w:lvl w:ilvl="5" w:tentative="0">
      <w:start w:val="0"/>
      <w:numFmt w:val="bullet"/>
      <w:lvlText w:val="•"/>
      <w:lvlJc w:val="left"/>
      <w:pPr>
        <w:ind w:left="0" w:firstLine="0"/>
      </w:pPr>
      <w:rPr>
        <w:rFonts w:hint="eastAsia"/>
      </w:rPr>
    </w:lvl>
    <w:lvl w:ilvl="6" w:tentative="0">
      <w:start w:val="0"/>
      <w:numFmt w:val="bullet"/>
      <w:lvlText w:val="•"/>
      <w:lvlJc w:val="left"/>
      <w:pPr>
        <w:ind w:left="0" w:firstLine="0"/>
      </w:pPr>
      <w:rPr>
        <w:rFonts w:hint="eastAsia"/>
      </w:rPr>
    </w:lvl>
    <w:lvl w:ilvl="7" w:tentative="0">
      <w:start w:val="0"/>
      <w:numFmt w:val="bullet"/>
      <w:lvlText w:val="•"/>
      <w:lvlJc w:val="left"/>
      <w:pPr>
        <w:ind w:left="0" w:firstLine="0"/>
      </w:pPr>
      <w:rPr>
        <w:rFonts w:hint="eastAsia"/>
      </w:rPr>
    </w:lvl>
    <w:lvl w:ilvl="8" w:tentative="0">
      <w:start w:val="0"/>
      <w:numFmt w:val="bullet"/>
      <w:lvlText w:val="•"/>
      <w:lvlJc w:val="left"/>
      <w:pPr>
        <w:ind w:left="0" w:firstLine="0"/>
      </w:pPr>
      <w:rPr>
        <w:rFonts w:hint="eastAsia"/>
      </w:rPr>
    </w:lvl>
  </w:abstractNum>
  <w:abstractNum w:abstractNumId="2">
    <w:nsid w:val="00000016"/>
    <w:multiLevelType w:val="multilevel"/>
    <w:tmpl w:val="00000016"/>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00000018"/>
    <w:multiLevelType w:val="multilevel"/>
    <w:tmpl w:val="0000001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B"/>
    <w:multiLevelType w:val="multilevel"/>
    <w:tmpl w:val="0000002B"/>
    <w:lvl w:ilvl="0" w:tentative="0">
      <w:start w:val="1"/>
      <w:numFmt w:val="decimal"/>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7975134"/>
    <w:multiLevelType w:val="multilevel"/>
    <w:tmpl w:val="07975134"/>
    <w:lvl w:ilvl="0" w:tentative="0">
      <w:start w:val="1"/>
      <w:numFmt w:val="decimal"/>
      <w:lvlText w:val="%1）"/>
      <w:lvlJc w:val="left"/>
      <w:pPr>
        <w:ind w:left="900" w:hanging="360"/>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6">
    <w:nsid w:val="277552DD"/>
    <w:multiLevelType w:val="multilevel"/>
    <w:tmpl w:val="277552DD"/>
    <w:lvl w:ilvl="0" w:tentative="0">
      <w:start w:val="1"/>
      <w:numFmt w:val="decimal"/>
      <w:suff w:val="space"/>
      <w:lvlText w:val="课题%1："/>
      <w:lvlJc w:val="left"/>
      <w:pPr>
        <w:tabs>
          <w:tab w:val="left" w:pos="0"/>
        </w:tabs>
        <w:ind w:left="0" w:firstLine="0"/>
      </w:pPr>
      <w:rPr>
        <w:rFonts w:hint="default"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suff w:val="space"/>
      <w:lvlText w:val="%2."/>
      <w:lvlJc w:val="left"/>
      <w:pPr>
        <w:tabs>
          <w:tab w:val="left" w:pos="0"/>
        </w:tabs>
        <w:ind w:left="0" w:firstLine="0"/>
      </w:pPr>
      <w:rPr>
        <w:rFonts w:hint="default" w:ascii="宋体" w:hAnsi="宋体" w:eastAsia="楷体_GB2312" w:cs="宋体"/>
        <w:b/>
        <w:bCs/>
        <w:color w:val="404040"/>
        <w:spacing w:val="-1"/>
        <w:w w:val="100"/>
        <w:sz w:val="28"/>
        <w:szCs w:val="28"/>
      </w:rPr>
    </w:lvl>
    <w:lvl w:ilvl="2" w:tentative="0">
      <w:start w:val="1"/>
      <w:numFmt w:val="decimal"/>
      <w:pStyle w:val="18"/>
      <w:suff w:val="space"/>
      <w:lvlText w:val="%2.%3"/>
      <w:lvlJc w:val="left"/>
      <w:pPr>
        <w:tabs>
          <w:tab w:val="left" w:pos="420"/>
        </w:tabs>
        <w:ind w:left="0" w:firstLine="0"/>
      </w:pPr>
      <w:rPr>
        <w:rFonts w:hint="default" w:ascii="宋体" w:hAnsi="宋体" w:eastAsia="宋体" w:cs="宋体"/>
        <w:b/>
        <w:bCs/>
        <w:color w:val="404040"/>
        <w:spacing w:val="-1"/>
        <w:w w:val="100"/>
        <w:sz w:val="24"/>
        <w:szCs w:val="24"/>
      </w:rPr>
    </w:lvl>
    <w:lvl w:ilvl="3" w:tentative="0">
      <w:start w:val="1"/>
      <w:numFmt w:val="decimal"/>
      <w:suff w:val="space"/>
      <w:lvlText w:val="%2.%3.%4"/>
      <w:lvlJc w:val="left"/>
      <w:pPr>
        <w:tabs>
          <w:tab w:val="left" w:pos="420"/>
        </w:tabs>
        <w:ind w:left="0" w:firstLine="0"/>
      </w:pPr>
      <w:rPr>
        <w:rFonts w:hint="default" w:ascii="宋体" w:hAnsi="宋体" w:eastAsia="宋体" w:cs="宋体"/>
      </w:rPr>
    </w:lvl>
    <w:lvl w:ilvl="4" w:tentative="0">
      <w:start w:val="0"/>
      <w:numFmt w:val="bullet"/>
      <w:lvlText w:val="•"/>
      <w:lvlJc w:val="left"/>
      <w:pPr>
        <w:ind w:left="0" w:firstLine="0"/>
      </w:pPr>
      <w:rPr>
        <w:rFonts w:hint="eastAsia"/>
      </w:rPr>
    </w:lvl>
    <w:lvl w:ilvl="5" w:tentative="0">
      <w:start w:val="0"/>
      <w:numFmt w:val="bullet"/>
      <w:lvlText w:val="•"/>
      <w:lvlJc w:val="left"/>
      <w:pPr>
        <w:ind w:left="0" w:firstLine="0"/>
      </w:pPr>
      <w:rPr>
        <w:rFonts w:hint="eastAsia"/>
      </w:rPr>
    </w:lvl>
    <w:lvl w:ilvl="6" w:tentative="0">
      <w:start w:val="0"/>
      <w:numFmt w:val="bullet"/>
      <w:lvlText w:val="•"/>
      <w:lvlJc w:val="left"/>
      <w:pPr>
        <w:ind w:left="0" w:firstLine="0"/>
      </w:pPr>
      <w:rPr>
        <w:rFonts w:hint="eastAsia"/>
      </w:rPr>
    </w:lvl>
    <w:lvl w:ilvl="7" w:tentative="0">
      <w:start w:val="0"/>
      <w:numFmt w:val="bullet"/>
      <w:lvlText w:val="•"/>
      <w:lvlJc w:val="left"/>
      <w:pPr>
        <w:ind w:left="0" w:firstLine="0"/>
      </w:pPr>
      <w:rPr>
        <w:rFonts w:hint="eastAsia"/>
      </w:rPr>
    </w:lvl>
    <w:lvl w:ilvl="8" w:tentative="0">
      <w:start w:val="0"/>
      <w:numFmt w:val="bullet"/>
      <w:lvlText w:val="•"/>
      <w:lvlJc w:val="left"/>
      <w:pPr>
        <w:ind w:left="0" w:firstLine="0"/>
      </w:pPr>
      <w:rPr>
        <w:rFonts w:hint="eastAsia"/>
      </w:rPr>
    </w:lvl>
  </w:abstractNum>
  <w:abstractNum w:abstractNumId="7">
    <w:nsid w:val="413F9AAC"/>
    <w:multiLevelType w:val="multilevel"/>
    <w:tmpl w:val="413F9AAC"/>
    <w:lvl w:ilvl="0" w:tentative="0">
      <w:start w:val="1"/>
      <w:numFmt w:val="decimal"/>
      <w:pStyle w:val="16"/>
      <w:suff w:val="space"/>
      <w:lvlText w:val="课题%1："/>
      <w:lvlJc w:val="left"/>
      <w:pPr>
        <w:tabs>
          <w:tab w:val="left" w:pos="0"/>
        </w:tabs>
        <w:ind w:left="0" w:firstLine="0"/>
      </w:pPr>
      <w:rPr>
        <w:rFonts w:hint="default"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suff w:val="space"/>
      <w:lvlText w:val="%2."/>
      <w:lvlJc w:val="left"/>
      <w:pPr>
        <w:tabs>
          <w:tab w:val="left" w:pos="0"/>
        </w:tabs>
        <w:ind w:left="0" w:firstLine="0"/>
      </w:pPr>
      <w:rPr>
        <w:rFonts w:hint="default" w:ascii="宋体" w:hAnsi="宋体" w:eastAsia="楷体_GB2312" w:cs="宋体"/>
        <w:b/>
        <w:bCs/>
        <w:color w:val="404040"/>
        <w:spacing w:val="-1"/>
        <w:w w:val="100"/>
        <w:sz w:val="28"/>
        <w:szCs w:val="28"/>
      </w:rPr>
    </w:lvl>
    <w:lvl w:ilvl="2" w:tentative="0">
      <w:start w:val="1"/>
      <w:numFmt w:val="decimal"/>
      <w:suff w:val="space"/>
      <w:lvlText w:val="%2.%3"/>
      <w:lvlJc w:val="left"/>
      <w:pPr>
        <w:tabs>
          <w:tab w:val="left" w:pos="420"/>
        </w:tabs>
        <w:ind w:left="0" w:firstLine="0"/>
      </w:pPr>
      <w:rPr>
        <w:rFonts w:hint="default" w:ascii="宋体" w:hAnsi="宋体" w:eastAsia="宋体" w:cs="宋体"/>
        <w:b/>
        <w:bCs/>
        <w:color w:val="404040"/>
        <w:spacing w:val="-1"/>
        <w:w w:val="100"/>
        <w:sz w:val="24"/>
        <w:szCs w:val="24"/>
      </w:rPr>
    </w:lvl>
    <w:lvl w:ilvl="3" w:tentative="0">
      <w:start w:val="1"/>
      <w:numFmt w:val="decimal"/>
      <w:suff w:val="space"/>
      <w:lvlText w:val="%2.%3.%4"/>
      <w:lvlJc w:val="left"/>
      <w:pPr>
        <w:tabs>
          <w:tab w:val="left" w:pos="420"/>
        </w:tabs>
        <w:ind w:left="0" w:firstLine="0"/>
      </w:pPr>
      <w:rPr>
        <w:rFonts w:hint="default" w:ascii="宋体" w:hAnsi="宋体" w:eastAsia="宋体" w:cs="宋体"/>
      </w:rPr>
    </w:lvl>
    <w:lvl w:ilvl="4" w:tentative="0">
      <w:start w:val="0"/>
      <w:numFmt w:val="bullet"/>
      <w:lvlText w:val="•"/>
      <w:lvlJc w:val="left"/>
      <w:pPr>
        <w:ind w:left="0" w:firstLine="0"/>
      </w:pPr>
      <w:rPr>
        <w:rFonts w:hint="eastAsia"/>
      </w:rPr>
    </w:lvl>
    <w:lvl w:ilvl="5" w:tentative="0">
      <w:start w:val="0"/>
      <w:numFmt w:val="bullet"/>
      <w:lvlText w:val="•"/>
      <w:lvlJc w:val="left"/>
      <w:pPr>
        <w:ind w:left="0" w:firstLine="0"/>
      </w:pPr>
      <w:rPr>
        <w:rFonts w:hint="eastAsia"/>
      </w:rPr>
    </w:lvl>
    <w:lvl w:ilvl="6" w:tentative="0">
      <w:start w:val="0"/>
      <w:numFmt w:val="bullet"/>
      <w:lvlText w:val="•"/>
      <w:lvlJc w:val="left"/>
      <w:pPr>
        <w:ind w:left="0" w:firstLine="0"/>
      </w:pPr>
      <w:rPr>
        <w:rFonts w:hint="eastAsia"/>
      </w:rPr>
    </w:lvl>
    <w:lvl w:ilvl="7" w:tentative="0">
      <w:start w:val="0"/>
      <w:numFmt w:val="bullet"/>
      <w:lvlText w:val="•"/>
      <w:lvlJc w:val="left"/>
      <w:pPr>
        <w:ind w:left="0" w:firstLine="0"/>
      </w:pPr>
      <w:rPr>
        <w:rFonts w:hint="eastAsia"/>
      </w:rPr>
    </w:lvl>
    <w:lvl w:ilvl="8" w:tentative="0">
      <w:start w:val="0"/>
      <w:numFmt w:val="bullet"/>
      <w:lvlText w:val="•"/>
      <w:lvlJc w:val="left"/>
      <w:pPr>
        <w:ind w:left="0" w:firstLine="0"/>
      </w:pPr>
      <w:rPr>
        <w:rFonts w:hint="eastAsia"/>
      </w:rPr>
    </w:lvl>
  </w:abstractNum>
  <w:abstractNum w:abstractNumId="8">
    <w:nsid w:val="4BB7B68C"/>
    <w:multiLevelType w:val="multilevel"/>
    <w:tmpl w:val="4BB7B68C"/>
    <w:lvl w:ilvl="0" w:tentative="0">
      <w:start w:val="1"/>
      <w:numFmt w:val="decimal"/>
      <w:pStyle w:val="3"/>
      <w:suff w:val="space"/>
      <w:lvlText w:val="课题%1："/>
      <w:lvlJc w:val="left"/>
      <w:pPr>
        <w:tabs>
          <w:tab w:val="left" w:pos="0"/>
        </w:tabs>
        <w:ind w:left="0" w:firstLine="0"/>
      </w:pPr>
      <w:rPr>
        <w:rFonts w:hint="default"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suff w:val="space"/>
      <w:lvlText w:val="%2."/>
      <w:lvlJc w:val="left"/>
      <w:pPr>
        <w:tabs>
          <w:tab w:val="left" w:pos="0"/>
        </w:tabs>
        <w:ind w:left="0" w:firstLine="0"/>
      </w:pPr>
      <w:rPr>
        <w:rFonts w:hint="default" w:ascii="宋体" w:hAnsi="宋体" w:eastAsia="楷体_GB2312" w:cs="宋体"/>
        <w:b/>
        <w:bCs/>
        <w:color w:val="404040"/>
        <w:spacing w:val="-1"/>
        <w:w w:val="100"/>
        <w:sz w:val="28"/>
        <w:szCs w:val="28"/>
      </w:rPr>
    </w:lvl>
    <w:lvl w:ilvl="2" w:tentative="0">
      <w:start w:val="1"/>
      <w:numFmt w:val="decimal"/>
      <w:suff w:val="space"/>
      <w:lvlText w:val="%2.%3"/>
      <w:lvlJc w:val="left"/>
      <w:pPr>
        <w:tabs>
          <w:tab w:val="left" w:pos="420"/>
        </w:tabs>
        <w:ind w:left="0" w:firstLine="0"/>
      </w:pPr>
      <w:rPr>
        <w:rFonts w:hint="default" w:ascii="宋体" w:hAnsi="宋体" w:eastAsia="宋体" w:cs="宋体"/>
        <w:b/>
        <w:bCs/>
        <w:color w:val="404040"/>
        <w:spacing w:val="-1"/>
        <w:w w:val="100"/>
        <w:sz w:val="24"/>
        <w:szCs w:val="24"/>
      </w:rPr>
    </w:lvl>
    <w:lvl w:ilvl="3" w:tentative="0">
      <w:start w:val="1"/>
      <w:numFmt w:val="decimal"/>
      <w:suff w:val="space"/>
      <w:lvlText w:val="%2.%3.%4"/>
      <w:lvlJc w:val="left"/>
      <w:pPr>
        <w:tabs>
          <w:tab w:val="left" w:pos="420"/>
        </w:tabs>
        <w:ind w:left="0" w:firstLine="0"/>
      </w:pPr>
      <w:rPr>
        <w:rFonts w:hint="default" w:ascii="宋体" w:hAnsi="宋体" w:eastAsia="宋体" w:cs="宋体"/>
      </w:rPr>
    </w:lvl>
    <w:lvl w:ilvl="4" w:tentative="0">
      <w:start w:val="0"/>
      <w:numFmt w:val="bullet"/>
      <w:lvlText w:val="•"/>
      <w:lvlJc w:val="left"/>
      <w:pPr>
        <w:ind w:left="0" w:firstLine="0"/>
      </w:pPr>
      <w:rPr>
        <w:rFonts w:hint="eastAsia"/>
      </w:rPr>
    </w:lvl>
    <w:lvl w:ilvl="5" w:tentative="0">
      <w:start w:val="0"/>
      <w:numFmt w:val="bullet"/>
      <w:lvlText w:val="•"/>
      <w:lvlJc w:val="left"/>
      <w:pPr>
        <w:ind w:left="0" w:firstLine="0"/>
      </w:pPr>
      <w:rPr>
        <w:rFonts w:hint="eastAsia"/>
      </w:rPr>
    </w:lvl>
    <w:lvl w:ilvl="6" w:tentative="0">
      <w:start w:val="0"/>
      <w:numFmt w:val="bullet"/>
      <w:lvlText w:val="•"/>
      <w:lvlJc w:val="left"/>
      <w:pPr>
        <w:ind w:left="0" w:firstLine="0"/>
      </w:pPr>
      <w:rPr>
        <w:rFonts w:hint="eastAsia"/>
      </w:rPr>
    </w:lvl>
    <w:lvl w:ilvl="7" w:tentative="0">
      <w:start w:val="0"/>
      <w:numFmt w:val="bullet"/>
      <w:lvlText w:val="•"/>
      <w:lvlJc w:val="left"/>
      <w:pPr>
        <w:ind w:left="0" w:firstLine="0"/>
      </w:pPr>
      <w:rPr>
        <w:rFonts w:hint="eastAsia"/>
      </w:rPr>
    </w:lvl>
    <w:lvl w:ilvl="8" w:tentative="0">
      <w:start w:val="0"/>
      <w:numFmt w:val="bullet"/>
      <w:lvlText w:val="•"/>
      <w:lvlJc w:val="left"/>
      <w:pPr>
        <w:ind w:left="0" w:firstLine="0"/>
      </w:pPr>
      <w:rPr>
        <w:rFonts w:hint="eastAsia"/>
      </w:rPr>
    </w:lvl>
  </w:abstractNum>
  <w:abstractNum w:abstractNumId="9">
    <w:nsid w:val="7D74954B"/>
    <w:multiLevelType w:val="multilevel"/>
    <w:tmpl w:val="7D74954B"/>
    <w:lvl w:ilvl="0" w:tentative="0">
      <w:start w:val="1"/>
      <w:numFmt w:val="decimal"/>
      <w:pStyle w:val="23"/>
      <w:suff w:val="space"/>
      <w:lvlText w:val="课题%1："/>
      <w:lvlJc w:val="left"/>
      <w:pPr>
        <w:tabs>
          <w:tab w:val="left" w:pos="0"/>
        </w:tabs>
        <w:ind w:left="0" w:firstLine="0"/>
      </w:pPr>
      <w:rPr>
        <w:rFonts w:hint="default"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pStyle w:val="4"/>
      <w:suff w:val="space"/>
      <w:lvlText w:val="%2."/>
      <w:lvlJc w:val="left"/>
      <w:pPr>
        <w:tabs>
          <w:tab w:val="left" w:pos="0"/>
        </w:tabs>
        <w:ind w:left="0" w:firstLine="0"/>
      </w:pPr>
      <w:rPr>
        <w:rFonts w:hint="default" w:ascii="宋体" w:hAnsi="宋体" w:eastAsia="楷体_GB2312" w:cs="宋体"/>
        <w:b/>
        <w:bCs/>
        <w:color w:val="404040"/>
        <w:spacing w:val="-1"/>
        <w:w w:val="100"/>
        <w:sz w:val="28"/>
        <w:szCs w:val="28"/>
      </w:rPr>
    </w:lvl>
    <w:lvl w:ilvl="2" w:tentative="0">
      <w:start w:val="1"/>
      <w:numFmt w:val="decimal"/>
      <w:pStyle w:val="5"/>
      <w:suff w:val="space"/>
      <w:lvlText w:val="%2.%3"/>
      <w:lvlJc w:val="left"/>
      <w:pPr>
        <w:tabs>
          <w:tab w:val="left" w:pos="420"/>
        </w:tabs>
        <w:ind w:left="0" w:firstLine="0"/>
      </w:pPr>
      <w:rPr>
        <w:rFonts w:hint="default" w:ascii="宋体" w:hAnsi="宋体" w:eastAsia="宋体" w:cs="宋体"/>
        <w:b/>
        <w:bCs/>
        <w:color w:val="404040"/>
        <w:spacing w:val="-1"/>
        <w:w w:val="100"/>
        <w:sz w:val="24"/>
        <w:szCs w:val="24"/>
      </w:rPr>
    </w:lvl>
    <w:lvl w:ilvl="3" w:tentative="0">
      <w:start w:val="1"/>
      <w:numFmt w:val="decimal"/>
      <w:pStyle w:val="6"/>
      <w:suff w:val="space"/>
      <w:lvlText w:val="%2.%3.%4"/>
      <w:lvlJc w:val="left"/>
      <w:pPr>
        <w:tabs>
          <w:tab w:val="left" w:pos="420"/>
        </w:tabs>
        <w:ind w:left="0" w:firstLine="0"/>
      </w:pPr>
      <w:rPr>
        <w:rFonts w:hint="default" w:ascii="宋体" w:hAnsi="宋体" w:eastAsia="宋体" w:cs="宋体"/>
      </w:rPr>
    </w:lvl>
    <w:lvl w:ilvl="4" w:tentative="0">
      <w:start w:val="0"/>
      <w:numFmt w:val="bullet"/>
      <w:lvlText w:val="•"/>
      <w:lvlJc w:val="left"/>
      <w:pPr>
        <w:ind w:left="0" w:firstLine="0"/>
      </w:pPr>
      <w:rPr>
        <w:rFonts w:hint="eastAsia"/>
      </w:rPr>
    </w:lvl>
    <w:lvl w:ilvl="5" w:tentative="0">
      <w:start w:val="0"/>
      <w:numFmt w:val="bullet"/>
      <w:lvlText w:val="•"/>
      <w:lvlJc w:val="left"/>
      <w:pPr>
        <w:ind w:left="0" w:firstLine="0"/>
      </w:pPr>
      <w:rPr>
        <w:rFonts w:hint="eastAsia"/>
      </w:rPr>
    </w:lvl>
    <w:lvl w:ilvl="6" w:tentative="0">
      <w:start w:val="0"/>
      <w:numFmt w:val="bullet"/>
      <w:lvlText w:val="•"/>
      <w:lvlJc w:val="left"/>
      <w:pPr>
        <w:ind w:left="0" w:firstLine="0"/>
      </w:pPr>
      <w:rPr>
        <w:rFonts w:hint="eastAsia"/>
      </w:rPr>
    </w:lvl>
    <w:lvl w:ilvl="7" w:tentative="0">
      <w:start w:val="0"/>
      <w:numFmt w:val="bullet"/>
      <w:lvlText w:val="•"/>
      <w:lvlJc w:val="left"/>
      <w:pPr>
        <w:ind w:left="0" w:firstLine="0"/>
      </w:pPr>
      <w:rPr>
        <w:rFonts w:hint="eastAsia"/>
      </w:rPr>
    </w:lvl>
    <w:lvl w:ilvl="8" w:tentative="0">
      <w:start w:val="0"/>
      <w:numFmt w:val="bullet"/>
      <w:lvlText w:val="•"/>
      <w:lvlJc w:val="left"/>
      <w:pPr>
        <w:ind w:left="0" w:firstLine="0"/>
      </w:pPr>
      <w:rPr>
        <w:rFonts w:hint="eastAsia"/>
      </w:rPr>
    </w:lvl>
  </w:abstractNum>
  <w:num w:numId="1">
    <w:abstractNumId w:val="8"/>
  </w:num>
  <w:num w:numId="2">
    <w:abstractNumId w:val="9"/>
  </w:num>
  <w:num w:numId="3">
    <w:abstractNumId w:val="7"/>
  </w:num>
  <w:num w:numId="4">
    <w:abstractNumId w:val="6"/>
  </w:num>
  <w:num w:numId="5">
    <w:abstractNumId w:val="0"/>
  </w:num>
  <w:num w:numId="6">
    <w:abstractNumId w:val="1"/>
  </w:num>
  <w:num w:numId="7">
    <w:abstractNumId w:val="2"/>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52E2"/>
    <w:rsid w:val="0091737E"/>
    <w:rsid w:val="011E5002"/>
    <w:rsid w:val="01D1692F"/>
    <w:rsid w:val="023C2C8E"/>
    <w:rsid w:val="024F3591"/>
    <w:rsid w:val="02E5727B"/>
    <w:rsid w:val="02EA60BD"/>
    <w:rsid w:val="02FC6F2B"/>
    <w:rsid w:val="03494903"/>
    <w:rsid w:val="03CB5DDF"/>
    <w:rsid w:val="041D2C77"/>
    <w:rsid w:val="04AB3F75"/>
    <w:rsid w:val="04CB5A4C"/>
    <w:rsid w:val="04ED481A"/>
    <w:rsid w:val="052E5028"/>
    <w:rsid w:val="05550DAB"/>
    <w:rsid w:val="05701028"/>
    <w:rsid w:val="062851E6"/>
    <w:rsid w:val="067D0E1B"/>
    <w:rsid w:val="077C0985"/>
    <w:rsid w:val="079E7931"/>
    <w:rsid w:val="07D321B4"/>
    <w:rsid w:val="07FD4F8D"/>
    <w:rsid w:val="08256007"/>
    <w:rsid w:val="08657652"/>
    <w:rsid w:val="098C44E3"/>
    <w:rsid w:val="0997017D"/>
    <w:rsid w:val="0A5136D2"/>
    <w:rsid w:val="0A90301A"/>
    <w:rsid w:val="0ABF3CCF"/>
    <w:rsid w:val="0ADD4F3A"/>
    <w:rsid w:val="0B1558B1"/>
    <w:rsid w:val="0B47069D"/>
    <w:rsid w:val="0BF83B44"/>
    <w:rsid w:val="0C0332CB"/>
    <w:rsid w:val="0C124BFC"/>
    <w:rsid w:val="0C151419"/>
    <w:rsid w:val="0C1F7E14"/>
    <w:rsid w:val="0C254B0F"/>
    <w:rsid w:val="0C5B5CB2"/>
    <w:rsid w:val="0C787FB9"/>
    <w:rsid w:val="0CE00105"/>
    <w:rsid w:val="0CED457D"/>
    <w:rsid w:val="0D0360A8"/>
    <w:rsid w:val="0D633FBC"/>
    <w:rsid w:val="0E8907BD"/>
    <w:rsid w:val="0EAB319C"/>
    <w:rsid w:val="0EED3612"/>
    <w:rsid w:val="0F213E58"/>
    <w:rsid w:val="0F2544C3"/>
    <w:rsid w:val="0FD64F96"/>
    <w:rsid w:val="0FE231F6"/>
    <w:rsid w:val="1008460F"/>
    <w:rsid w:val="10627AB5"/>
    <w:rsid w:val="11325050"/>
    <w:rsid w:val="11350ADA"/>
    <w:rsid w:val="11420317"/>
    <w:rsid w:val="12B85932"/>
    <w:rsid w:val="12E6481B"/>
    <w:rsid w:val="132E0A40"/>
    <w:rsid w:val="138D4CE3"/>
    <w:rsid w:val="13A81913"/>
    <w:rsid w:val="148876EB"/>
    <w:rsid w:val="148E3822"/>
    <w:rsid w:val="15225B04"/>
    <w:rsid w:val="157D6334"/>
    <w:rsid w:val="15B45ECE"/>
    <w:rsid w:val="164314D8"/>
    <w:rsid w:val="168225A7"/>
    <w:rsid w:val="16982CDA"/>
    <w:rsid w:val="16AC33A8"/>
    <w:rsid w:val="16E1123B"/>
    <w:rsid w:val="1709680B"/>
    <w:rsid w:val="171E219A"/>
    <w:rsid w:val="176C1586"/>
    <w:rsid w:val="17885865"/>
    <w:rsid w:val="17D835F1"/>
    <w:rsid w:val="18D63C50"/>
    <w:rsid w:val="19DB7846"/>
    <w:rsid w:val="19FE2B61"/>
    <w:rsid w:val="1A890195"/>
    <w:rsid w:val="1A9C4B97"/>
    <w:rsid w:val="1AE82CF6"/>
    <w:rsid w:val="1CBA2449"/>
    <w:rsid w:val="1D032C47"/>
    <w:rsid w:val="1DD23C85"/>
    <w:rsid w:val="1E3E66CD"/>
    <w:rsid w:val="1E5B6B68"/>
    <w:rsid w:val="1EEB4A5A"/>
    <w:rsid w:val="1F8914AC"/>
    <w:rsid w:val="1FCB63E6"/>
    <w:rsid w:val="1FD31172"/>
    <w:rsid w:val="2007649A"/>
    <w:rsid w:val="2008109A"/>
    <w:rsid w:val="209158C7"/>
    <w:rsid w:val="20CC60FF"/>
    <w:rsid w:val="2143675A"/>
    <w:rsid w:val="214B7901"/>
    <w:rsid w:val="21673FF7"/>
    <w:rsid w:val="21C441A9"/>
    <w:rsid w:val="22055DA4"/>
    <w:rsid w:val="225E6A1E"/>
    <w:rsid w:val="22D929A9"/>
    <w:rsid w:val="23087518"/>
    <w:rsid w:val="23B54139"/>
    <w:rsid w:val="23BB2CBD"/>
    <w:rsid w:val="23E33116"/>
    <w:rsid w:val="244C7477"/>
    <w:rsid w:val="24536B60"/>
    <w:rsid w:val="24735D4F"/>
    <w:rsid w:val="247C7EC0"/>
    <w:rsid w:val="24EC0F52"/>
    <w:rsid w:val="24F61FA7"/>
    <w:rsid w:val="258824EC"/>
    <w:rsid w:val="25A37EFA"/>
    <w:rsid w:val="25E745AE"/>
    <w:rsid w:val="26084261"/>
    <w:rsid w:val="269C559F"/>
    <w:rsid w:val="26E522D1"/>
    <w:rsid w:val="26F67524"/>
    <w:rsid w:val="27620314"/>
    <w:rsid w:val="278E3FD0"/>
    <w:rsid w:val="282B78DB"/>
    <w:rsid w:val="28523BF0"/>
    <w:rsid w:val="28875FB9"/>
    <w:rsid w:val="28CF2FDD"/>
    <w:rsid w:val="296516E2"/>
    <w:rsid w:val="29F76AFF"/>
    <w:rsid w:val="2A462539"/>
    <w:rsid w:val="2A9769B0"/>
    <w:rsid w:val="2B436FAC"/>
    <w:rsid w:val="2BDF1BCE"/>
    <w:rsid w:val="2C4A3F27"/>
    <w:rsid w:val="2C9A60C1"/>
    <w:rsid w:val="2CC91DD9"/>
    <w:rsid w:val="2CF70CD2"/>
    <w:rsid w:val="2D423762"/>
    <w:rsid w:val="2DBC1A32"/>
    <w:rsid w:val="2DF9739E"/>
    <w:rsid w:val="2E0A5217"/>
    <w:rsid w:val="2E1B39CB"/>
    <w:rsid w:val="2E2F43E3"/>
    <w:rsid w:val="2E5554D5"/>
    <w:rsid w:val="2E8F220B"/>
    <w:rsid w:val="301C22DF"/>
    <w:rsid w:val="302670D1"/>
    <w:rsid w:val="30273935"/>
    <w:rsid w:val="30A65437"/>
    <w:rsid w:val="30BF3E05"/>
    <w:rsid w:val="30E5712D"/>
    <w:rsid w:val="3158624F"/>
    <w:rsid w:val="316E383C"/>
    <w:rsid w:val="31D00589"/>
    <w:rsid w:val="322C5E6E"/>
    <w:rsid w:val="339C756D"/>
    <w:rsid w:val="33AD4CA8"/>
    <w:rsid w:val="34484510"/>
    <w:rsid w:val="34B52BC6"/>
    <w:rsid w:val="34E216D1"/>
    <w:rsid w:val="3568433A"/>
    <w:rsid w:val="35C2757E"/>
    <w:rsid w:val="36CA1DED"/>
    <w:rsid w:val="36ED7B7E"/>
    <w:rsid w:val="36FB37E5"/>
    <w:rsid w:val="37B8247B"/>
    <w:rsid w:val="37D607F2"/>
    <w:rsid w:val="383F4E08"/>
    <w:rsid w:val="38502B1E"/>
    <w:rsid w:val="386B7655"/>
    <w:rsid w:val="388B1DBF"/>
    <w:rsid w:val="388E0F3B"/>
    <w:rsid w:val="396943E5"/>
    <w:rsid w:val="398D560C"/>
    <w:rsid w:val="39957FBB"/>
    <w:rsid w:val="3B3E29B3"/>
    <w:rsid w:val="3BC05FFF"/>
    <w:rsid w:val="3BF1487A"/>
    <w:rsid w:val="3BF31A4D"/>
    <w:rsid w:val="3C5F580A"/>
    <w:rsid w:val="3D2275E4"/>
    <w:rsid w:val="3D5E25E8"/>
    <w:rsid w:val="3D997300"/>
    <w:rsid w:val="3DF253AD"/>
    <w:rsid w:val="3E655627"/>
    <w:rsid w:val="3E8A008F"/>
    <w:rsid w:val="3F6D0429"/>
    <w:rsid w:val="3F8E3783"/>
    <w:rsid w:val="40F01F78"/>
    <w:rsid w:val="41B92576"/>
    <w:rsid w:val="41DB2711"/>
    <w:rsid w:val="42CD5912"/>
    <w:rsid w:val="42D2789A"/>
    <w:rsid w:val="42D33994"/>
    <w:rsid w:val="42EB0D6F"/>
    <w:rsid w:val="432F2B9A"/>
    <w:rsid w:val="43A77097"/>
    <w:rsid w:val="44116826"/>
    <w:rsid w:val="45045F5D"/>
    <w:rsid w:val="451622D7"/>
    <w:rsid w:val="45496174"/>
    <w:rsid w:val="454F2149"/>
    <w:rsid w:val="45846881"/>
    <w:rsid w:val="45A95D2C"/>
    <w:rsid w:val="45B764A6"/>
    <w:rsid w:val="45D72205"/>
    <w:rsid w:val="46EE229C"/>
    <w:rsid w:val="471E6F41"/>
    <w:rsid w:val="47670893"/>
    <w:rsid w:val="47943295"/>
    <w:rsid w:val="47B425D1"/>
    <w:rsid w:val="484373EC"/>
    <w:rsid w:val="489E4163"/>
    <w:rsid w:val="48B96CB7"/>
    <w:rsid w:val="48F2565C"/>
    <w:rsid w:val="490A6CB4"/>
    <w:rsid w:val="493B0CEC"/>
    <w:rsid w:val="49616ABA"/>
    <w:rsid w:val="49824043"/>
    <w:rsid w:val="49955A68"/>
    <w:rsid w:val="49960B13"/>
    <w:rsid w:val="49CE0014"/>
    <w:rsid w:val="49EC242C"/>
    <w:rsid w:val="4A8F7453"/>
    <w:rsid w:val="4A912368"/>
    <w:rsid w:val="4A926865"/>
    <w:rsid w:val="4ADA289E"/>
    <w:rsid w:val="4AE16F9E"/>
    <w:rsid w:val="4B3510A8"/>
    <w:rsid w:val="4B580CCE"/>
    <w:rsid w:val="4B907B89"/>
    <w:rsid w:val="4BC41295"/>
    <w:rsid w:val="4C117044"/>
    <w:rsid w:val="4C396C94"/>
    <w:rsid w:val="4CF31371"/>
    <w:rsid w:val="4D8A35C2"/>
    <w:rsid w:val="4E701FAA"/>
    <w:rsid w:val="4EA62D90"/>
    <w:rsid w:val="4EF7238C"/>
    <w:rsid w:val="4F5915FE"/>
    <w:rsid w:val="4F5E73AF"/>
    <w:rsid w:val="50BD268F"/>
    <w:rsid w:val="512B1146"/>
    <w:rsid w:val="51345AF2"/>
    <w:rsid w:val="51984066"/>
    <w:rsid w:val="51C75EA5"/>
    <w:rsid w:val="522422B7"/>
    <w:rsid w:val="523531E5"/>
    <w:rsid w:val="526E4A16"/>
    <w:rsid w:val="52C52890"/>
    <w:rsid w:val="52F232D5"/>
    <w:rsid w:val="531D6106"/>
    <w:rsid w:val="53BC0D13"/>
    <w:rsid w:val="53EB3EA5"/>
    <w:rsid w:val="5476760E"/>
    <w:rsid w:val="55320B5F"/>
    <w:rsid w:val="5546647E"/>
    <w:rsid w:val="55660336"/>
    <w:rsid w:val="55AD0120"/>
    <w:rsid w:val="55D42EB2"/>
    <w:rsid w:val="55DE245B"/>
    <w:rsid w:val="56276518"/>
    <w:rsid w:val="563935AE"/>
    <w:rsid w:val="565978D4"/>
    <w:rsid w:val="56B23073"/>
    <w:rsid w:val="56BE01D8"/>
    <w:rsid w:val="57113DFC"/>
    <w:rsid w:val="57124E18"/>
    <w:rsid w:val="57255B53"/>
    <w:rsid w:val="57BC07E4"/>
    <w:rsid w:val="57C72C46"/>
    <w:rsid w:val="57E955B0"/>
    <w:rsid w:val="57EE2545"/>
    <w:rsid w:val="585B356B"/>
    <w:rsid w:val="58803064"/>
    <w:rsid w:val="588F48AD"/>
    <w:rsid w:val="58A37BB4"/>
    <w:rsid w:val="58AE0C5C"/>
    <w:rsid w:val="58EE086B"/>
    <w:rsid w:val="58F76F7C"/>
    <w:rsid w:val="597510ED"/>
    <w:rsid w:val="59BF0192"/>
    <w:rsid w:val="59D63375"/>
    <w:rsid w:val="5A153297"/>
    <w:rsid w:val="5A26330A"/>
    <w:rsid w:val="5A4139CF"/>
    <w:rsid w:val="5A62150B"/>
    <w:rsid w:val="5B6D62EB"/>
    <w:rsid w:val="5B952199"/>
    <w:rsid w:val="5BA824F0"/>
    <w:rsid w:val="5BF07215"/>
    <w:rsid w:val="5CAD437F"/>
    <w:rsid w:val="5CB3235A"/>
    <w:rsid w:val="5CCA460D"/>
    <w:rsid w:val="5D155BCE"/>
    <w:rsid w:val="5D7A59E4"/>
    <w:rsid w:val="5DFF5802"/>
    <w:rsid w:val="5E075BE0"/>
    <w:rsid w:val="5E1A213E"/>
    <w:rsid w:val="5E4225D7"/>
    <w:rsid w:val="5EF10D86"/>
    <w:rsid w:val="5EFE1DCE"/>
    <w:rsid w:val="5F150C6F"/>
    <w:rsid w:val="5F5B6C9C"/>
    <w:rsid w:val="5F63518B"/>
    <w:rsid w:val="5F921DB3"/>
    <w:rsid w:val="5F9D274F"/>
    <w:rsid w:val="60196727"/>
    <w:rsid w:val="603B3E16"/>
    <w:rsid w:val="606B5646"/>
    <w:rsid w:val="60E1004A"/>
    <w:rsid w:val="6177056E"/>
    <w:rsid w:val="622714B9"/>
    <w:rsid w:val="6280451B"/>
    <w:rsid w:val="63593E1E"/>
    <w:rsid w:val="63AF5D55"/>
    <w:rsid w:val="63DB4084"/>
    <w:rsid w:val="63EB3BD0"/>
    <w:rsid w:val="65861706"/>
    <w:rsid w:val="65F07C01"/>
    <w:rsid w:val="663F6C88"/>
    <w:rsid w:val="665E280E"/>
    <w:rsid w:val="66746453"/>
    <w:rsid w:val="66C160E9"/>
    <w:rsid w:val="66DE3D0A"/>
    <w:rsid w:val="66FB106D"/>
    <w:rsid w:val="6740380C"/>
    <w:rsid w:val="68034F6E"/>
    <w:rsid w:val="680D6039"/>
    <w:rsid w:val="685C369C"/>
    <w:rsid w:val="68E94A38"/>
    <w:rsid w:val="692C461B"/>
    <w:rsid w:val="696756E8"/>
    <w:rsid w:val="69E4638A"/>
    <w:rsid w:val="6A5C2C03"/>
    <w:rsid w:val="6AB5020A"/>
    <w:rsid w:val="6B780DC1"/>
    <w:rsid w:val="6B9411E3"/>
    <w:rsid w:val="6C454C90"/>
    <w:rsid w:val="6C562184"/>
    <w:rsid w:val="6C5E77FD"/>
    <w:rsid w:val="6C8C48B8"/>
    <w:rsid w:val="6CE9693E"/>
    <w:rsid w:val="6DB45A94"/>
    <w:rsid w:val="6DFC037C"/>
    <w:rsid w:val="6E906C67"/>
    <w:rsid w:val="6EA54C1C"/>
    <w:rsid w:val="6EDC7673"/>
    <w:rsid w:val="6F030D03"/>
    <w:rsid w:val="6F46058C"/>
    <w:rsid w:val="6F631E1B"/>
    <w:rsid w:val="6F645BFC"/>
    <w:rsid w:val="6F704F85"/>
    <w:rsid w:val="6FEA2E5E"/>
    <w:rsid w:val="70587E92"/>
    <w:rsid w:val="70C53A15"/>
    <w:rsid w:val="717A0EB0"/>
    <w:rsid w:val="72273917"/>
    <w:rsid w:val="729568B3"/>
    <w:rsid w:val="72E46016"/>
    <w:rsid w:val="735970BE"/>
    <w:rsid w:val="73E3507E"/>
    <w:rsid w:val="74B37E1B"/>
    <w:rsid w:val="751A22AE"/>
    <w:rsid w:val="75955E91"/>
    <w:rsid w:val="75B02AF0"/>
    <w:rsid w:val="75B61CFB"/>
    <w:rsid w:val="75E73A2B"/>
    <w:rsid w:val="75EC4AF7"/>
    <w:rsid w:val="76407642"/>
    <w:rsid w:val="7644011B"/>
    <w:rsid w:val="765F62FE"/>
    <w:rsid w:val="76BA32C7"/>
    <w:rsid w:val="76E57C5A"/>
    <w:rsid w:val="76E83EA2"/>
    <w:rsid w:val="77111CA9"/>
    <w:rsid w:val="772B032A"/>
    <w:rsid w:val="77521C5C"/>
    <w:rsid w:val="779E3E95"/>
    <w:rsid w:val="77A90C51"/>
    <w:rsid w:val="781805BF"/>
    <w:rsid w:val="781A65E4"/>
    <w:rsid w:val="784E0CD6"/>
    <w:rsid w:val="791D1717"/>
    <w:rsid w:val="792E6338"/>
    <w:rsid w:val="795168F1"/>
    <w:rsid w:val="79BA4D17"/>
    <w:rsid w:val="7A013B96"/>
    <w:rsid w:val="7A3B5894"/>
    <w:rsid w:val="7AC51147"/>
    <w:rsid w:val="7AE02385"/>
    <w:rsid w:val="7AF368D4"/>
    <w:rsid w:val="7B5C73E5"/>
    <w:rsid w:val="7C2D0E46"/>
    <w:rsid w:val="7C2E77AC"/>
    <w:rsid w:val="7C4738FE"/>
    <w:rsid w:val="7CB02CC7"/>
    <w:rsid w:val="7D667961"/>
    <w:rsid w:val="7D7E7789"/>
    <w:rsid w:val="7DCE7817"/>
    <w:rsid w:val="7E4B53E5"/>
    <w:rsid w:val="7E5E0C98"/>
    <w:rsid w:val="7E5F327D"/>
    <w:rsid w:val="7EB50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firstLine="0" w:firstLineChars="0"/>
      <w:outlineLvl w:val="0"/>
    </w:pPr>
    <w:rPr>
      <w:rFonts w:eastAsia="黑体"/>
      <w:kern w:val="44"/>
    </w:rPr>
  </w:style>
  <w:style w:type="paragraph" w:styleId="4">
    <w:name w:val="heading 2"/>
    <w:basedOn w:val="1"/>
    <w:next w:val="2"/>
    <w:semiHidden/>
    <w:unhideWhenUsed/>
    <w:qFormat/>
    <w:uiPriority w:val="0"/>
    <w:pPr>
      <w:keepNext/>
      <w:keepLines/>
      <w:numPr>
        <w:ilvl w:val="1"/>
        <w:numId w:val="2"/>
      </w:numPr>
      <w:spacing w:beforeLines="0" w:beforeAutospacing="0" w:afterLines="0" w:afterAutospacing="0" w:line="360" w:lineRule="auto"/>
      <w:ind w:firstLine="0" w:firstLineChars="0"/>
      <w:outlineLvl w:val="1"/>
    </w:pPr>
    <w:rPr>
      <w:rFonts w:ascii="Arial" w:hAnsi="Arial" w:eastAsia="楷体_GB2312"/>
      <w:b/>
    </w:rPr>
  </w:style>
  <w:style w:type="paragraph" w:styleId="5">
    <w:name w:val="heading 3"/>
    <w:basedOn w:val="1"/>
    <w:next w:val="1"/>
    <w:semiHidden/>
    <w:unhideWhenUsed/>
    <w:qFormat/>
    <w:uiPriority w:val="0"/>
    <w:pPr>
      <w:keepNext/>
      <w:keepLines/>
      <w:numPr>
        <w:ilvl w:val="2"/>
        <w:numId w:val="2"/>
      </w:numPr>
      <w:spacing w:before="260" w:beforeLines="0" w:beforeAutospacing="0" w:after="260" w:afterLines="0" w:afterAutospacing="0" w:line="413" w:lineRule="auto"/>
      <w:ind w:firstLine="0" w:firstLineChars="0"/>
      <w:outlineLvl w:val="2"/>
    </w:pPr>
    <w:rPr>
      <w:b/>
      <w:sz w:val="32"/>
    </w:rPr>
  </w:style>
  <w:style w:type="paragraph" w:styleId="6">
    <w:name w:val="heading 4"/>
    <w:basedOn w:val="1"/>
    <w:next w:val="1"/>
    <w:semiHidden/>
    <w:unhideWhenUsed/>
    <w:qFormat/>
    <w:uiPriority w:val="0"/>
    <w:pPr>
      <w:keepNext/>
      <w:keepLines/>
      <w:numPr>
        <w:ilvl w:val="3"/>
        <w:numId w:val="2"/>
      </w:numPr>
      <w:spacing w:before="280" w:beforeLines="0" w:beforeAutospacing="0" w:after="290" w:afterLines="0" w:afterAutospacing="0" w:line="372" w:lineRule="auto"/>
      <w:ind w:firstLine="0" w:firstLineChars="0"/>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7">
    <w:name w:val="table of authorities"/>
    <w:basedOn w:val="1"/>
    <w:next w:val="1"/>
    <w:qFormat/>
    <w:uiPriority w:val="0"/>
    <w:pPr>
      <w:ind w:left="420" w:leftChars="200"/>
    </w:pPr>
  </w:style>
  <w:style w:type="paragraph" w:styleId="8">
    <w:name w:val="caption"/>
    <w:basedOn w:val="1"/>
    <w:next w:val="1"/>
    <w:semiHidden/>
    <w:unhideWhenUsed/>
    <w:qFormat/>
    <w:uiPriority w:val="0"/>
    <w:rPr>
      <w:rFonts w:ascii="Arial" w:hAnsi="Arial" w:eastAsia="黑体"/>
      <w:sz w:val="20"/>
    </w:rPr>
  </w:style>
  <w:style w:type="paragraph" w:styleId="9">
    <w:name w:val="Body Text"/>
    <w:basedOn w:val="1"/>
    <w:qFormat/>
    <w:uiPriority w:val="0"/>
    <w:pPr>
      <w:spacing w:after="120" w:afterLines="0" w:afterAutospacing="0"/>
    </w:pPr>
  </w:style>
  <w:style w:type="paragraph" w:styleId="10">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11">
    <w:name w:val="footer"/>
    <w:basedOn w:val="1"/>
    <w:qFormat/>
    <w:uiPriority w:val="99"/>
    <w:pPr>
      <w:tabs>
        <w:tab w:val="center" w:pos="4153"/>
        <w:tab w:val="right" w:pos="8306"/>
      </w:tabs>
      <w:snapToGrid w:val="0"/>
      <w:jc w:val="left"/>
    </w:pPr>
    <w:rPr>
      <w:sz w:val="18"/>
    </w:rPr>
  </w:style>
  <w:style w:type="character" w:styleId="14">
    <w:name w:val="page number"/>
    <w:qFormat/>
    <w:uiPriority w:val="0"/>
  </w:style>
  <w:style w:type="character" w:styleId="15">
    <w:name w:val="Hyperlink"/>
    <w:qFormat/>
    <w:uiPriority w:val="99"/>
    <w:rPr>
      <w:color w:val="0000FF"/>
      <w:u w:val="single"/>
    </w:rPr>
  </w:style>
  <w:style w:type="paragraph" w:customStyle="1" w:styleId="16">
    <w:name w:val="标题1（课程排版专用）"/>
    <w:basedOn w:val="3"/>
    <w:next w:val="1"/>
    <w:qFormat/>
    <w:uiPriority w:val="0"/>
    <w:pPr>
      <w:numPr>
        <w:ilvl w:val="0"/>
        <w:numId w:val="3"/>
      </w:numPr>
    </w:pPr>
    <w:rPr>
      <w:rFonts w:ascii="Times New Roman" w:hAnsi="Times New Roman"/>
    </w:rPr>
  </w:style>
  <w:style w:type="paragraph" w:customStyle="1" w:styleId="17">
    <w:name w:val="专用-正文"/>
    <w:basedOn w:val="1"/>
    <w:qFormat/>
    <w:uiPriority w:val="0"/>
    <w:rPr>
      <w:rFonts w:ascii="Times New Roman" w:hAnsi="Times New Roman" w:eastAsia="仿宋_GB2312"/>
      <w:sz w:val="24"/>
    </w:rPr>
  </w:style>
  <w:style w:type="paragraph" w:customStyle="1" w:styleId="18">
    <w:name w:val="专用-标题3"/>
    <w:basedOn w:val="5"/>
    <w:next w:val="1"/>
    <w:qFormat/>
    <w:uiPriority w:val="0"/>
    <w:pPr>
      <w:numPr>
        <w:numId w:val="4"/>
      </w:numPr>
      <w:tabs>
        <w:tab w:val="left" w:pos="0"/>
      </w:tabs>
    </w:pPr>
    <w:rPr>
      <w:rFonts w:ascii="Times New Roman" w:hAnsi="Times New Roman"/>
      <w:sz w:val="28"/>
    </w:rPr>
  </w:style>
  <w:style w:type="paragraph" w:customStyle="1" w:styleId="19">
    <w:name w:val="专用-标题2"/>
    <w:basedOn w:val="4"/>
    <w:next w:val="1"/>
    <w:qFormat/>
    <w:uiPriority w:val="0"/>
    <w:pPr>
      <w:numPr>
        <w:numId w:val="5"/>
      </w:numPr>
    </w:pPr>
    <w:rPr>
      <w:rFonts w:ascii="Arial" w:hAnsi="Arial"/>
      <w:sz w:val="28"/>
    </w:rPr>
  </w:style>
  <w:style w:type="paragraph" w:customStyle="1" w:styleId="20">
    <w:name w:val="专用-标题4"/>
    <w:basedOn w:val="6"/>
    <w:next w:val="1"/>
    <w:qFormat/>
    <w:uiPriority w:val="0"/>
    <w:pPr>
      <w:numPr>
        <w:numId w:val="6"/>
      </w:numPr>
      <w:tabs>
        <w:tab w:val="left" w:pos="0"/>
      </w:tabs>
    </w:pPr>
    <w:rPr>
      <w:rFonts w:ascii="Arial" w:hAnsi="Arial" w:eastAsia="仿宋_GB2312"/>
      <w:sz w:val="24"/>
    </w:rPr>
  </w:style>
  <w:style w:type="paragraph" w:customStyle="1" w:styleId="21">
    <w:name w:val="专用-题注"/>
    <w:basedOn w:val="8"/>
    <w:qFormat/>
    <w:uiPriority w:val="0"/>
    <w:rPr>
      <w:rFonts w:ascii="Arial" w:hAnsi="Arial" w:eastAsia="宋体"/>
      <w:b/>
      <w:sz w:val="21"/>
    </w:rPr>
  </w:style>
  <w:style w:type="paragraph" w:customStyle="1" w:styleId="22">
    <w:name w:val="专用-表格样式"/>
    <w:basedOn w:val="1"/>
    <w:qFormat/>
    <w:uiPriority w:val="0"/>
    <w:rPr>
      <w:rFonts w:ascii="宋体" w:hAnsi="宋体" w:eastAsia="宋体"/>
      <w:sz w:val="21"/>
    </w:rPr>
  </w:style>
  <w:style w:type="paragraph" w:customStyle="1" w:styleId="23">
    <w:name w:val="专用-标题1"/>
    <w:basedOn w:val="3"/>
    <w:next w:val="1"/>
    <w:qFormat/>
    <w:uiPriority w:val="0"/>
    <w:pPr>
      <w:numPr>
        <w:numId w:val="2"/>
      </w:numPr>
    </w:pPr>
    <w:rPr>
      <w:rFonts w:ascii="Times New Roman" w:hAnsi="Times New Roman"/>
    </w:rPr>
  </w:style>
  <w:style w:type="paragraph" w:customStyle="1" w:styleId="24">
    <w:name w:val="公文-标题一"/>
    <w:basedOn w:val="3"/>
    <w:next w:val="1"/>
    <w:qFormat/>
    <w:uiPriority w:val="0"/>
    <w:pPr>
      <w:numPr>
        <w:numId w:val="6"/>
      </w:numPr>
      <w:ind w:firstLine="883" w:firstLineChars="200"/>
    </w:pPr>
    <w:rPr>
      <w:rFonts w:ascii="仿宋_GB2312" w:hAnsi="仿宋_GB2312" w:cstheme="minorBidi"/>
      <w:szCs w:val="24"/>
    </w:rPr>
  </w:style>
  <w:style w:type="paragraph" w:customStyle="1" w:styleId="25">
    <w:name w:val="公文-正文"/>
    <w:basedOn w:val="1"/>
    <w:qFormat/>
    <w:uiPriority w:val="0"/>
    <w:pPr>
      <w:spacing w:line="360" w:lineRule="auto"/>
      <w:ind w:firstLine="480" w:firstLineChars="200"/>
    </w:pPr>
    <w:rPr>
      <w:rFonts w:ascii="仿宋_GB2312" w:hAnsi="仿宋_GB2312" w:eastAsia="仿宋_GB2312"/>
      <w:szCs w:val="24"/>
    </w:rPr>
  </w:style>
  <w:style w:type="paragraph" w:customStyle="1" w:styleId="26">
    <w:name w:val="公文-1级"/>
    <w:basedOn w:val="3"/>
    <w:next w:val="1"/>
    <w:qFormat/>
    <w:uiPriority w:val="0"/>
    <w:pPr>
      <w:spacing w:line="360" w:lineRule="auto"/>
      <w:ind w:firstLine="883" w:firstLineChars="200"/>
    </w:pPr>
    <w:rPr>
      <w:rFonts w:hint="eastAsia" w:ascii="黑体" w:hAnsi="黑体" w:eastAsia="黑体" w:cstheme="minorBidi"/>
      <w:bCs/>
      <w:sz w:val="32"/>
      <w:szCs w:val="44"/>
    </w:rPr>
  </w:style>
  <w:style w:type="paragraph" w:customStyle="1" w:styleId="27">
    <w:name w:val="公文-2级"/>
    <w:basedOn w:val="4"/>
    <w:next w:val="1"/>
    <w:qFormat/>
    <w:uiPriority w:val="0"/>
    <w:pPr>
      <w:spacing w:line="360" w:lineRule="auto"/>
      <w:jc w:val="center"/>
    </w:pPr>
    <w:rPr>
      <w:rFonts w:ascii="楷体_GB2312" w:hAnsi="楷体_GB2312" w:eastAsia="楷体_GB2312" w:cstheme="majorBidi"/>
      <w:bCs/>
      <w:szCs w:val="32"/>
    </w:rPr>
  </w:style>
  <w:style w:type="paragraph" w:customStyle="1" w:styleId="28">
    <w:name w:val="公文-3级"/>
    <w:basedOn w:val="5"/>
    <w:next w:val="1"/>
    <w:qFormat/>
    <w:uiPriority w:val="0"/>
    <w:pPr>
      <w:ind w:firstLine="480" w:firstLineChars="200"/>
    </w:pPr>
    <w:rPr>
      <w:rFonts w:hint="eastAsia" w:ascii="仿宋_GB2312" w:hAnsi="仿宋_GB2312" w:eastAsia="仿宋_GB2312" w:cstheme="minorBidi"/>
      <w:bCs/>
      <w:sz w:val="32"/>
      <w:szCs w:val="24"/>
    </w:rPr>
  </w:style>
  <w:style w:type="character" w:customStyle="1" w:styleId="29">
    <w:name w:val="font3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姚烁</dc:creator>
  <cp:lastModifiedBy>姚烁</cp:lastModifiedBy>
  <dcterms:modified xsi:type="dcterms:W3CDTF">2022-09-26T10:05:45Z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