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44"/>
          <w:szCs w:val="44"/>
          <w:highlight w:val="none"/>
        </w:rPr>
      </w:pPr>
      <w:bookmarkStart w:id="25" w:name="_GoBack"/>
      <w:r>
        <w:rPr>
          <w:rFonts w:hint="eastAsia"/>
          <w:b/>
          <w:bCs/>
          <w:color w:val="auto"/>
          <w:sz w:val="44"/>
          <w:szCs w:val="44"/>
          <w:highlight w:val="none"/>
        </w:rPr>
        <w:t>广州白云国际机场一号航站楼公共直饮水机提质升级项目公告</w:t>
      </w:r>
    </w:p>
    <w:p>
      <w:pPr>
        <w:rPr>
          <w:rFonts w:hint="eastAsia" w:ascii="仿宋" w:hAnsi="仿宋" w:eastAsia="仿宋" w:cs="仿宋"/>
          <w:color w:val="auto"/>
          <w:sz w:val="32"/>
          <w:szCs w:val="32"/>
          <w:highlight w:val="none"/>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广州白云国际机场股份有限公司一号航站楼管理分公司（以下简称“业主”）面向社会征集优质</w:t>
      </w:r>
      <w:r>
        <w:rPr>
          <w:rFonts w:hint="eastAsia" w:ascii="仿宋" w:hAnsi="仿宋" w:eastAsia="仿宋" w:cs="仿宋"/>
          <w:sz w:val="32"/>
          <w:szCs w:val="32"/>
          <w:lang w:val="en-US" w:eastAsia="zh-CN"/>
        </w:rPr>
        <w:t>合作方</w:t>
      </w:r>
      <w:r>
        <w:rPr>
          <w:rFonts w:hint="eastAsia" w:ascii="仿宋" w:hAnsi="仿宋" w:eastAsia="仿宋" w:cs="仿宋"/>
          <w:sz w:val="32"/>
          <w:szCs w:val="32"/>
        </w:rPr>
        <w:t>，就广州白云国际机场一号航站楼公共直饮水机提质升级开展合作。现发布公告如下：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一、项目概况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本项目位于广州白云国际机场一号航站楼内，共计公共直饮水机162台（含15台备用设备），具体点位分布见附件1。</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合作内容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合作内容见附件2。</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三、合格响应人条件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响应人须为中国境内依法注册且具有独立法人资格的企业。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截至本项目评审上月最后一个自然日，响应人与广东省机场管理集团有限公司、广州白云国际机场股份有限公司或以上两家公司的下属单位合作中不存在欠租、欠费等违约行为。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截至本项目评审上月最后一个自然日，广州白云国际机场股份有限公司商业诚信黑名单中的企业，该企业所控股的其他企业，黑名单中企业的董事、监事、高级管理人员及其配偶所控股（含绝对控股与相对控股）的企业或担任董事、监事、高级管理人员的企业不具备参与本次项目的资格（本条所指的“董事、监事及高级管理人员”含自发布公告之日前十年变更前后的相关人员，以响应人在国家企业信用信息公示系统中显示的主要人员为准，响应人须提供响应人的国家企业信用信息公示系统“主要人员”及“变更信息”查询页截图；“相对控股”是指持股比例相对大于其他任一股东所占比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2018年1月1日至今，响应人，响应人控股（绝对控股与相对控股）企业，响应人或响应人控股（含绝对控股与相对控股）企业的关联企业、股东，响应人或响应人控股（含绝对控股与相对控股）企业的董事、监事、高级管理人员及其配偶所控股（含绝对控股与相对控股）的企业或担任董事、监事及高级管理人员的企业与业主不存在未了结的诉讼、仲裁，或者不存在未执行的判决、裁决。（本条所指的“股东”“董事、监事及高级管理人员”含自发布公告之日前十年变更前后的相关人员，须提供签署盖章的《响应承诺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欠租、欠费等违约行为名单的企业（以下简称该企业），该企业所控股（含绝对控股与相对控股）的其他企业，该企业的董事、监事、高级管理人员及其配偶所控股（含绝对控股与相对控股）的企业或担任董事、监事及高级管理人员的企业，以及上述企业中其他董事、监事、高级管理人员及其配偶的关联企业不具备参与本次项目的资格（本条所指的“董事、监事及高级管理人员”含自发布公告之日前十年变更前后的相关人员，须提供签署盖章的《响应承诺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不接受联合体形式的响应人（联合体形式的响应人是指两个或以上法人或者其他组织组成一个联合体，以一个响应人的身份共同响应）</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响应人未被列为严重违法失信企业名单（黑名单），以“国家企业信用信息公示系统”网站（www.gsxt.gov.cn）查询为准（响应人须在公告发布后从“国家企业信用信息公示系统”网站截图并对截图加盖公章；未按格式要求截图或截图信息不清晰，将不能通过资格审查）。</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响应人不得被列入“信用中国”网站严重失信主体名单，以“信用中国”网站（www.creditchina.gov.cn）查询结果为准。响应人须在公告发布后按给定的格式要求从“信用中国”网站截图并加盖公章（未按格式要求截图或截图信息不清晰将不能通过资格审查）；同时下载信用信息报告，打印并加盖公章；截图和信用信息报告须附在参评文件中，信息信用报告下载时间须在公告发布时间之后（未按要求提供信用信息报告将不能通过资格审查）。</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响应人不可存在贿赂行为记录（响应人须承诺公司及法定代表人、实际控制人的无贿赂行为，须按文件第六章参评格式A1《响应承诺函》予以承诺并签署盖章）。注：实际控制人是指通过股权关系、投资关系、协议或者其他安排，能够实际支配公司行为的自然人、法人或其他组织。主要判断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直接或间接持股超过50%；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）实际支配公司表决权超过30%；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）可以通过支配表决权决定公司董事会半数以上成员选任；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）足以对公司股东大会的决议产生重大影响。一般情况下，满足以上条件之一的，可能被认定为实际控制人；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）其他根据相关法律法规被认定为实际控制人的情形。</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四、公告信息发布时间及媒体</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公告信息发布起止日：2023年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r>
        <w:rPr>
          <w:rFonts w:hint="eastAsia" w:ascii="仿宋" w:hAnsi="仿宋" w:eastAsia="仿宋" w:cs="仿宋"/>
          <w:sz w:val="32"/>
          <w:szCs w:val="32"/>
          <w:lang w:val="en-US" w:eastAsia="zh-CN"/>
        </w:rPr>
        <w:t>08:00</w:t>
      </w:r>
      <w:r>
        <w:rPr>
          <w:rFonts w:hint="eastAsia" w:ascii="仿宋" w:hAnsi="仿宋" w:eastAsia="仿宋" w:cs="仿宋"/>
          <w:sz w:val="32"/>
          <w:szCs w:val="32"/>
        </w:rPr>
        <w:t>-2023年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17:30</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公告信息发布媒体：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广东省机场管理集团有限公司资源交易信息平台、广州白云国际机场股份有限公司相关平台和公众号。</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办理报名手续</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报名时，响应人应提交</w:t>
      </w:r>
      <w:r>
        <w:rPr>
          <w:rFonts w:hint="eastAsia" w:ascii="仿宋" w:hAnsi="仿宋" w:eastAsia="仿宋" w:cs="仿宋"/>
          <w:sz w:val="32"/>
          <w:szCs w:val="32"/>
          <w:lang w:val="en-US" w:eastAsia="zh-CN"/>
        </w:rPr>
        <w:t>报名及资格预审文件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相关要求详见附件3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及参评文件（相关要求详见附件4）</w:t>
      </w:r>
      <w:r>
        <w:rPr>
          <w:rFonts w:hint="eastAsia" w:ascii="仿宋" w:hAnsi="仿宋" w:eastAsia="仿宋" w:cs="仿宋"/>
          <w:sz w:val="32"/>
          <w:szCs w:val="32"/>
        </w:rPr>
        <w:t>，并保证其真实、完整、有效。</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提交报名材料的时间与方式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报名材料提交截止时间：2023年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val="en-US" w:eastAsia="zh-CN"/>
        </w:rPr>
        <w:t>9</w:t>
      </w:r>
      <w:r>
        <w:rPr>
          <w:rFonts w:hint="eastAsia" w:ascii="仿宋" w:hAnsi="仿宋" w:eastAsia="仿宋" w:cs="仿宋"/>
          <w:sz w:val="32"/>
          <w:szCs w:val="32"/>
        </w:rPr>
        <w:t>时</w:t>
      </w:r>
      <w:r>
        <w:rPr>
          <w:rFonts w:hint="eastAsia" w:ascii="仿宋" w:hAnsi="仿宋" w:eastAsia="仿宋" w:cs="仿宋"/>
          <w:sz w:val="32"/>
          <w:szCs w:val="32"/>
          <w:lang w:val="en-US" w:eastAsia="zh-CN"/>
        </w:rPr>
        <w:t>30分</w:t>
      </w:r>
      <w:r>
        <w:rPr>
          <w:rFonts w:hint="eastAsia" w:ascii="仿宋" w:hAnsi="仿宋" w:eastAsia="仿宋" w:cs="仿宋"/>
          <w:sz w:val="32"/>
          <w:szCs w:val="32"/>
        </w:rPr>
        <w:t>，以邮箱系统显示的邮件送达时间为准。提交报名资料不齐全的，视为未成功报名。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报名材料提交方式：须将所有报名资料（须加盖公章）的扫描件通过电子邮件的方式发送至邮箱：1055549265@qq.com。</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六、评审模式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规定的时间内，符合资格的响应人报名并递交参评文件参加项目封闭评审。评审小组按项目单独进行封闭评审。若该项目只征集到1家报名人，则由评审小组对该报名人进行资格审查和符合性审查，该报名人通过资格审查、符合性审查且经业主确认为合作方的，按照规定与业主签订合同；若该项目征集到2家或以上报名人的，则由评审小组对项目的报名人进行资格审查和符合性审查后，对通过资格审查和符合性审查的报名人进行评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评审办法详见附件5</w:t>
      </w:r>
      <w:r>
        <w:rPr>
          <w:rFonts w:hint="eastAsia" w:ascii="仿宋" w:hAnsi="仿宋" w:eastAsia="仿宋" w:cs="仿宋"/>
          <w:sz w:val="32"/>
          <w:szCs w:val="32"/>
          <w:lang w:eastAsia="zh-CN"/>
        </w:rPr>
        <w:t>）</w:t>
      </w:r>
      <w:r>
        <w:rPr>
          <w:rFonts w:hint="eastAsia" w:ascii="仿宋" w:hAnsi="仿宋" w:eastAsia="仿宋" w:cs="仿宋"/>
          <w:sz w:val="32"/>
          <w:szCs w:val="32"/>
        </w:rPr>
        <w:t>，并根据评审得分结果推荐合作方。合作方经业主确认为合作方的，按照规定与业主签订合同。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七、踏勘报名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本项目安排踏勘，响应人自行决定是否参加。如参加，要求如下：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项目踏勘报名截止时间与报名材料提交截止时间一致（以邮箱系统显示的邮件送达时间为准），响应人在踏勘报名截止时间前将现场踏勘报名表、参加现场踏勘人员的资料（包括但不限于姓名、联系方式、1寸白底照片电子版、身份证原件正反面扫描件电子版、办证费交纳凭证）及需提供办理隔离区通行证的证明材料（具体要求请联系业主）通过电子邮件方式发送至邮箱：1055549265@qq.com，每个响应人最多指派两名代表，如未按要求或超时提交踏勘报名资料的视同放弃踏勘。所有参加踏勘的人员须服从业主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办理控制区通行证需收取手续费用，标准为30元/人（办证机关收取），办证费用由响应人自行承担，办证费用自行缴纳至公安办证机构。如需开具增值税发票的，请用A4纸打印开票信息并加盖公章，开票信息包括：企业名称、纳税人识别号、地址、电话、开户行及账号。</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拟参加现场踏勘人员的身份证正反面扫描件、1寸白底照片电子版请发邮箱（1055549265@qq.com），以压缩文件的形式，文件名注明意向参与方名称。</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因未在报名截止时间前提供资料或所提供资料不符合要求而导致通行证无法办理的，业主不再另行组织办理。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须确保报名参加现场踏勘的人员身份符合广东省公安厅机场公安局办理证件的要求。报名人员因不符合相关要求而导致通行证无法办理的，响应人应自行承担后果，业主不再接受更换报名。</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如已有有效控制区通行证的人员可以不重复办理。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收到评审文件后，无论是否有参与踏勘，均视为对本项目现状已知悉并了解，不得因未参与踏勘追究业主的任何责任。</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八、联系方式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业主：广州白云国际机场股份有限公司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地址：广州白云国际机场一号航站楼27号门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李小姐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联系电话：020-36050453（周一至周五：9:00-12:00；14:00-17:00，节假日除外）</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九、监督方式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1.如对项目有疑问，请以书面形式通知广州白云国际机场股份有限公司一号航站楼管理分公司纪检室。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2.有关本项目任何违法违规行为可向下述监督部门举报：监督人：广州白云国际机场股份有限公司一号航站楼管理分公司纪检室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地址：广州白云国际机场南工作区A4综合楼</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陈先生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电话：020-36066057 （周一至周五：9:00-12:00；14:00-17:00，节假日除外）</w:t>
      </w:r>
    </w:p>
    <w:p>
      <w:pPr>
        <w:pStyle w:val="8"/>
        <w:spacing w:line="600" w:lineRule="auto"/>
        <w:rPr>
          <w:rFonts w:hint="eastAsia" w:ascii="宋体" w:hAnsi="宋体" w:cs="宋体"/>
          <w:color w:val="auto"/>
          <w:sz w:val="24"/>
          <w:highlight w:val="none"/>
        </w:rPr>
      </w:pPr>
    </w:p>
    <w:p>
      <w:pPr>
        <w:pStyle w:val="8"/>
        <w:spacing w:line="600" w:lineRule="auto"/>
        <w:rPr>
          <w:rFonts w:hint="eastAsia" w:ascii="宋体" w:hAnsi="宋体" w:cs="宋体"/>
          <w:color w:val="auto"/>
          <w:sz w:val="24"/>
          <w:highlight w:val="none"/>
        </w:rPr>
      </w:pPr>
    </w:p>
    <w:p>
      <w:pPr>
        <w:pStyle w:val="8"/>
        <w:spacing w:line="600" w:lineRule="auto"/>
        <w:rPr>
          <w:rFonts w:hint="eastAsia" w:ascii="宋体" w:hAnsi="宋体" w:cs="宋体"/>
          <w:color w:val="auto"/>
          <w:sz w:val="24"/>
          <w:highlight w:val="none"/>
        </w:rPr>
      </w:pPr>
    </w:p>
    <w:p>
      <w:pPr>
        <w:pStyle w:val="8"/>
        <w:spacing w:line="600" w:lineRule="auto"/>
        <w:rPr>
          <w:rFonts w:hint="eastAsia" w:ascii="宋体" w:hAnsi="宋体" w:cs="宋体"/>
          <w:color w:val="auto"/>
          <w:sz w:val="24"/>
          <w:highlight w:val="none"/>
        </w:rPr>
      </w:pPr>
    </w:p>
    <w:p>
      <w:pPr>
        <w:pStyle w:val="8"/>
        <w:spacing w:line="600" w:lineRule="auto"/>
        <w:rPr>
          <w:rFonts w:hint="eastAsia" w:ascii="宋体" w:hAnsi="宋体" w:cs="宋体"/>
          <w:color w:val="auto"/>
          <w:sz w:val="24"/>
          <w:highlight w:val="none"/>
        </w:rPr>
      </w:pPr>
    </w:p>
    <w:p>
      <w:pPr>
        <w:pStyle w:val="8"/>
        <w:spacing w:line="60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公共直饮水机更换的点位和数量</w:t>
      </w:r>
    </w:p>
    <w:tbl>
      <w:tblPr>
        <w:tblStyle w:val="19"/>
        <w:tblW w:w="8388" w:type="dxa"/>
        <w:jc w:val="center"/>
        <w:tblLayout w:type="fixed"/>
        <w:tblCellMar>
          <w:top w:w="0" w:type="dxa"/>
          <w:left w:w="108" w:type="dxa"/>
          <w:bottom w:w="0" w:type="dxa"/>
          <w:right w:w="108" w:type="dxa"/>
        </w:tblCellMar>
      </w:tblPr>
      <w:tblGrid>
        <w:gridCol w:w="820"/>
        <w:gridCol w:w="1255"/>
        <w:gridCol w:w="4322"/>
        <w:gridCol w:w="1023"/>
        <w:gridCol w:w="968"/>
      </w:tblGrid>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区域</w:t>
            </w: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实物安装地点</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数量（台）</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255"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w:t>
            </w:r>
          </w:p>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（33台）</w:t>
            </w: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主楼三层C岛旁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主楼三层E岛旁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主楼三层F岛旁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停用</w:t>
            </w: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主楼三层G岛旁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停用</w:t>
            </w: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主楼三层N岛旁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主楼一层20号门旁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主楼一层21号门旁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主楼一层28号门过夜旅客休息区</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主楼一层29号门航延区</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主楼一层彼得牛商铺旁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主楼一层瓷面商铺旁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主楼三层8号门旁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主楼三层9号门旁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w:t>
            </w:r>
          </w:p>
        </w:tc>
        <w:tc>
          <w:tcPr>
            <w:tcW w:w="1255"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主楼负一层胶囊旅馆旁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w:t>
            </w:r>
          </w:p>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(26台)</w:t>
            </w: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东一连二层中转附近</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16</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东一指三层A109登机口旁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17</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东一指三层A101登机口旁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18</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东一指A103登机口旁下沉洗手间</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19</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东一指A111登机口旁下沉洗手间</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东一远机位A03登机口旁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东一到达1号转盘旁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东一到达E1出口旁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东一指一层外场A109桥附近</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东一指一层外场A102桥附近</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32"/>
                <w:szCs w:val="32"/>
                <w:highlight w:val="none"/>
              </w:rPr>
              <w:t>联检工作区</w:t>
            </w: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东二加建平台二层</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东一海关饭堂</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东一A1908边检办公室</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东一A2033边检办公室</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东一A2026边检办公室</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30</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东一A2021边检办公室</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东二 </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(13台)</w:t>
            </w: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东二指三层A115登机口旁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停用</w:t>
            </w: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东二指三层A116登机口旁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33</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东二指三层A114登机口旁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东二远机位A09登机口旁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35</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东二指二层A113到达口旁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36</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东二指一层外场</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东三</w:t>
            </w:r>
          </w:p>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(19台)</w:t>
            </w: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东三连三层AL-305洗手间旁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38</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东三连三层AL-306洗手间旁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39</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东三指三层A125登机口</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40</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东三指三层A131登机口</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东三远机位A17登机口旁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东三指二层A124到达口旁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东三到达A8门洗手间旁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东三指一层外场</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45</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w:t>
            </w:r>
          </w:p>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(18台)</w:t>
            </w: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西一指三层B213登机口旁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46</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西一指B211登机口旁下沉洗手间</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47</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西一指三层B208登机口旁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48</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西一指B201登机口旁下沉洗手间</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49</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西一远机位B03登机口旁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50</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西一连三层BL-302洗手间旁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西一指二楼B213到达口旁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西一指一层外场</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西二</w:t>
            </w:r>
          </w:p>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(15台)</w:t>
            </w: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西二指三层B216登机口旁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西二指B222登机口旁下沉洗手间</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55</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西二指三层B214登机口旁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56</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西二远机位B10登机口旁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57</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西二指二层B223到达口旁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58</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西二中转休息室（新增点位）</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59</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西二指一层外场</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60</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西三</w:t>
            </w:r>
          </w:p>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(23台)</w:t>
            </w: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西三连三层BL-304洗手间旁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西三连三层BL-305洗手间旁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西三指三层B224登机口旁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西三指三层B232登机口旁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西三远机位B13登机口旁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B901-909远机位</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西三指二层B235到达口旁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67</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西三指一层外场</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68</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西三到达B8门洗手间旁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69</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西一到达B4门旁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639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合计</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bl>
    <w:p>
      <w:pPr>
        <w:pStyle w:val="8"/>
        <w:spacing w:line="600" w:lineRule="auto"/>
        <w:rPr>
          <w:rFonts w:ascii="宋体" w:hAnsi="宋体" w:cs="宋体"/>
          <w:color w:val="auto"/>
          <w:sz w:val="24"/>
          <w:highlight w:val="none"/>
        </w:rPr>
      </w:pPr>
    </w:p>
    <w:p>
      <w:pPr>
        <w:pStyle w:val="8"/>
        <w:spacing w:line="600" w:lineRule="auto"/>
        <w:rPr>
          <w:rFonts w:ascii="宋体" w:hAnsi="宋体" w:cs="宋体"/>
          <w:color w:val="auto"/>
          <w:sz w:val="24"/>
          <w:highlight w:val="none"/>
        </w:rPr>
      </w:pPr>
    </w:p>
    <w:p>
      <w:pPr>
        <w:pStyle w:val="8"/>
        <w:spacing w:line="600" w:lineRule="auto"/>
        <w:rPr>
          <w:rFonts w:ascii="宋体" w:hAnsi="宋体" w:cs="宋体"/>
          <w:color w:val="auto"/>
          <w:sz w:val="24"/>
          <w:highlight w:val="none"/>
        </w:rPr>
      </w:pPr>
    </w:p>
    <w:p>
      <w:pPr>
        <w:pStyle w:val="8"/>
        <w:spacing w:line="600" w:lineRule="auto"/>
        <w:rPr>
          <w:rFonts w:ascii="宋体" w:hAnsi="宋体" w:cs="宋体"/>
          <w:color w:val="auto"/>
          <w:sz w:val="24"/>
          <w:highlight w:val="none"/>
        </w:rPr>
      </w:pPr>
    </w:p>
    <w:p>
      <w:pPr>
        <w:pStyle w:val="8"/>
        <w:spacing w:line="600" w:lineRule="auto"/>
        <w:rPr>
          <w:rFonts w:ascii="宋体" w:hAnsi="宋体" w:cs="宋体"/>
          <w:color w:val="auto"/>
          <w:sz w:val="24"/>
          <w:highlight w:val="none"/>
        </w:rPr>
      </w:pPr>
    </w:p>
    <w:p>
      <w:pPr>
        <w:pStyle w:val="8"/>
        <w:spacing w:line="600" w:lineRule="auto"/>
        <w:rPr>
          <w:rFonts w:ascii="宋体" w:hAnsi="宋体" w:cs="宋体"/>
          <w:color w:val="auto"/>
          <w:sz w:val="24"/>
          <w:highlight w:val="none"/>
        </w:rPr>
      </w:pPr>
    </w:p>
    <w:p>
      <w:pPr>
        <w:pStyle w:val="8"/>
        <w:spacing w:line="600" w:lineRule="auto"/>
        <w:rPr>
          <w:rFonts w:ascii="宋体" w:hAnsi="宋体" w:cs="宋体"/>
          <w:color w:val="auto"/>
          <w:sz w:val="24"/>
          <w:highlight w:val="none"/>
        </w:rPr>
      </w:pPr>
    </w:p>
    <w:p>
      <w:pPr>
        <w:pStyle w:val="8"/>
        <w:spacing w:line="600" w:lineRule="auto"/>
        <w:rPr>
          <w:rFonts w:ascii="宋体" w:hAnsi="宋体" w:cs="宋体"/>
          <w:color w:val="auto"/>
          <w:sz w:val="24"/>
          <w:highlight w:val="none"/>
        </w:rPr>
      </w:pPr>
    </w:p>
    <w:p>
      <w:pPr>
        <w:pStyle w:val="8"/>
        <w:spacing w:line="600" w:lineRule="auto"/>
        <w:rPr>
          <w:rFonts w:ascii="宋体" w:hAnsi="宋体" w:cs="宋体"/>
          <w:color w:val="auto"/>
          <w:sz w:val="24"/>
          <w:highlight w:val="none"/>
        </w:rPr>
      </w:pPr>
    </w:p>
    <w:p>
      <w:pPr>
        <w:pStyle w:val="8"/>
        <w:spacing w:line="600" w:lineRule="auto"/>
        <w:rPr>
          <w:rFonts w:ascii="宋体" w:hAnsi="宋体" w:cs="宋体"/>
          <w:color w:val="auto"/>
          <w:sz w:val="24"/>
          <w:highlight w:val="none"/>
        </w:rPr>
      </w:pPr>
    </w:p>
    <w:p>
      <w:pPr>
        <w:pStyle w:val="8"/>
        <w:spacing w:line="600" w:lineRule="auto"/>
        <w:rPr>
          <w:rFonts w:ascii="宋体" w:hAnsi="宋体" w:cs="宋体"/>
          <w:color w:val="auto"/>
          <w:sz w:val="24"/>
          <w:highlight w:val="none"/>
        </w:rPr>
      </w:pPr>
    </w:p>
    <w:p>
      <w:pPr>
        <w:pStyle w:val="8"/>
        <w:spacing w:line="600" w:lineRule="auto"/>
        <w:rPr>
          <w:rFonts w:ascii="宋体" w:hAnsi="宋体" w:cs="宋体"/>
          <w:color w:val="auto"/>
          <w:sz w:val="24"/>
          <w:highlight w:val="none"/>
        </w:rPr>
      </w:pPr>
    </w:p>
    <w:p>
      <w:pPr>
        <w:pStyle w:val="8"/>
        <w:spacing w:line="600" w:lineRule="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widowControl/>
        <w:tabs>
          <w:tab w:val="left" w:pos="567"/>
        </w:tabs>
        <w:autoSpaceDE w:val="0"/>
        <w:autoSpaceDN w:val="0"/>
        <w:ind w:left="567" w:hanging="567"/>
        <w:jc w:val="center"/>
        <w:textAlignment w:val="bottom"/>
        <w:outlineLvl w:val="0"/>
        <w:rPr>
          <w:rFonts w:hint="eastAsia" w:ascii="宋体" w:hAnsi="宋体"/>
          <w:b/>
          <w:color w:val="auto"/>
          <w:sz w:val="44"/>
          <w:szCs w:val="44"/>
          <w:highlight w:val="none"/>
        </w:rPr>
      </w:pPr>
      <w:r>
        <w:rPr>
          <w:rFonts w:hint="eastAsia" w:ascii="宋体" w:hAnsi="宋体"/>
          <w:b/>
          <w:color w:val="auto"/>
          <w:sz w:val="44"/>
          <w:szCs w:val="44"/>
          <w:highlight w:val="none"/>
        </w:rPr>
        <w:t>用户需求书</w:t>
      </w:r>
    </w:p>
    <w:p>
      <w:pPr>
        <w:numPr>
          <w:ilvl w:val="0"/>
          <w:numId w:val="0"/>
        </w:numPr>
        <w:tabs>
          <w:tab w:val="left" w:pos="425"/>
          <w:tab w:val="left" w:pos="540"/>
        </w:tabs>
        <w:snapToGrid w:val="0"/>
        <w:spacing w:line="360" w:lineRule="auto"/>
        <w:ind w:left="420" w:leftChars="0" w:hanging="420" w:firstLineChars="0"/>
        <w:rPr>
          <w:rFonts w:hint="eastAsia" w:ascii="仿宋" w:hAnsi="仿宋" w:eastAsia="仿宋" w:cs="仿宋"/>
          <w:b/>
          <w:color w:val="auto"/>
          <w:kern w:val="2"/>
          <w:sz w:val="32"/>
          <w:szCs w:val="32"/>
          <w:highlight w:val="none"/>
          <w:lang w:val="en-US" w:eastAsia="zh-CN" w:bidi="ar-SA"/>
        </w:rPr>
      </w:pPr>
    </w:p>
    <w:p>
      <w:pPr>
        <w:numPr>
          <w:ilvl w:val="0"/>
          <w:numId w:val="0"/>
        </w:numPr>
        <w:tabs>
          <w:tab w:val="left" w:pos="425"/>
          <w:tab w:val="left" w:pos="540"/>
        </w:tabs>
        <w:snapToGrid w:val="0"/>
        <w:spacing w:line="360" w:lineRule="auto"/>
        <w:ind w:left="420" w:leftChars="0" w:hanging="420" w:firstLineChars="0"/>
        <w:rPr>
          <w:rFonts w:hint="eastAsia" w:ascii="黑体" w:hAnsi="黑体" w:eastAsia="黑体" w:cs="黑体"/>
          <w:b w:val="0"/>
          <w:bCs/>
          <w:color w:val="auto"/>
          <w:sz w:val="32"/>
          <w:szCs w:val="32"/>
          <w:highlight w:val="none"/>
        </w:rPr>
      </w:pPr>
      <w:r>
        <w:rPr>
          <w:rFonts w:hint="eastAsia" w:ascii="黑体" w:hAnsi="黑体" w:eastAsia="黑体" w:cs="黑体"/>
          <w:b w:val="0"/>
          <w:bCs/>
          <w:color w:val="auto"/>
          <w:kern w:val="2"/>
          <w:sz w:val="32"/>
          <w:szCs w:val="32"/>
          <w:highlight w:val="none"/>
          <w:lang w:val="en-US" w:eastAsia="zh-CN" w:bidi="ar-SA"/>
        </w:rPr>
        <w:t>一、</w:t>
      </w:r>
      <w:r>
        <w:rPr>
          <w:rFonts w:hint="eastAsia" w:ascii="黑体" w:hAnsi="黑体" w:eastAsia="黑体" w:cs="黑体"/>
          <w:b w:val="0"/>
          <w:bCs/>
          <w:color w:val="auto"/>
          <w:sz w:val="32"/>
          <w:szCs w:val="32"/>
          <w:highlight w:val="none"/>
        </w:rPr>
        <w:t>项目基本概况</w:t>
      </w:r>
    </w:p>
    <w:p>
      <w:pPr>
        <w:autoSpaceDE w:val="0"/>
        <w:autoSpaceDN w:val="0"/>
        <w:adjustRightInd w:val="0"/>
        <w:snapToGrid w:val="0"/>
        <w:spacing w:line="360" w:lineRule="auto"/>
        <w:ind w:firstLine="640" w:firstLineChars="200"/>
        <w:jc w:val="left"/>
        <w:rPr>
          <w:rFonts w:hint="eastAsia" w:ascii="仿宋" w:hAnsi="仿宋" w:eastAsia="仿宋" w:cs="仿宋"/>
          <w:b/>
          <w:bCs/>
          <w:color w:val="auto"/>
          <w:kern w:val="0"/>
          <w:sz w:val="32"/>
          <w:szCs w:val="32"/>
          <w:highlight w:val="none"/>
        </w:rPr>
      </w:pPr>
      <w:r>
        <w:rPr>
          <w:rFonts w:hint="eastAsia" w:ascii="楷体" w:hAnsi="楷体" w:eastAsia="楷体" w:cs="楷体"/>
          <w:b w:val="0"/>
          <w:bCs w:val="0"/>
          <w:color w:val="auto"/>
          <w:kern w:val="0"/>
          <w:sz w:val="32"/>
          <w:szCs w:val="32"/>
          <w:highlight w:val="none"/>
        </w:rPr>
        <w:t>（一）项目名称</w:t>
      </w:r>
    </w:p>
    <w:p>
      <w:pPr>
        <w:autoSpaceDE w:val="0"/>
        <w:autoSpaceDN w:val="0"/>
        <w:adjustRightInd w:val="0"/>
        <w:snapToGrid w:val="0"/>
        <w:spacing w:line="360" w:lineRule="auto"/>
        <w:ind w:firstLine="640" w:firstLineChars="200"/>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广州白云国际机场一号航站楼公共直饮水机提质升级项目。</w:t>
      </w:r>
    </w:p>
    <w:p>
      <w:pPr>
        <w:autoSpaceDE w:val="0"/>
        <w:autoSpaceDN w:val="0"/>
        <w:adjustRightInd w:val="0"/>
        <w:snapToGrid w:val="0"/>
        <w:spacing w:line="360" w:lineRule="auto"/>
        <w:ind w:firstLine="640" w:firstLineChars="200"/>
        <w:jc w:val="left"/>
        <w:rPr>
          <w:rFonts w:hint="eastAsia" w:ascii="楷体" w:hAnsi="楷体" w:eastAsia="楷体" w:cs="楷体"/>
          <w:b w:val="0"/>
          <w:bCs w:val="0"/>
          <w:color w:val="auto"/>
          <w:kern w:val="0"/>
          <w:sz w:val="32"/>
          <w:szCs w:val="32"/>
          <w:highlight w:val="none"/>
        </w:rPr>
      </w:pPr>
      <w:r>
        <w:rPr>
          <w:rFonts w:hint="eastAsia" w:ascii="楷体" w:hAnsi="楷体" w:eastAsia="楷体" w:cs="楷体"/>
          <w:b w:val="0"/>
          <w:bCs w:val="0"/>
          <w:color w:val="auto"/>
          <w:kern w:val="0"/>
          <w:sz w:val="32"/>
          <w:szCs w:val="32"/>
          <w:highlight w:val="none"/>
        </w:rPr>
        <w:t>（二）合作内容</w:t>
      </w:r>
    </w:p>
    <w:p>
      <w:pPr>
        <w:snapToGrid w:val="0"/>
        <w:spacing w:line="360" w:lineRule="auto"/>
        <w:ind w:firstLine="640" w:firstLineChars="200"/>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sz w:val="32"/>
          <w:szCs w:val="32"/>
          <w:highlight w:val="none"/>
        </w:rPr>
        <w:t>本项目位于广州白云国际机场一号航站楼内，共计公共直饮水机162台（含1</w:t>
      </w:r>
      <w:r>
        <w:rPr>
          <w:rFonts w:ascii="仿宋" w:hAnsi="仿宋" w:eastAsia="仿宋" w:cs="仿宋"/>
          <w:color w:val="auto"/>
          <w:sz w:val="32"/>
          <w:szCs w:val="32"/>
          <w:highlight w:val="none"/>
        </w:rPr>
        <w:t>5</w:t>
      </w:r>
      <w:r>
        <w:rPr>
          <w:rFonts w:hint="eastAsia" w:ascii="仿宋" w:hAnsi="仿宋" w:eastAsia="仿宋" w:cs="仿宋"/>
          <w:color w:val="auto"/>
          <w:sz w:val="32"/>
          <w:szCs w:val="32"/>
          <w:highlight w:val="none"/>
        </w:rPr>
        <w:t>台备用设备），具体点位分布见附件1。</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.设备要求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（1）外观：美观大方，所用材料符合国家环保标准。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（2）尺寸：①直饮水机身宽度不超过0.55m，深度不超过0.50m，高度不超过1.75m；②低位饮水机取水台和按键高度符合无障碍设施标准。</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（3）功能：①直饮水为程序控制、自动杀菌，标配过流式紫外线杀菌；②热</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、冰（5℃-10℃）、温（或常温）水供应，出水按键为触感带 LED，带灯光指示，热水按键锁定功能，语音用水导示；③缺水自动断电保护，确保安全；④在线温度显示。</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（4）适用人数≥60人，水箱容量不少于10升。</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（5）用电负荷：电压为220V/50Hz，加热功率≥1800W。</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（6）过滤系统：过滤、反渗透。</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（7）滤材：符合国家及行业标准（滤芯均具备单独省部级以上涉及饮用水卫生许可批件）。</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8）水质：符合《包装饮用水》GB19298-2014；出水水质应满足符合国家《生活饮用水卫生标准》GB5749-2022；《食品中污染物限量》GB2762-2012；《饮用净水水质标准》CJ94-2005。</w:t>
      </w:r>
    </w:p>
    <w:p>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.合作期限：项目合同时间为2年（如出现航站楼流程改造等重大客观情况变化</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业主可提前30天告知合作方并有权终止协议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或</w:t>
      </w:r>
      <w:r>
        <w:rPr>
          <w:rFonts w:hint="eastAsia" w:ascii="仿宋" w:hAnsi="仿宋" w:eastAsia="仿宋" w:cs="仿宋"/>
          <w:color w:val="auto"/>
          <w:sz w:val="32"/>
          <w:szCs w:val="32"/>
          <w:highlight w:val="none"/>
          <w:lang w:eastAsia="zh-CN"/>
        </w:rPr>
        <w:t>经双方协商达成一致可以延期，双方订立补充协议）</w:t>
      </w:r>
      <w:r>
        <w:rPr>
          <w:rFonts w:hint="eastAsia" w:ascii="仿宋" w:hAnsi="仿宋" w:eastAsia="仿宋" w:cs="仿宋"/>
          <w:color w:val="auto"/>
          <w:sz w:val="32"/>
          <w:szCs w:val="32"/>
          <w:highlight w:val="none"/>
        </w:rPr>
        <w:t>。合作到期后，合作方可自行回收本批设备。</w:t>
      </w:r>
    </w:p>
    <w:p>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.合作要求：合作方免费提供</w:t>
      </w:r>
      <w:r>
        <w:rPr>
          <w:rFonts w:hint="eastAsia" w:ascii="仿宋" w:hAnsi="仿宋" w:eastAsia="仿宋" w:cs="仿宋"/>
          <w:color w:val="auto"/>
          <w:sz w:val="32"/>
          <w:szCs w:val="32"/>
          <w:highlight w:val="none"/>
          <w:lang w:val="en-US" w:eastAsia="zh-CN"/>
        </w:rPr>
        <w:t>全新的</w:t>
      </w:r>
      <w:r>
        <w:rPr>
          <w:rFonts w:hint="eastAsia" w:ascii="仿宋" w:hAnsi="仿宋" w:eastAsia="仿宋" w:cs="仿宋"/>
          <w:color w:val="auto"/>
          <w:sz w:val="32"/>
          <w:szCs w:val="32"/>
          <w:highlight w:val="none"/>
        </w:rPr>
        <w:t>直饮水机设备，并负责提供相关设备设施的运输、安装、维护和水质检测服务；合作方可利用合作投入的设备进行</w:t>
      </w:r>
      <w:r>
        <w:rPr>
          <w:rFonts w:hint="eastAsia" w:ascii="仿宋" w:hAnsi="仿宋" w:eastAsia="仿宋" w:cs="仿宋"/>
          <w:color w:val="auto"/>
          <w:sz w:val="32"/>
          <w:szCs w:val="32"/>
          <w:highlight w:val="none"/>
          <w:lang w:val="en-US" w:eastAsia="zh-CN"/>
        </w:rPr>
        <w:t>品牌LOGO</w:t>
      </w:r>
      <w:r>
        <w:rPr>
          <w:rFonts w:hint="eastAsia" w:ascii="仿宋" w:hAnsi="仿宋" w:eastAsia="仿宋" w:cs="仿宋"/>
          <w:color w:val="auto"/>
          <w:sz w:val="32"/>
          <w:szCs w:val="32"/>
          <w:highlight w:val="none"/>
        </w:rPr>
        <w:t>展示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投入设备的品牌LOGO尺寸需与市面上同型号设备的LOGO尺寸一致，</w:t>
      </w:r>
      <w:r>
        <w:rPr>
          <w:rFonts w:hint="eastAsia" w:ascii="仿宋" w:hAnsi="仿宋" w:eastAsia="仿宋" w:cs="仿宋"/>
          <w:color w:val="auto"/>
          <w:sz w:val="32"/>
          <w:szCs w:val="32"/>
          <w:highlight w:val="none"/>
          <w:lang w:eastAsia="zh-CN"/>
        </w:rPr>
        <w:t>不得在原机身张贴二维码等其它任何</w:t>
      </w:r>
      <w:r>
        <w:rPr>
          <w:rFonts w:hint="eastAsia" w:ascii="仿宋" w:hAnsi="仿宋" w:eastAsia="仿宋" w:cs="仿宋"/>
          <w:color w:val="auto"/>
          <w:sz w:val="32"/>
          <w:szCs w:val="32"/>
          <w:highlight w:val="none"/>
          <w:lang w:val="en-US" w:eastAsia="zh-CN"/>
        </w:rPr>
        <w:t>形式的</w:t>
      </w:r>
      <w:r>
        <w:rPr>
          <w:rFonts w:hint="eastAsia" w:ascii="仿宋" w:hAnsi="仿宋" w:eastAsia="仿宋" w:cs="仿宋"/>
          <w:color w:val="auto"/>
          <w:sz w:val="32"/>
          <w:szCs w:val="32"/>
          <w:highlight w:val="none"/>
          <w:lang w:eastAsia="zh-CN"/>
        </w:rPr>
        <w:t>广告信息</w:t>
      </w:r>
      <w:r>
        <w:rPr>
          <w:rFonts w:hint="eastAsia" w:ascii="仿宋" w:hAnsi="仿宋" w:eastAsia="仿宋" w:cs="仿宋"/>
          <w:color w:val="auto"/>
          <w:sz w:val="32"/>
          <w:szCs w:val="32"/>
          <w:highlight w:val="none"/>
        </w:rPr>
        <w:t>。</w:t>
      </w:r>
    </w:p>
    <w:p>
      <w:pPr>
        <w:snapToGrid w:val="0"/>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5.维护要求</w:t>
      </w:r>
    </w:p>
    <w:p>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合作方</w:t>
      </w:r>
      <w:r>
        <w:rPr>
          <w:rFonts w:hint="eastAsia" w:ascii="仿宋" w:hAnsi="仿宋" w:eastAsia="仿宋" w:cs="仿宋"/>
          <w:color w:val="auto"/>
          <w:sz w:val="32"/>
          <w:szCs w:val="32"/>
          <w:highlight w:val="none"/>
          <w:lang w:val="en-US" w:eastAsia="zh-CN"/>
        </w:rPr>
        <w:t>须</w:t>
      </w:r>
      <w:r>
        <w:rPr>
          <w:rFonts w:hint="eastAsia" w:ascii="仿宋" w:hAnsi="仿宋" w:eastAsia="仿宋" w:cs="仿宋"/>
          <w:color w:val="auto"/>
          <w:sz w:val="32"/>
          <w:szCs w:val="32"/>
          <w:highlight w:val="none"/>
        </w:rPr>
        <w:t>提供每</w:t>
      </w:r>
      <w:r>
        <w:rPr>
          <w:rFonts w:hint="eastAsia" w:ascii="仿宋" w:hAnsi="仿宋" w:eastAsia="仿宋" w:cs="仿宋"/>
          <w:color w:val="auto"/>
          <w:sz w:val="32"/>
          <w:szCs w:val="32"/>
          <w:highlight w:val="none"/>
          <w:lang w:val="en-US" w:eastAsia="zh-CN"/>
        </w:rPr>
        <w:t>三个</w:t>
      </w:r>
      <w:r>
        <w:rPr>
          <w:rFonts w:hint="eastAsia" w:ascii="仿宋" w:hAnsi="仿宋" w:eastAsia="仿宋" w:cs="仿宋"/>
          <w:color w:val="auto"/>
          <w:sz w:val="32"/>
          <w:szCs w:val="32"/>
          <w:highlight w:val="none"/>
        </w:rPr>
        <w:t>月不少于1次具有合格资质检测机构的水质检测报告。</w:t>
      </w:r>
    </w:p>
    <w:p>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合作方每月至少</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次对公共直饮水机进行全面检查,包括设备的日常维修、保养、零配件更换（用材用料方面须符合国家饮水机行业相关安全标准）等，确保饮水设备正常运行以及提供安全饮水服务。</w:t>
      </w:r>
    </w:p>
    <w:p>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本项目实施过程中，合作方负责纸杯桶安装、维修、更换工作（含零部件更换）。</w:t>
      </w:r>
    </w:p>
    <w:p>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合作方负责直饮水机机身的标识和相关温馨提示的制作、安装、更换工作。</w:t>
      </w:r>
    </w:p>
    <w:p>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本项目实施过程中，</w:t>
      </w:r>
      <w:r>
        <w:rPr>
          <w:rFonts w:hint="eastAsia" w:ascii="仿宋" w:hAnsi="仿宋" w:eastAsia="仿宋" w:cs="仿宋"/>
          <w:color w:val="auto"/>
          <w:sz w:val="32"/>
          <w:szCs w:val="32"/>
          <w:highlight w:val="none"/>
          <w:lang w:val="en-US" w:eastAsia="zh-CN"/>
        </w:rPr>
        <w:t>业主</w:t>
      </w:r>
      <w:r>
        <w:rPr>
          <w:rFonts w:hint="eastAsia" w:ascii="仿宋" w:hAnsi="仿宋" w:eastAsia="仿宋" w:cs="仿宋"/>
          <w:color w:val="auto"/>
          <w:sz w:val="32"/>
          <w:szCs w:val="32"/>
          <w:highlight w:val="none"/>
        </w:rPr>
        <w:t>通过微信或电话通知，合作方应承诺服务响应时间为</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rPr>
        <w:t>分钟内到达现场。无特殊情况</w:t>
      </w:r>
      <w:r>
        <w:rPr>
          <w:rFonts w:hint="eastAsia" w:ascii="仿宋" w:hAnsi="仿宋" w:eastAsia="仿宋" w:cs="仿宋"/>
          <w:color w:val="auto"/>
          <w:sz w:val="32"/>
          <w:szCs w:val="32"/>
          <w:highlight w:val="none"/>
          <w:lang w:val="en-US" w:eastAsia="zh-CN"/>
        </w:rPr>
        <w:t>一小时内</w:t>
      </w:r>
      <w:r>
        <w:rPr>
          <w:rFonts w:hint="eastAsia" w:ascii="仿宋" w:hAnsi="仿宋" w:eastAsia="仿宋" w:cs="仿宋"/>
          <w:color w:val="auto"/>
          <w:sz w:val="32"/>
          <w:szCs w:val="32"/>
          <w:highlight w:val="none"/>
        </w:rPr>
        <w:t>排除故障，并及时向</w:t>
      </w:r>
      <w:r>
        <w:rPr>
          <w:rFonts w:hint="eastAsia" w:ascii="仿宋" w:hAnsi="仿宋" w:eastAsia="仿宋" w:cs="仿宋"/>
          <w:color w:val="auto"/>
          <w:sz w:val="32"/>
          <w:szCs w:val="32"/>
          <w:highlight w:val="none"/>
          <w:lang w:val="en-US" w:eastAsia="zh-CN"/>
        </w:rPr>
        <w:t>业主</w:t>
      </w:r>
      <w:r>
        <w:rPr>
          <w:rFonts w:hint="eastAsia" w:ascii="仿宋" w:hAnsi="仿宋" w:eastAsia="仿宋" w:cs="仿宋"/>
          <w:color w:val="auto"/>
          <w:sz w:val="32"/>
          <w:szCs w:val="32"/>
          <w:highlight w:val="none"/>
        </w:rPr>
        <w:t>反馈故障维修信息。</w:t>
      </w:r>
    </w:p>
    <w:p>
      <w:pPr>
        <w:snapToGrid w:val="0"/>
        <w:spacing w:line="360" w:lineRule="auto"/>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合作方应承诺</w:t>
      </w:r>
      <w:r>
        <w:rPr>
          <w:rFonts w:hint="eastAsia" w:ascii="仿宋" w:hAnsi="仿宋" w:eastAsia="仿宋" w:cs="仿宋"/>
          <w:color w:val="auto"/>
          <w:sz w:val="32"/>
          <w:szCs w:val="32"/>
          <w:highlight w:val="none"/>
          <w:lang w:val="zh-CN" w:eastAsia="zh-CN"/>
        </w:rPr>
        <w:t>直饮水机的滤芯更换周期为</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lang w:val="zh-CN" w:eastAsia="zh-CN"/>
        </w:rPr>
        <w:t>个月一次。滤芯必须符合国家饮用水卫生安全要求，并确保过滤后水质达到检验检疫检测标准，能保证达到人体安全饮用的水质标准。</w:t>
      </w:r>
    </w:p>
    <w:p>
      <w:pPr>
        <w:numPr>
          <w:ilvl w:val="0"/>
          <w:numId w:val="0"/>
        </w:numPr>
        <w:tabs>
          <w:tab w:val="left" w:pos="425"/>
          <w:tab w:val="left" w:pos="540"/>
        </w:tabs>
        <w:snapToGrid w:val="0"/>
        <w:spacing w:line="360" w:lineRule="auto"/>
        <w:ind w:leftChars="0" w:firstLine="640" w:firstLineChars="20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rPr>
        <w:t>进场要求</w:t>
      </w:r>
    </w:p>
    <w:tbl>
      <w:tblPr>
        <w:tblStyle w:val="19"/>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0"/>
        <w:gridCol w:w="289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计划安装日期</w:t>
            </w: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位置</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暂定安装数量（台）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Merge w:val="restart"/>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中标书发出后5个自然日内</w:t>
            </w: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主楼</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Merge w:val="continue"/>
            <w:vAlign w:val="center"/>
          </w:tcPr>
          <w:p>
            <w:pPr>
              <w:adjustRightInd w:val="0"/>
              <w:snapToGrid w:val="0"/>
              <w:jc w:val="center"/>
              <w:rPr>
                <w:rFonts w:ascii="宋体" w:hAnsi="宋体" w:cs="宋体"/>
                <w:color w:val="auto"/>
                <w:sz w:val="21"/>
                <w:szCs w:val="21"/>
                <w:highlight w:val="none"/>
              </w:rPr>
            </w:pP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西一</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Merge w:val="continue"/>
            <w:vAlign w:val="center"/>
          </w:tcPr>
          <w:p>
            <w:pPr>
              <w:adjustRightInd w:val="0"/>
              <w:snapToGrid w:val="0"/>
              <w:jc w:val="center"/>
              <w:rPr>
                <w:rFonts w:ascii="宋体" w:hAnsi="宋体" w:cs="宋体"/>
                <w:color w:val="auto"/>
                <w:sz w:val="21"/>
                <w:szCs w:val="21"/>
                <w:highlight w:val="none"/>
              </w:rPr>
            </w:pP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西二</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Merge w:val="continue"/>
            <w:vAlign w:val="center"/>
          </w:tcPr>
          <w:p>
            <w:pPr>
              <w:adjustRightInd w:val="0"/>
              <w:snapToGrid w:val="0"/>
              <w:jc w:val="center"/>
              <w:rPr>
                <w:rFonts w:ascii="宋体" w:hAnsi="宋体" w:cs="宋体"/>
                <w:color w:val="auto"/>
                <w:sz w:val="21"/>
                <w:szCs w:val="21"/>
                <w:highlight w:val="none"/>
              </w:rPr>
            </w:pP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西三</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Merge w:val="restart"/>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中标书发出后10个自然日内</w:t>
            </w: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东一</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Merge w:val="continue"/>
            <w:vAlign w:val="center"/>
          </w:tcPr>
          <w:p>
            <w:pPr>
              <w:adjustRightInd w:val="0"/>
              <w:snapToGrid w:val="0"/>
              <w:jc w:val="center"/>
              <w:rPr>
                <w:rFonts w:ascii="宋体" w:hAnsi="宋体" w:cs="宋体"/>
                <w:color w:val="auto"/>
                <w:sz w:val="21"/>
                <w:szCs w:val="21"/>
                <w:highlight w:val="none"/>
              </w:rPr>
            </w:pP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东三</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Merge w:val="continue"/>
            <w:vAlign w:val="center"/>
          </w:tcPr>
          <w:p>
            <w:pPr>
              <w:adjustRightInd w:val="0"/>
              <w:snapToGrid w:val="0"/>
              <w:jc w:val="center"/>
              <w:rPr>
                <w:rFonts w:ascii="宋体" w:hAnsi="宋体" w:cs="宋体"/>
                <w:color w:val="auto"/>
                <w:sz w:val="21"/>
                <w:szCs w:val="21"/>
                <w:highlight w:val="none"/>
              </w:rPr>
            </w:pP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各指廊外场员工专用</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Merge w:val="restart"/>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中标书发出后20个自然日内</w:t>
            </w: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三关专用</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Merge w:val="continue"/>
            <w:vAlign w:val="center"/>
          </w:tcPr>
          <w:p>
            <w:pPr>
              <w:adjustRightInd w:val="0"/>
              <w:snapToGrid w:val="0"/>
              <w:jc w:val="center"/>
              <w:rPr>
                <w:rFonts w:ascii="宋体" w:hAnsi="宋体" w:cs="宋体"/>
                <w:color w:val="auto"/>
                <w:sz w:val="21"/>
                <w:szCs w:val="21"/>
                <w:highlight w:val="none"/>
              </w:rPr>
            </w:pP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东二</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0" w:type="dxa"/>
            <w:gridSpan w:val="2"/>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合计</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147</w:t>
            </w:r>
          </w:p>
        </w:tc>
      </w:tr>
    </w:tbl>
    <w:p>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.合作方</w:t>
      </w:r>
      <w:r>
        <w:rPr>
          <w:rFonts w:hint="eastAsia" w:ascii="仿宋" w:hAnsi="仿宋" w:eastAsia="仿宋" w:cs="仿宋"/>
          <w:color w:val="auto"/>
          <w:sz w:val="32"/>
          <w:szCs w:val="32"/>
          <w:highlight w:val="none"/>
        </w:rPr>
        <w:t>应在</w:t>
      </w:r>
      <w:r>
        <w:rPr>
          <w:rFonts w:hint="eastAsia" w:ascii="仿宋" w:hAnsi="仿宋" w:eastAsia="仿宋" w:cs="仿宋"/>
          <w:color w:val="auto"/>
          <w:sz w:val="32"/>
          <w:szCs w:val="32"/>
          <w:highlight w:val="none"/>
          <w:lang w:val="en-US" w:eastAsia="zh-CN"/>
        </w:rPr>
        <w:t>业主</w:t>
      </w:r>
      <w:r>
        <w:rPr>
          <w:rFonts w:hint="eastAsia" w:ascii="仿宋" w:hAnsi="仿宋" w:eastAsia="仿宋" w:cs="仿宋"/>
          <w:color w:val="auto"/>
          <w:sz w:val="32"/>
          <w:szCs w:val="32"/>
          <w:highlight w:val="none"/>
        </w:rPr>
        <w:t>发出开工通知后20个自然日内完成所有点位的公共直饮水机的安装并投入使用。非</w:t>
      </w:r>
      <w:r>
        <w:rPr>
          <w:rFonts w:hint="eastAsia" w:ascii="仿宋" w:hAnsi="仿宋" w:eastAsia="仿宋" w:cs="仿宋"/>
          <w:color w:val="auto"/>
          <w:sz w:val="32"/>
          <w:szCs w:val="32"/>
          <w:highlight w:val="none"/>
          <w:lang w:eastAsia="zh-CN"/>
        </w:rPr>
        <w:t>合作方</w:t>
      </w:r>
      <w:r>
        <w:rPr>
          <w:rFonts w:hint="eastAsia" w:ascii="仿宋" w:hAnsi="仿宋" w:eastAsia="仿宋" w:cs="仿宋"/>
          <w:color w:val="auto"/>
          <w:sz w:val="32"/>
          <w:szCs w:val="32"/>
          <w:highlight w:val="none"/>
        </w:rPr>
        <w:t>原因导致的无法按时完成情况，需提前与</w:t>
      </w:r>
      <w:r>
        <w:rPr>
          <w:rFonts w:hint="eastAsia" w:ascii="仿宋" w:hAnsi="仿宋" w:eastAsia="仿宋" w:cs="仿宋"/>
          <w:color w:val="auto"/>
          <w:sz w:val="32"/>
          <w:szCs w:val="32"/>
          <w:highlight w:val="none"/>
          <w:lang w:eastAsia="zh-CN"/>
        </w:rPr>
        <w:t>业主</w:t>
      </w:r>
      <w:r>
        <w:rPr>
          <w:rFonts w:hint="eastAsia" w:ascii="仿宋" w:hAnsi="仿宋" w:eastAsia="仿宋" w:cs="仿宋"/>
          <w:color w:val="auto"/>
          <w:sz w:val="32"/>
          <w:szCs w:val="32"/>
          <w:highlight w:val="none"/>
        </w:rPr>
        <w:t>协商一致并约定新的完成时间。</w:t>
      </w:r>
    </w:p>
    <w:p>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施工计划和组织安排需合理，施工方案需经</w:t>
      </w:r>
      <w:r>
        <w:rPr>
          <w:rFonts w:hint="eastAsia" w:ascii="仿宋" w:hAnsi="仿宋" w:eastAsia="仿宋" w:cs="仿宋"/>
          <w:color w:val="auto"/>
          <w:sz w:val="32"/>
          <w:szCs w:val="32"/>
          <w:highlight w:val="none"/>
          <w:lang w:eastAsia="zh-CN"/>
        </w:rPr>
        <w:t>业主</w:t>
      </w:r>
      <w:r>
        <w:rPr>
          <w:rFonts w:hint="eastAsia" w:ascii="仿宋" w:hAnsi="仿宋" w:eastAsia="仿宋" w:cs="仿宋"/>
          <w:color w:val="auto"/>
          <w:sz w:val="32"/>
          <w:szCs w:val="32"/>
          <w:highlight w:val="none"/>
        </w:rPr>
        <w:t>审核同意方可实施。进入航站楼的施工人员需符合机场作业要求。</w:t>
      </w:r>
    </w:p>
    <w:p>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合作方</w:t>
      </w:r>
      <w:r>
        <w:rPr>
          <w:rFonts w:hint="eastAsia" w:ascii="仿宋" w:hAnsi="仿宋" w:eastAsia="仿宋" w:cs="仿宋"/>
          <w:color w:val="auto"/>
          <w:sz w:val="32"/>
          <w:szCs w:val="32"/>
          <w:highlight w:val="none"/>
        </w:rPr>
        <w:t>进驻前及履约过程中，</w:t>
      </w:r>
      <w:r>
        <w:rPr>
          <w:rFonts w:hint="eastAsia" w:ascii="仿宋" w:hAnsi="仿宋" w:eastAsia="仿宋" w:cs="仿宋"/>
          <w:color w:val="auto"/>
          <w:sz w:val="32"/>
          <w:szCs w:val="32"/>
          <w:highlight w:val="none"/>
          <w:lang w:eastAsia="zh-CN"/>
        </w:rPr>
        <w:t>业主</w:t>
      </w:r>
      <w:r>
        <w:rPr>
          <w:rFonts w:hint="eastAsia" w:ascii="仿宋" w:hAnsi="仿宋" w:eastAsia="仿宋" w:cs="仿宋"/>
          <w:color w:val="auto"/>
          <w:sz w:val="32"/>
          <w:szCs w:val="32"/>
          <w:highlight w:val="none"/>
        </w:rPr>
        <w:t>有权根据服务需求要求</w:t>
      </w:r>
      <w:r>
        <w:rPr>
          <w:rFonts w:hint="eastAsia" w:ascii="仿宋" w:hAnsi="仿宋" w:eastAsia="仿宋" w:cs="仿宋"/>
          <w:color w:val="auto"/>
          <w:sz w:val="32"/>
          <w:szCs w:val="32"/>
          <w:highlight w:val="none"/>
          <w:lang w:eastAsia="zh-CN"/>
        </w:rPr>
        <w:t>合作方</w:t>
      </w:r>
      <w:r>
        <w:rPr>
          <w:rFonts w:hint="eastAsia" w:ascii="仿宋" w:hAnsi="仿宋" w:eastAsia="仿宋" w:cs="仿宋"/>
          <w:color w:val="auto"/>
          <w:sz w:val="32"/>
          <w:szCs w:val="32"/>
          <w:highlight w:val="none"/>
        </w:rPr>
        <w:t>修改公共直饮水机安装实施方案。</w:t>
      </w:r>
    </w:p>
    <w:p>
      <w:pPr>
        <w:snapToGrid w:val="0"/>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合作方</w:t>
      </w:r>
      <w:r>
        <w:rPr>
          <w:rFonts w:hint="eastAsia" w:ascii="仿宋" w:hAnsi="仿宋" w:eastAsia="仿宋" w:cs="仿宋"/>
          <w:color w:val="auto"/>
          <w:sz w:val="32"/>
          <w:szCs w:val="32"/>
          <w:highlight w:val="none"/>
        </w:rPr>
        <w:t>进驻前及履约过程中，</w:t>
      </w:r>
      <w:r>
        <w:rPr>
          <w:rFonts w:hint="eastAsia" w:ascii="仿宋" w:hAnsi="仿宋" w:eastAsia="仿宋" w:cs="仿宋"/>
          <w:color w:val="auto"/>
          <w:sz w:val="32"/>
          <w:szCs w:val="32"/>
          <w:highlight w:val="none"/>
          <w:lang w:eastAsia="zh-CN"/>
        </w:rPr>
        <w:t>业主</w:t>
      </w:r>
      <w:r>
        <w:rPr>
          <w:rFonts w:hint="eastAsia" w:ascii="仿宋" w:hAnsi="仿宋" w:eastAsia="仿宋" w:cs="仿宋"/>
          <w:color w:val="auto"/>
          <w:sz w:val="32"/>
          <w:szCs w:val="32"/>
          <w:highlight w:val="none"/>
        </w:rPr>
        <w:t>有权根据服务需求和场地实际情况调整点位和公共直饮水机数量规划，</w:t>
      </w:r>
      <w:r>
        <w:rPr>
          <w:rFonts w:hint="eastAsia" w:ascii="仿宋" w:hAnsi="仿宋" w:eastAsia="仿宋" w:cs="仿宋"/>
          <w:color w:val="auto"/>
          <w:sz w:val="32"/>
          <w:szCs w:val="32"/>
          <w:highlight w:val="none"/>
          <w:lang w:eastAsia="zh-CN"/>
        </w:rPr>
        <w:t>合作方</w:t>
      </w:r>
      <w:r>
        <w:rPr>
          <w:rFonts w:hint="eastAsia" w:ascii="仿宋" w:hAnsi="仿宋" w:eastAsia="仿宋" w:cs="仿宋"/>
          <w:color w:val="auto"/>
          <w:sz w:val="32"/>
          <w:szCs w:val="32"/>
          <w:highlight w:val="none"/>
        </w:rPr>
        <w:t>需满足</w:t>
      </w:r>
      <w:r>
        <w:rPr>
          <w:rFonts w:hint="eastAsia" w:ascii="仿宋" w:hAnsi="仿宋" w:eastAsia="仿宋" w:cs="仿宋"/>
          <w:color w:val="auto"/>
          <w:sz w:val="32"/>
          <w:szCs w:val="32"/>
          <w:highlight w:val="none"/>
          <w:lang w:eastAsia="zh-CN"/>
        </w:rPr>
        <w:t>业主</w:t>
      </w:r>
      <w:r>
        <w:rPr>
          <w:rFonts w:hint="eastAsia" w:ascii="仿宋" w:hAnsi="仿宋" w:eastAsia="仿宋" w:cs="仿宋"/>
          <w:color w:val="auto"/>
          <w:sz w:val="32"/>
          <w:szCs w:val="32"/>
          <w:highlight w:val="none"/>
        </w:rPr>
        <w:t>调整需求。</w:t>
      </w:r>
    </w:p>
    <w:p>
      <w:pPr>
        <w:snapToGrid w:val="0"/>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5.合作方产品完成安装后，需以书面形式向业主提出申请并得到书面批准后方可投入使用。</w:t>
      </w:r>
    </w:p>
    <w:p>
      <w:pPr>
        <w:rPr>
          <w:color w:val="auto"/>
          <w:highlight w:val="none"/>
        </w:rPr>
      </w:pPr>
    </w:p>
    <w:p>
      <w:pPr>
        <w:pStyle w:val="5"/>
        <w:ind w:firstLine="0"/>
        <w:rPr>
          <w:color w:val="auto"/>
          <w:highlight w:val="none"/>
        </w:rPr>
      </w:pPr>
    </w:p>
    <w:p>
      <w:pPr>
        <w:pStyle w:val="5"/>
        <w:ind w:firstLine="0"/>
        <w:rPr>
          <w:color w:val="auto"/>
          <w:highlight w:val="none"/>
        </w:rPr>
      </w:pPr>
    </w:p>
    <w:p>
      <w:pPr>
        <w:pStyle w:val="5"/>
        <w:ind w:firstLine="0"/>
        <w:rPr>
          <w:color w:val="auto"/>
          <w:highlight w:val="none"/>
        </w:rPr>
      </w:pPr>
    </w:p>
    <w:p>
      <w:pPr>
        <w:pStyle w:val="5"/>
        <w:ind w:firstLine="0"/>
        <w:rPr>
          <w:color w:val="auto"/>
          <w:highlight w:val="none"/>
        </w:rPr>
      </w:pPr>
    </w:p>
    <w:p>
      <w:pPr>
        <w:pStyle w:val="5"/>
        <w:ind w:firstLine="0"/>
        <w:rPr>
          <w:color w:val="auto"/>
          <w:highlight w:val="none"/>
        </w:rPr>
      </w:pPr>
    </w:p>
    <w:p>
      <w:pPr>
        <w:pStyle w:val="5"/>
        <w:ind w:firstLine="0"/>
        <w:rPr>
          <w:color w:val="auto"/>
          <w:highlight w:val="none"/>
        </w:rPr>
      </w:pPr>
    </w:p>
    <w:p>
      <w:pPr>
        <w:pStyle w:val="5"/>
        <w:ind w:firstLine="0"/>
        <w:rPr>
          <w:color w:val="auto"/>
          <w:highlight w:val="none"/>
        </w:rPr>
      </w:pPr>
    </w:p>
    <w:p>
      <w:pPr>
        <w:pStyle w:val="5"/>
        <w:ind w:firstLine="0"/>
        <w:rPr>
          <w:color w:val="auto"/>
          <w:highlight w:val="none"/>
        </w:rPr>
      </w:pPr>
    </w:p>
    <w:p>
      <w:pPr>
        <w:pStyle w:val="5"/>
        <w:ind w:firstLine="0"/>
        <w:rPr>
          <w:color w:val="auto"/>
          <w:highlight w:val="none"/>
        </w:rPr>
      </w:pPr>
    </w:p>
    <w:p>
      <w:pPr>
        <w:pStyle w:val="8"/>
        <w:spacing w:line="600" w:lineRule="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pPr>
        <w:pStyle w:val="8"/>
        <w:spacing w:line="600" w:lineRule="auto"/>
        <w:jc w:val="center"/>
        <w:rPr>
          <w:rFonts w:hint="eastAsia" w:ascii="宋体" w:hAnsi="宋体"/>
          <w:b/>
          <w:color w:val="auto"/>
          <w:sz w:val="44"/>
          <w:szCs w:val="44"/>
          <w:highlight w:val="none"/>
          <w:lang w:val="en-US" w:eastAsia="zh-CN"/>
        </w:rPr>
      </w:pPr>
      <w:r>
        <w:rPr>
          <w:rFonts w:hint="eastAsia" w:ascii="宋体" w:hAnsi="宋体"/>
          <w:b/>
          <w:color w:val="auto"/>
          <w:sz w:val="44"/>
          <w:szCs w:val="44"/>
          <w:highlight w:val="none"/>
          <w:lang w:val="en-US" w:eastAsia="zh-CN"/>
        </w:rPr>
        <w:t>报名及资格预审文件清单</w:t>
      </w:r>
    </w:p>
    <w:tbl>
      <w:tblPr>
        <w:tblStyle w:val="19"/>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6"/>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4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具体</w:t>
            </w:r>
            <w:r>
              <w:rPr>
                <w:rFonts w:hint="eastAsia" w:ascii="仿宋" w:hAnsi="仿宋" w:eastAsia="仿宋" w:cs="仿宋"/>
                <w:b/>
                <w:bCs/>
                <w:color w:val="auto"/>
                <w:sz w:val="24"/>
                <w:szCs w:val="24"/>
                <w:highlight w:val="none"/>
              </w:rPr>
              <w:t>内容</w:t>
            </w:r>
          </w:p>
        </w:tc>
        <w:tc>
          <w:tcPr>
            <w:tcW w:w="1925" w:type="dxa"/>
            <w:tcBorders>
              <w:top w:val="single" w:color="auto" w:sz="4" w:space="0"/>
              <w:left w:val="single" w:color="auto" w:sz="4" w:space="0"/>
              <w:bottom w:val="single" w:color="auto" w:sz="4" w:space="0"/>
              <w:right w:val="single" w:color="auto" w:sz="4" w:space="0"/>
            </w:tcBorders>
            <w:vAlign w:val="center"/>
          </w:tcPr>
          <w:p>
            <w:pPr>
              <w:pStyle w:val="24"/>
              <w:keepNext w:val="0"/>
              <w:adjustRightInd/>
              <w:spacing w:before="0" w:after="0" w:line="240" w:lineRule="auto"/>
              <w:textAlignment w:val="auto"/>
              <w:rPr>
                <w:rFonts w:hint="eastAsia" w:ascii="仿宋" w:hAnsi="仿宋" w:eastAsia="仿宋" w:cs="仿宋"/>
                <w:b/>
                <w:bCs/>
                <w:snapToGrid/>
                <w:color w:val="auto"/>
                <w:spacing w:val="0"/>
                <w:kern w:val="2"/>
                <w:sz w:val="24"/>
                <w:szCs w:val="24"/>
                <w:highlight w:val="none"/>
              </w:rPr>
            </w:pPr>
            <w:r>
              <w:rPr>
                <w:rFonts w:hint="eastAsia" w:ascii="仿宋" w:hAnsi="仿宋" w:eastAsia="仿宋" w:cs="仿宋"/>
                <w:b/>
                <w:bCs/>
                <w:snapToGrid/>
                <w:color w:val="auto"/>
                <w:spacing w:val="0"/>
                <w:kern w:val="2"/>
                <w:sz w:val="24"/>
                <w:szCs w:val="24"/>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48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合作方提交《报名表》</w:t>
            </w:r>
          </w:p>
        </w:tc>
        <w:tc>
          <w:tcPr>
            <w:tcW w:w="192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848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法定代表人身份证复印件</w:t>
            </w:r>
          </w:p>
        </w:tc>
        <w:tc>
          <w:tcPr>
            <w:tcW w:w="192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848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《授权委托书》（含授权报名代表人的身份证复印件）</w:t>
            </w:r>
          </w:p>
        </w:tc>
        <w:tc>
          <w:tcPr>
            <w:tcW w:w="192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848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合作方提交《</w:t>
            </w:r>
            <w:r>
              <w:rPr>
                <w:rFonts w:hint="eastAsia" w:ascii="仿宋" w:hAnsi="仿宋" w:eastAsia="仿宋" w:cs="仿宋"/>
                <w:color w:val="auto"/>
                <w:sz w:val="24"/>
                <w:szCs w:val="24"/>
                <w:highlight w:val="none"/>
              </w:rPr>
              <w:t>营业执照副本复印件</w:t>
            </w:r>
            <w:r>
              <w:rPr>
                <w:rFonts w:hint="eastAsia" w:ascii="仿宋" w:hAnsi="仿宋" w:eastAsia="仿宋" w:cs="仿宋"/>
                <w:color w:val="auto"/>
                <w:sz w:val="24"/>
                <w:szCs w:val="24"/>
                <w:highlight w:val="none"/>
                <w:lang w:val="en-US" w:eastAsia="zh-CN"/>
              </w:rPr>
              <w:t>》</w:t>
            </w:r>
          </w:p>
        </w:tc>
        <w:tc>
          <w:tcPr>
            <w:tcW w:w="192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8" w:hRule="atLeast"/>
          <w:jc w:val="center"/>
        </w:trPr>
        <w:tc>
          <w:tcPr>
            <w:tcW w:w="848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所有的</w:t>
            </w:r>
            <w:r>
              <w:rPr>
                <w:rFonts w:hint="eastAsia" w:ascii="仿宋" w:hAnsi="仿宋" w:eastAsia="仿宋" w:cs="仿宋"/>
                <w:color w:val="auto"/>
                <w:sz w:val="24"/>
                <w:szCs w:val="24"/>
                <w:highlight w:val="none"/>
                <w:lang w:val="en-US" w:eastAsia="zh-CN"/>
              </w:rPr>
              <w:t>合作方</w:t>
            </w:r>
            <w:r>
              <w:rPr>
                <w:rFonts w:hint="eastAsia" w:ascii="仿宋" w:hAnsi="仿宋" w:eastAsia="仿宋" w:cs="仿宋"/>
                <w:color w:val="auto"/>
                <w:sz w:val="24"/>
                <w:szCs w:val="24"/>
                <w:highlight w:val="none"/>
              </w:rPr>
              <w:t>需在广东省机场管理集团有限公司招标、采购管理网络平台（http://wz.gdairport.com/）主页中“合作商注册”页面上的供应商注册页面，按规定格式填写正确的</w:t>
            </w:r>
            <w:r>
              <w:rPr>
                <w:rFonts w:hint="eastAsia" w:ascii="仿宋" w:hAnsi="仿宋" w:eastAsia="仿宋" w:cs="仿宋"/>
                <w:color w:val="auto"/>
                <w:sz w:val="24"/>
                <w:szCs w:val="24"/>
                <w:highlight w:val="none"/>
                <w:lang w:val="en-US" w:eastAsia="zh-CN"/>
              </w:rPr>
              <w:t>合作方</w:t>
            </w:r>
            <w:r>
              <w:rPr>
                <w:rFonts w:hint="eastAsia" w:ascii="仿宋" w:hAnsi="仿宋" w:eastAsia="仿宋" w:cs="仿宋"/>
                <w:color w:val="auto"/>
                <w:sz w:val="24"/>
                <w:szCs w:val="24"/>
                <w:highlight w:val="none"/>
              </w:rPr>
              <w:t>登记信息，登记为合格的候选</w:t>
            </w:r>
            <w:r>
              <w:rPr>
                <w:rFonts w:hint="eastAsia" w:ascii="仿宋" w:hAnsi="仿宋" w:eastAsia="仿宋" w:cs="仿宋"/>
                <w:color w:val="auto"/>
                <w:sz w:val="24"/>
                <w:szCs w:val="24"/>
                <w:highlight w:val="none"/>
                <w:lang w:val="en-US" w:eastAsia="zh-CN"/>
              </w:rPr>
              <w:t>合作方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合作方</w:t>
            </w:r>
            <w:r>
              <w:rPr>
                <w:rFonts w:hint="eastAsia" w:ascii="仿宋" w:hAnsi="仿宋" w:eastAsia="仿宋" w:cs="仿宋"/>
                <w:color w:val="auto"/>
                <w:sz w:val="24"/>
                <w:szCs w:val="24"/>
                <w:highlight w:val="none"/>
              </w:rPr>
              <w:t>须提交登录系统打印的合作商登记表并加盖公章）</w:t>
            </w:r>
          </w:p>
        </w:tc>
        <w:tc>
          <w:tcPr>
            <w:tcW w:w="192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848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2018年1月1日至今，</w:t>
            </w:r>
            <w:r>
              <w:rPr>
                <w:rFonts w:hint="eastAsia" w:ascii="仿宋" w:hAnsi="仿宋" w:eastAsia="仿宋" w:cs="仿宋"/>
                <w:color w:val="auto"/>
                <w:sz w:val="24"/>
                <w:szCs w:val="24"/>
                <w:highlight w:val="none"/>
                <w:lang w:eastAsia="zh-CN"/>
              </w:rPr>
              <w:t>合作方</w:t>
            </w:r>
            <w:r>
              <w:rPr>
                <w:rFonts w:hint="eastAsia" w:ascii="仿宋" w:hAnsi="仿宋" w:eastAsia="仿宋" w:cs="仿宋"/>
                <w:color w:val="auto"/>
                <w:sz w:val="24"/>
                <w:szCs w:val="24"/>
                <w:highlight w:val="none"/>
              </w:rPr>
              <w:t>没有因腐败或欺诈行为而被政府或业主宣布取消投标资格；同时，2018年1月1日至今</w:t>
            </w:r>
            <w:r>
              <w:rPr>
                <w:rFonts w:hint="eastAsia" w:ascii="仿宋" w:hAnsi="仿宋" w:eastAsia="仿宋" w:cs="仿宋"/>
                <w:color w:val="auto"/>
                <w:sz w:val="24"/>
                <w:szCs w:val="24"/>
                <w:highlight w:val="none"/>
                <w:lang w:eastAsia="zh-CN"/>
              </w:rPr>
              <w:t>合作方</w:t>
            </w:r>
            <w:r>
              <w:rPr>
                <w:rFonts w:hint="eastAsia" w:ascii="仿宋" w:hAnsi="仿宋" w:eastAsia="仿宋" w:cs="仿宋"/>
                <w:color w:val="auto"/>
                <w:sz w:val="24"/>
                <w:szCs w:val="24"/>
                <w:highlight w:val="none"/>
              </w:rPr>
              <w:t>（包括其关联公司）与</w:t>
            </w:r>
            <w:r>
              <w:rPr>
                <w:rFonts w:hint="eastAsia" w:ascii="仿宋" w:hAnsi="仿宋" w:eastAsia="仿宋" w:cs="仿宋"/>
                <w:color w:val="auto"/>
                <w:sz w:val="24"/>
                <w:szCs w:val="24"/>
                <w:highlight w:val="none"/>
                <w:lang w:eastAsia="zh-CN"/>
              </w:rPr>
              <w:t>业主</w:t>
            </w:r>
            <w:r>
              <w:rPr>
                <w:rFonts w:hint="eastAsia" w:ascii="仿宋" w:hAnsi="仿宋" w:eastAsia="仿宋" w:cs="仿宋"/>
                <w:color w:val="auto"/>
                <w:sz w:val="24"/>
                <w:szCs w:val="24"/>
                <w:highlight w:val="none"/>
              </w:rPr>
              <w:t>无发生各种诉讼、仲裁和不良投诉；截至公告发布日的上月最后一个自然日，</w:t>
            </w:r>
            <w:r>
              <w:rPr>
                <w:rFonts w:hint="eastAsia" w:ascii="仿宋" w:hAnsi="仿宋" w:eastAsia="仿宋" w:cs="仿宋"/>
                <w:color w:val="auto"/>
                <w:sz w:val="24"/>
                <w:szCs w:val="24"/>
                <w:highlight w:val="none"/>
                <w:lang w:eastAsia="zh-CN"/>
              </w:rPr>
              <w:t>合作方</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业主</w:t>
            </w:r>
            <w:r>
              <w:rPr>
                <w:rFonts w:hint="eastAsia" w:ascii="仿宋" w:hAnsi="仿宋" w:eastAsia="仿宋" w:cs="仿宋"/>
                <w:color w:val="auto"/>
                <w:sz w:val="24"/>
                <w:szCs w:val="24"/>
                <w:highlight w:val="none"/>
              </w:rPr>
              <w:t>不存在拖欠合同款项等行为。（须就此项内容提供承诺函并加盖报名人公章）</w:t>
            </w:r>
          </w:p>
        </w:tc>
        <w:tc>
          <w:tcPr>
            <w:tcW w:w="192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848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合作方</w:t>
            </w:r>
            <w:r>
              <w:rPr>
                <w:rFonts w:hint="eastAsia" w:ascii="仿宋" w:hAnsi="仿宋" w:eastAsia="仿宋" w:cs="仿宋"/>
                <w:color w:val="auto"/>
                <w:sz w:val="24"/>
                <w:szCs w:val="24"/>
                <w:highlight w:val="none"/>
              </w:rPr>
              <w:t>不得被列为“失信惩戒”，以“信用中国”网站（www.creditchina.gov.cn）查询为准，</w:t>
            </w:r>
            <w:r>
              <w:rPr>
                <w:rFonts w:hint="eastAsia" w:ascii="仿宋" w:hAnsi="仿宋" w:eastAsia="仿宋" w:cs="仿宋"/>
                <w:color w:val="auto"/>
                <w:sz w:val="24"/>
                <w:szCs w:val="24"/>
                <w:highlight w:val="none"/>
                <w:lang w:eastAsia="zh-CN"/>
              </w:rPr>
              <w:t>合作方</w:t>
            </w:r>
            <w:r>
              <w:rPr>
                <w:rFonts w:hint="eastAsia" w:ascii="仿宋" w:hAnsi="仿宋" w:eastAsia="仿宋" w:cs="仿宋"/>
                <w:color w:val="auto"/>
                <w:sz w:val="24"/>
                <w:szCs w:val="24"/>
                <w:highlight w:val="none"/>
              </w:rPr>
              <w:t>提供从“信用中国”网站截图“失信惩戒”页面并加盖公章（未按格式要求截图或截图信息不清晰将作认定为无效报名）</w:t>
            </w:r>
          </w:p>
        </w:tc>
        <w:tc>
          <w:tcPr>
            <w:tcW w:w="192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2" w:hRule="atLeast"/>
          <w:jc w:val="center"/>
        </w:trPr>
        <w:tc>
          <w:tcPr>
            <w:tcW w:w="848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合作方</w:t>
            </w:r>
            <w:r>
              <w:rPr>
                <w:rFonts w:hint="eastAsia" w:ascii="仿宋" w:hAnsi="仿宋" w:eastAsia="仿宋" w:cs="仿宋"/>
                <w:color w:val="auto"/>
                <w:sz w:val="24"/>
                <w:szCs w:val="24"/>
                <w:highlight w:val="none"/>
              </w:rPr>
              <w:t>不得被列为严重违法失信企业名单（黑名单），以“国家企业信用信息公示系统”网站（www.gsxt.gov.cn）查询为准，</w:t>
            </w:r>
            <w:r>
              <w:rPr>
                <w:rFonts w:hint="eastAsia" w:ascii="仿宋" w:hAnsi="仿宋" w:eastAsia="仿宋" w:cs="仿宋"/>
                <w:color w:val="auto"/>
                <w:sz w:val="24"/>
                <w:szCs w:val="24"/>
                <w:highlight w:val="none"/>
                <w:lang w:eastAsia="zh-CN"/>
              </w:rPr>
              <w:t>合作方</w:t>
            </w:r>
            <w:r>
              <w:rPr>
                <w:rFonts w:hint="eastAsia" w:ascii="仿宋" w:hAnsi="仿宋" w:eastAsia="仿宋" w:cs="仿宋"/>
                <w:color w:val="auto"/>
                <w:sz w:val="24"/>
                <w:szCs w:val="24"/>
                <w:highlight w:val="none"/>
              </w:rPr>
              <w:t>需在公告发布后从“国家企业信用信息公示系统”网站截图“列入严重违法失信企业名单（黑名单）信息”并加盖公章（未按格式要求截图或截图信息不清晰将作认定为无效报名）</w:t>
            </w:r>
          </w:p>
        </w:tc>
        <w:tc>
          <w:tcPr>
            <w:tcW w:w="192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8486"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合作方</w:t>
            </w:r>
            <w:r>
              <w:rPr>
                <w:rFonts w:hint="eastAsia" w:ascii="仿宋" w:hAnsi="仿宋" w:eastAsia="仿宋" w:cs="仿宋"/>
                <w:color w:val="auto"/>
                <w:sz w:val="24"/>
                <w:szCs w:val="24"/>
                <w:highlight w:val="none"/>
              </w:rPr>
              <w:t>不得被列入中国执行信息公开网（http://zxgk.court.gov.cn/）的全国法院失信被执行人名单，</w:t>
            </w:r>
            <w:r>
              <w:rPr>
                <w:rFonts w:hint="eastAsia" w:ascii="仿宋" w:hAnsi="仿宋" w:eastAsia="仿宋" w:cs="仿宋"/>
                <w:color w:val="auto"/>
                <w:sz w:val="24"/>
                <w:szCs w:val="24"/>
                <w:highlight w:val="none"/>
                <w:lang w:eastAsia="zh-CN"/>
              </w:rPr>
              <w:t>合作方</w:t>
            </w:r>
            <w:r>
              <w:rPr>
                <w:rFonts w:hint="eastAsia" w:ascii="仿宋" w:hAnsi="仿宋" w:eastAsia="仿宋" w:cs="仿宋"/>
                <w:color w:val="auto"/>
                <w:sz w:val="24"/>
                <w:szCs w:val="24"/>
                <w:highlight w:val="none"/>
              </w:rPr>
              <w:t>需在公告发布后从“中国执行信息公开网”网站截图并加盖公章</w:t>
            </w:r>
          </w:p>
        </w:tc>
        <w:tc>
          <w:tcPr>
            <w:tcW w:w="192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见文件第（）页</w:t>
            </w:r>
          </w:p>
        </w:tc>
      </w:tr>
    </w:tbl>
    <w:p>
      <w:pPr>
        <w:pStyle w:val="11"/>
        <w:ind w:firstLine="42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注：此表格格式和内容不得擅自变更。</w:t>
      </w:r>
    </w:p>
    <w:p>
      <w:pPr>
        <w:pStyle w:val="11"/>
        <w:ind w:firstLine="420"/>
        <w:rPr>
          <w:rFonts w:hint="eastAsia" w:ascii="仿宋" w:hAnsi="仿宋" w:eastAsia="仿宋" w:cs="仿宋"/>
          <w:b/>
          <w:bCs/>
          <w:color w:val="auto"/>
          <w:sz w:val="24"/>
          <w:szCs w:val="24"/>
          <w:highlight w:val="none"/>
        </w:rPr>
      </w:pPr>
    </w:p>
    <w:p>
      <w:pPr>
        <w:adjustRightInd w:val="0"/>
        <w:snapToGrid w:val="0"/>
        <w:spacing w:line="60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合作方</w:t>
      </w:r>
      <w:r>
        <w:rPr>
          <w:rFonts w:hint="eastAsia" w:ascii="仿宋" w:hAnsi="仿宋" w:eastAsia="仿宋" w:cs="仿宋"/>
          <w:color w:val="auto"/>
          <w:sz w:val="24"/>
          <w:szCs w:val="24"/>
          <w:highlight w:val="none"/>
        </w:rPr>
        <w:t>法定代表人（或法定代表人授权代表）签字或盖章：</w:t>
      </w:r>
      <w:r>
        <w:rPr>
          <w:rFonts w:hint="eastAsia" w:ascii="仿宋" w:hAnsi="仿宋" w:eastAsia="仿宋" w:cs="仿宋"/>
          <w:color w:val="auto"/>
          <w:sz w:val="24"/>
          <w:szCs w:val="24"/>
          <w:highlight w:val="none"/>
          <w:u w:val="single"/>
        </w:rPr>
        <w:t xml:space="preserve">               </w:t>
      </w:r>
    </w:p>
    <w:p>
      <w:pPr>
        <w:adjustRightInd w:val="0"/>
        <w:snapToGrid w:val="0"/>
        <w:spacing w:line="60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合作方</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pPr>
        <w:pStyle w:val="8"/>
        <w:spacing w:line="600" w:lineRule="auto"/>
        <w:rPr>
          <w:rFonts w:hint="eastAsia" w:ascii="仿宋" w:hAnsi="仿宋" w:eastAsia="仿宋" w:cs="仿宋"/>
          <w:color w:val="auto"/>
          <w:sz w:val="32"/>
          <w:szCs w:val="32"/>
          <w:highlight w:val="none"/>
          <w:lang w:val="en-US" w:eastAsia="zh-CN" w:bidi="ar-SA"/>
        </w:rPr>
      </w:pPr>
      <w:r>
        <w:rPr>
          <w:rFonts w:hint="eastAsia" w:ascii="仿宋" w:hAnsi="仿宋" w:eastAsia="仿宋" w:cs="仿宋"/>
          <w:color w:val="auto"/>
          <w:sz w:val="24"/>
          <w:szCs w:val="24"/>
          <w:highlight w:val="none"/>
        </w:rPr>
        <w:t>日期：     年     月     日</w:t>
      </w:r>
    </w:p>
    <w:p>
      <w:pPr>
        <w:widowControl/>
        <w:tabs>
          <w:tab w:val="left" w:pos="142"/>
        </w:tabs>
        <w:autoSpaceDE w:val="0"/>
        <w:autoSpaceDN w:val="0"/>
        <w:jc w:val="center"/>
        <w:textAlignment w:val="bottom"/>
        <w:rPr>
          <w:rFonts w:hint="eastAsia" w:ascii="宋体" w:hAnsi="宋体" w:cs="宋体"/>
          <w:b/>
          <w:color w:val="auto"/>
          <w:sz w:val="44"/>
          <w:szCs w:val="44"/>
          <w:highlight w:val="none"/>
        </w:rPr>
      </w:pPr>
    </w:p>
    <w:p>
      <w:pPr>
        <w:widowControl/>
        <w:tabs>
          <w:tab w:val="left" w:pos="142"/>
        </w:tabs>
        <w:autoSpaceDE w:val="0"/>
        <w:autoSpaceDN w:val="0"/>
        <w:jc w:val="center"/>
        <w:textAlignment w:val="bottom"/>
        <w:rPr>
          <w:rFonts w:hint="eastAsia" w:ascii="宋体" w:hAnsi="宋体" w:cs="宋体"/>
          <w:b/>
          <w:color w:val="auto"/>
          <w:sz w:val="44"/>
          <w:szCs w:val="44"/>
          <w:highlight w:val="none"/>
        </w:rPr>
      </w:pPr>
    </w:p>
    <w:p>
      <w:pPr>
        <w:widowControl/>
        <w:tabs>
          <w:tab w:val="left" w:pos="142"/>
        </w:tabs>
        <w:autoSpaceDE w:val="0"/>
        <w:autoSpaceDN w:val="0"/>
        <w:jc w:val="center"/>
        <w:textAlignment w:val="bottom"/>
        <w:rPr>
          <w:rFonts w:hint="eastAsia" w:ascii="宋体" w:hAnsi="宋体" w:cs="宋体"/>
          <w:b/>
          <w:color w:val="auto"/>
          <w:sz w:val="44"/>
          <w:szCs w:val="44"/>
          <w:highlight w:val="none"/>
        </w:rPr>
      </w:pPr>
    </w:p>
    <w:p>
      <w:pPr>
        <w:widowControl/>
        <w:tabs>
          <w:tab w:val="left" w:pos="142"/>
        </w:tabs>
        <w:autoSpaceDE w:val="0"/>
        <w:autoSpaceDN w:val="0"/>
        <w:jc w:val="center"/>
        <w:textAlignment w:val="bottom"/>
        <w:rPr>
          <w:rFonts w:hint="eastAsia" w:ascii="宋体" w:hAnsi="宋体" w:cs="宋体"/>
          <w:b/>
          <w:color w:val="auto"/>
          <w:sz w:val="44"/>
          <w:szCs w:val="44"/>
          <w:highlight w:val="none"/>
        </w:rPr>
      </w:pPr>
    </w:p>
    <w:p>
      <w:pPr>
        <w:widowControl/>
        <w:tabs>
          <w:tab w:val="left" w:pos="142"/>
        </w:tabs>
        <w:autoSpaceDE w:val="0"/>
        <w:autoSpaceDN w:val="0"/>
        <w:jc w:val="center"/>
        <w:textAlignment w:val="bottom"/>
        <w:rPr>
          <w:rFonts w:hint="eastAsia" w:ascii="宋体" w:hAnsi="宋体" w:cs="宋体"/>
          <w:b/>
          <w:color w:val="auto"/>
          <w:sz w:val="44"/>
          <w:szCs w:val="44"/>
          <w:highlight w:val="none"/>
        </w:rPr>
      </w:pPr>
    </w:p>
    <w:p>
      <w:pPr>
        <w:widowControl/>
        <w:tabs>
          <w:tab w:val="left" w:pos="142"/>
        </w:tabs>
        <w:autoSpaceDE w:val="0"/>
        <w:autoSpaceDN w:val="0"/>
        <w:jc w:val="center"/>
        <w:textAlignment w:val="bottom"/>
        <w:rPr>
          <w:rFonts w:hint="eastAsia" w:ascii="宋体" w:hAnsi="宋体" w:cs="宋体"/>
          <w:b/>
          <w:color w:val="auto"/>
          <w:sz w:val="44"/>
          <w:szCs w:val="44"/>
          <w:highlight w:val="none"/>
        </w:rPr>
      </w:pPr>
    </w:p>
    <w:p>
      <w:pPr>
        <w:widowControl/>
        <w:tabs>
          <w:tab w:val="left" w:pos="142"/>
        </w:tabs>
        <w:autoSpaceDE w:val="0"/>
        <w:autoSpaceDN w:val="0"/>
        <w:jc w:val="center"/>
        <w:textAlignment w:val="bottom"/>
        <w:rPr>
          <w:rFonts w:hint="eastAsia" w:ascii="宋体" w:hAnsi="宋体" w:cs="宋体"/>
          <w:b/>
          <w:color w:val="auto"/>
          <w:sz w:val="44"/>
          <w:szCs w:val="44"/>
          <w:highlight w:val="none"/>
        </w:rPr>
      </w:pPr>
    </w:p>
    <w:p>
      <w:pPr>
        <w:widowControl/>
        <w:tabs>
          <w:tab w:val="left" w:pos="142"/>
        </w:tabs>
        <w:autoSpaceDE w:val="0"/>
        <w:autoSpaceDN w:val="0"/>
        <w:jc w:val="center"/>
        <w:textAlignment w:val="bottom"/>
        <w:rPr>
          <w:rFonts w:hint="eastAsia" w:ascii="宋体" w:hAnsi="宋体" w:cs="宋体"/>
          <w:b/>
          <w:color w:val="auto"/>
          <w:sz w:val="44"/>
          <w:szCs w:val="44"/>
          <w:highlight w:val="none"/>
        </w:rPr>
      </w:pPr>
    </w:p>
    <w:p>
      <w:pPr>
        <w:widowControl/>
        <w:tabs>
          <w:tab w:val="left" w:pos="142"/>
        </w:tabs>
        <w:autoSpaceDE w:val="0"/>
        <w:autoSpaceDN w:val="0"/>
        <w:jc w:val="center"/>
        <w:textAlignment w:val="bottom"/>
        <w:rPr>
          <w:rFonts w:hint="eastAsia" w:ascii="宋体" w:hAnsi="宋体" w:cs="宋体"/>
          <w:b/>
          <w:color w:val="auto"/>
          <w:sz w:val="44"/>
          <w:szCs w:val="44"/>
          <w:highlight w:val="none"/>
        </w:rPr>
      </w:pPr>
    </w:p>
    <w:p>
      <w:pPr>
        <w:widowControl/>
        <w:tabs>
          <w:tab w:val="left" w:pos="142"/>
        </w:tabs>
        <w:autoSpaceDE w:val="0"/>
        <w:autoSpaceDN w:val="0"/>
        <w:jc w:val="center"/>
        <w:textAlignment w:val="bottom"/>
        <w:rPr>
          <w:rFonts w:hint="eastAsia" w:ascii="宋体" w:hAnsi="宋体" w:cs="宋体"/>
          <w:b/>
          <w:color w:val="auto"/>
          <w:sz w:val="44"/>
          <w:szCs w:val="44"/>
          <w:highlight w:val="none"/>
        </w:rPr>
      </w:pPr>
    </w:p>
    <w:p>
      <w:pPr>
        <w:widowControl/>
        <w:tabs>
          <w:tab w:val="left" w:pos="142"/>
        </w:tabs>
        <w:autoSpaceDE w:val="0"/>
        <w:autoSpaceDN w:val="0"/>
        <w:jc w:val="center"/>
        <w:textAlignment w:val="bottom"/>
        <w:rPr>
          <w:rFonts w:hint="eastAsia" w:ascii="宋体" w:hAnsi="宋体" w:cs="宋体"/>
          <w:b/>
          <w:color w:val="auto"/>
          <w:sz w:val="44"/>
          <w:szCs w:val="44"/>
          <w:highlight w:val="none"/>
        </w:rPr>
      </w:pPr>
    </w:p>
    <w:p>
      <w:pPr>
        <w:widowControl/>
        <w:tabs>
          <w:tab w:val="left" w:pos="142"/>
        </w:tabs>
        <w:autoSpaceDE w:val="0"/>
        <w:autoSpaceDN w:val="0"/>
        <w:jc w:val="center"/>
        <w:textAlignment w:val="bottom"/>
        <w:rPr>
          <w:rFonts w:hint="eastAsia" w:ascii="宋体" w:hAnsi="宋体" w:cs="宋体"/>
          <w:b/>
          <w:color w:val="auto"/>
          <w:sz w:val="44"/>
          <w:szCs w:val="44"/>
          <w:highlight w:val="none"/>
        </w:rPr>
      </w:pPr>
    </w:p>
    <w:p>
      <w:pPr>
        <w:widowControl/>
        <w:tabs>
          <w:tab w:val="left" w:pos="142"/>
        </w:tabs>
        <w:autoSpaceDE w:val="0"/>
        <w:autoSpaceDN w:val="0"/>
        <w:jc w:val="center"/>
        <w:textAlignment w:val="bottom"/>
        <w:rPr>
          <w:rFonts w:hint="eastAsia" w:ascii="宋体" w:hAnsi="宋体" w:cs="宋体"/>
          <w:b/>
          <w:color w:val="auto"/>
          <w:sz w:val="44"/>
          <w:szCs w:val="44"/>
          <w:highlight w:val="none"/>
        </w:rPr>
      </w:pPr>
    </w:p>
    <w:p>
      <w:pPr>
        <w:widowControl/>
        <w:tabs>
          <w:tab w:val="left" w:pos="142"/>
        </w:tabs>
        <w:autoSpaceDE w:val="0"/>
        <w:autoSpaceDN w:val="0"/>
        <w:jc w:val="center"/>
        <w:textAlignment w:val="bottom"/>
        <w:rPr>
          <w:rFonts w:hint="eastAsia" w:ascii="宋体" w:hAnsi="宋体" w:cs="宋体"/>
          <w:b/>
          <w:color w:val="auto"/>
          <w:sz w:val="44"/>
          <w:szCs w:val="44"/>
          <w:highlight w:val="none"/>
        </w:rPr>
      </w:pPr>
    </w:p>
    <w:p>
      <w:pPr>
        <w:widowControl/>
        <w:tabs>
          <w:tab w:val="left" w:pos="142"/>
        </w:tabs>
        <w:autoSpaceDE w:val="0"/>
        <w:autoSpaceDN w:val="0"/>
        <w:jc w:val="center"/>
        <w:textAlignment w:val="bottom"/>
        <w:rPr>
          <w:rFonts w:hint="eastAsia" w:ascii="宋体" w:hAnsi="宋体" w:cs="宋体"/>
          <w:b/>
          <w:color w:val="auto"/>
          <w:sz w:val="44"/>
          <w:szCs w:val="44"/>
          <w:highlight w:val="none"/>
        </w:rPr>
      </w:pPr>
    </w:p>
    <w:p>
      <w:pPr>
        <w:widowControl/>
        <w:tabs>
          <w:tab w:val="left" w:pos="142"/>
        </w:tabs>
        <w:autoSpaceDE w:val="0"/>
        <w:autoSpaceDN w:val="0"/>
        <w:jc w:val="center"/>
        <w:textAlignment w:val="bottom"/>
        <w:rPr>
          <w:rFonts w:hint="eastAsia" w:ascii="宋体" w:hAnsi="宋体" w:cs="宋体"/>
          <w:b/>
          <w:color w:val="auto"/>
          <w:sz w:val="44"/>
          <w:szCs w:val="44"/>
          <w:highlight w:val="none"/>
        </w:rPr>
      </w:pPr>
    </w:p>
    <w:p>
      <w:pPr>
        <w:widowControl/>
        <w:tabs>
          <w:tab w:val="left" w:pos="142"/>
        </w:tabs>
        <w:autoSpaceDE w:val="0"/>
        <w:autoSpaceDN w:val="0"/>
        <w:jc w:val="center"/>
        <w:textAlignment w:val="bottom"/>
        <w:rPr>
          <w:rFonts w:hint="eastAsia" w:ascii="宋体" w:hAnsi="宋体" w:eastAsia="宋体" w:cs="宋体"/>
          <w:b/>
          <w:color w:val="auto"/>
          <w:sz w:val="44"/>
          <w:szCs w:val="44"/>
          <w:highlight w:val="none"/>
          <w:lang w:val="en-US" w:eastAsia="zh-CN"/>
        </w:rPr>
      </w:pPr>
      <w:r>
        <w:rPr>
          <w:rFonts w:hint="eastAsia" w:ascii="宋体" w:hAnsi="宋体" w:cs="宋体"/>
          <w:b/>
          <w:color w:val="auto"/>
          <w:sz w:val="44"/>
          <w:szCs w:val="44"/>
          <w:highlight w:val="none"/>
        </w:rPr>
        <w:t xml:space="preserve">报 </w:t>
      </w:r>
      <w:r>
        <w:rPr>
          <w:rFonts w:hint="eastAsia" w:ascii="宋体" w:hAnsi="宋体" w:cs="宋体"/>
          <w:b/>
          <w:color w:val="auto"/>
          <w:sz w:val="44"/>
          <w:szCs w:val="44"/>
          <w:highlight w:val="none"/>
          <w:lang w:val="en-US" w:eastAsia="zh-CN"/>
        </w:rPr>
        <w:t>名</w:t>
      </w:r>
      <w:r>
        <w:rPr>
          <w:rFonts w:hint="eastAsia" w:ascii="宋体" w:hAnsi="宋体" w:cs="宋体"/>
          <w:b/>
          <w:color w:val="auto"/>
          <w:sz w:val="44"/>
          <w:szCs w:val="44"/>
          <w:highlight w:val="none"/>
        </w:rPr>
        <w:t xml:space="preserve"> </w:t>
      </w:r>
      <w:r>
        <w:rPr>
          <w:rFonts w:hint="eastAsia" w:ascii="宋体" w:hAnsi="宋体" w:cs="宋体"/>
          <w:b/>
          <w:color w:val="auto"/>
          <w:sz w:val="44"/>
          <w:szCs w:val="44"/>
          <w:highlight w:val="none"/>
          <w:lang w:val="en-US" w:eastAsia="zh-CN"/>
        </w:rPr>
        <w:t>表</w:t>
      </w:r>
    </w:p>
    <w:tbl>
      <w:tblPr>
        <w:tblStyle w:val="20"/>
        <w:tblpPr w:leftFromText="180" w:rightFromText="180" w:vertAnchor="text" w:horzAnchor="page" w:tblpX="1803" w:tblpY="6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9" w:type="dxa"/>
            <w:vAlign w:val="center"/>
          </w:tcPr>
          <w:p>
            <w:pPr>
              <w:widowControl/>
              <w:tabs>
                <w:tab w:val="left" w:pos="142"/>
              </w:tabs>
              <w:autoSpaceDE w:val="0"/>
              <w:autoSpaceDN w:val="0"/>
              <w:spacing w:line="288" w:lineRule="auto"/>
              <w:jc w:val="center"/>
              <w:textAlignment w:val="bottom"/>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项目名称</w:t>
            </w:r>
          </w:p>
        </w:tc>
        <w:tc>
          <w:tcPr>
            <w:tcW w:w="6413" w:type="dxa"/>
            <w:vAlign w:val="center"/>
          </w:tcPr>
          <w:p>
            <w:pPr>
              <w:widowControl/>
              <w:tabs>
                <w:tab w:val="left" w:pos="142"/>
              </w:tabs>
              <w:autoSpaceDE w:val="0"/>
              <w:autoSpaceDN w:val="0"/>
              <w:spacing w:line="288" w:lineRule="auto"/>
              <w:jc w:val="center"/>
              <w:textAlignment w:val="bottom"/>
              <w:rPr>
                <w:rFonts w:hint="eastAsia" w:ascii="仿宋" w:hAnsi="仿宋" w:eastAsia="仿宋" w:cs="仿宋"/>
                <w:color w:val="auto"/>
                <w:highlight w:val="none"/>
                <w:vertAlign w:val="baseline"/>
              </w:rPr>
            </w:pPr>
            <w:r>
              <w:rPr>
                <w:rFonts w:hint="eastAsia" w:ascii="仿宋" w:hAnsi="仿宋" w:eastAsia="仿宋" w:cs="仿宋"/>
                <w:color w:val="auto"/>
                <w:highlight w:val="none"/>
                <w:vertAlign w:val="baseline"/>
              </w:rPr>
              <w:t>广州白云国际机场一号航站楼公共直饮水机提质升级项目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9" w:type="dxa"/>
            <w:vAlign w:val="center"/>
          </w:tcPr>
          <w:p>
            <w:pPr>
              <w:widowControl/>
              <w:tabs>
                <w:tab w:val="left" w:pos="142"/>
              </w:tabs>
              <w:autoSpaceDE w:val="0"/>
              <w:autoSpaceDN w:val="0"/>
              <w:spacing w:line="288" w:lineRule="auto"/>
              <w:jc w:val="center"/>
              <w:textAlignment w:val="bottom"/>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合作方名称</w:t>
            </w:r>
          </w:p>
        </w:tc>
        <w:tc>
          <w:tcPr>
            <w:tcW w:w="6413" w:type="dxa"/>
            <w:vAlign w:val="center"/>
          </w:tcPr>
          <w:p>
            <w:pPr>
              <w:widowControl/>
              <w:tabs>
                <w:tab w:val="left" w:pos="142"/>
              </w:tabs>
              <w:autoSpaceDE w:val="0"/>
              <w:autoSpaceDN w:val="0"/>
              <w:spacing w:line="288" w:lineRule="auto"/>
              <w:jc w:val="center"/>
              <w:textAlignment w:val="bottom"/>
              <w:rPr>
                <w:rFonts w:hint="eastAsia" w:ascii="仿宋" w:hAnsi="仿宋" w:eastAsia="仿宋" w:cs="仿宋"/>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9" w:type="dxa"/>
            <w:vAlign w:val="center"/>
          </w:tcPr>
          <w:p>
            <w:pPr>
              <w:widowControl/>
              <w:tabs>
                <w:tab w:val="left" w:pos="142"/>
              </w:tabs>
              <w:autoSpaceDE w:val="0"/>
              <w:autoSpaceDN w:val="0"/>
              <w:spacing w:line="288" w:lineRule="auto"/>
              <w:jc w:val="center"/>
              <w:textAlignment w:val="bottom"/>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合作方地址</w:t>
            </w:r>
          </w:p>
        </w:tc>
        <w:tc>
          <w:tcPr>
            <w:tcW w:w="6413" w:type="dxa"/>
            <w:vAlign w:val="center"/>
          </w:tcPr>
          <w:p>
            <w:pPr>
              <w:widowControl/>
              <w:tabs>
                <w:tab w:val="left" w:pos="142"/>
              </w:tabs>
              <w:autoSpaceDE w:val="0"/>
              <w:autoSpaceDN w:val="0"/>
              <w:spacing w:line="288" w:lineRule="auto"/>
              <w:jc w:val="center"/>
              <w:textAlignment w:val="bottom"/>
              <w:rPr>
                <w:rFonts w:hint="eastAsia" w:ascii="仿宋" w:hAnsi="仿宋" w:eastAsia="仿宋" w:cs="仿宋"/>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9" w:type="dxa"/>
            <w:vAlign w:val="center"/>
          </w:tcPr>
          <w:p>
            <w:pPr>
              <w:widowControl/>
              <w:tabs>
                <w:tab w:val="left" w:pos="142"/>
              </w:tabs>
              <w:autoSpaceDE w:val="0"/>
              <w:autoSpaceDN w:val="0"/>
              <w:spacing w:line="288" w:lineRule="auto"/>
              <w:jc w:val="center"/>
              <w:textAlignment w:val="bottom"/>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法定代表人姓名</w:t>
            </w:r>
          </w:p>
        </w:tc>
        <w:tc>
          <w:tcPr>
            <w:tcW w:w="6413" w:type="dxa"/>
            <w:vAlign w:val="center"/>
          </w:tcPr>
          <w:p>
            <w:pPr>
              <w:widowControl/>
              <w:tabs>
                <w:tab w:val="left" w:pos="142"/>
              </w:tabs>
              <w:autoSpaceDE w:val="0"/>
              <w:autoSpaceDN w:val="0"/>
              <w:spacing w:line="288" w:lineRule="auto"/>
              <w:jc w:val="center"/>
              <w:textAlignment w:val="bottom"/>
              <w:rPr>
                <w:rFonts w:hint="eastAsia" w:ascii="仿宋" w:hAnsi="仿宋" w:eastAsia="仿宋" w:cs="仿宋"/>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9" w:type="dxa"/>
            <w:vAlign w:val="center"/>
          </w:tcPr>
          <w:p>
            <w:pPr>
              <w:widowControl/>
              <w:tabs>
                <w:tab w:val="left" w:pos="142"/>
              </w:tabs>
              <w:autoSpaceDE w:val="0"/>
              <w:autoSpaceDN w:val="0"/>
              <w:spacing w:line="288" w:lineRule="auto"/>
              <w:jc w:val="center"/>
              <w:textAlignment w:val="bottom"/>
              <w:rPr>
                <w:rFonts w:hint="eastAsia" w:ascii="仿宋" w:hAnsi="仿宋" w:eastAsia="仿宋" w:cs="仿宋"/>
                <w:color w:val="auto"/>
                <w:sz w:val="24"/>
                <w:szCs w:val="24"/>
                <w:highlight w:val="none"/>
                <w:vertAlign w:val="baseline"/>
                <w:lang w:val="en-US" w:eastAsia="zh-CN" w:bidi="ar-SA"/>
              </w:rPr>
            </w:pPr>
            <w:r>
              <w:rPr>
                <w:rFonts w:hint="eastAsia" w:ascii="仿宋" w:hAnsi="仿宋" w:eastAsia="仿宋" w:cs="仿宋"/>
                <w:color w:val="auto"/>
                <w:highlight w:val="none"/>
                <w:vertAlign w:val="baseline"/>
                <w:lang w:val="en-US" w:eastAsia="zh-CN"/>
              </w:rPr>
              <w:t>授权代表姓名</w:t>
            </w:r>
          </w:p>
        </w:tc>
        <w:tc>
          <w:tcPr>
            <w:tcW w:w="6413" w:type="dxa"/>
            <w:vAlign w:val="center"/>
          </w:tcPr>
          <w:p>
            <w:pPr>
              <w:widowControl/>
              <w:tabs>
                <w:tab w:val="left" w:pos="142"/>
              </w:tabs>
              <w:autoSpaceDE w:val="0"/>
              <w:autoSpaceDN w:val="0"/>
              <w:spacing w:line="288" w:lineRule="auto"/>
              <w:jc w:val="center"/>
              <w:textAlignment w:val="bottom"/>
              <w:rPr>
                <w:rFonts w:hint="eastAsia" w:ascii="仿宋" w:hAnsi="仿宋" w:eastAsia="仿宋" w:cs="仿宋"/>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9" w:type="dxa"/>
            <w:vAlign w:val="center"/>
          </w:tcPr>
          <w:p>
            <w:pPr>
              <w:widowControl/>
              <w:tabs>
                <w:tab w:val="left" w:pos="142"/>
              </w:tabs>
              <w:autoSpaceDE w:val="0"/>
              <w:autoSpaceDN w:val="0"/>
              <w:spacing w:line="288" w:lineRule="auto"/>
              <w:jc w:val="center"/>
              <w:textAlignment w:val="bottom"/>
              <w:rPr>
                <w:rFonts w:hint="eastAsia" w:ascii="仿宋" w:hAnsi="仿宋" w:eastAsia="仿宋" w:cs="仿宋"/>
                <w:color w:val="auto"/>
                <w:sz w:val="24"/>
                <w:szCs w:val="24"/>
                <w:highlight w:val="none"/>
                <w:vertAlign w:val="baseline"/>
                <w:lang w:val="en-US" w:eastAsia="zh-CN" w:bidi="ar-SA"/>
              </w:rPr>
            </w:pPr>
            <w:r>
              <w:rPr>
                <w:rFonts w:hint="eastAsia" w:ascii="仿宋" w:hAnsi="仿宋" w:eastAsia="仿宋" w:cs="仿宋"/>
                <w:color w:val="auto"/>
                <w:highlight w:val="none"/>
                <w:vertAlign w:val="baseline"/>
                <w:lang w:val="en-US" w:eastAsia="zh-CN"/>
              </w:rPr>
              <w:t>联系人姓名</w:t>
            </w:r>
          </w:p>
        </w:tc>
        <w:tc>
          <w:tcPr>
            <w:tcW w:w="6413" w:type="dxa"/>
            <w:vAlign w:val="center"/>
          </w:tcPr>
          <w:p>
            <w:pPr>
              <w:widowControl/>
              <w:tabs>
                <w:tab w:val="left" w:pos="142"/>
              </w:tabs>
              <w:autoSpaceDE w:val="0"/>
              <w:autoSpaceDN w:val="0"/>
              <w:spacing w:line="288" w:lineRule="auto"/>
              <w:jc w:val="center"/>
              <w:textAlignment w:val="bottom"/>
              <w:rPr>
                <w:rFonts w:hint="eastAsia" w:ascii="仿宋" w:hAnsi="仿宋" w:eastAsia="仿宋" w:cs="仿宋"/>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09" w:type="dxa"/>
            <w:vAlign w:val="center"/>
          </w:tcPr>
          <w:p>
            <w:pPr>
              <w:widowControl/>
              <w:tabs>
                <w:tab w:val="left" w:pos="142"/>
              </w:tabs>
              <w:autoSpaceDE w:val="0"/>
              <w:autoSpaceDN w:val="0"/>
              <w:spacing w:line="288" w:lineRule="auto"/>
              <w:jc w:val="center"/>
              <w:textAlignment w:val="bottom"/>
              <w:rPr>
                <w:rFonts w:hint="eastAsia" w:ascii="仿宋" w:hAnsi="仿宋" w:eastAsia="仿宋" w:cs="仿宋"/>
                <w:color w:val="auto"/>
                <w:sz w:val="24"/>
                <w:szCs w:val="24"/>
                <w:highlight w:val="none"/>
                <w:vertAlign w:val="baseline"/>
                <w:lang w:val="en-US" w:eastAsia="zh-CN" w:bidi="ar-SA"/>
              </w:rPr>
            </w:pPr>
            <w:r>
              <w:rPr>
                <w:rFonts w:hint="eastAsia" w:ascii="仿宋" w:hAnsi="仿宋" w:eastAsia="仿宋" w:cs="仿宋"/>
                <w:color w:val="auto"/>
                <w:highlight w:val="none"/>
                <w:vertAlign w:val="baseline"/>
                <w:lang w:val="en-US" w:eastAsia="zh-CN"/>
              </w:rPr>
              <w:t>联系电话</w:t>
            </w:r>
          </w:p>
        </w:tc>
        <w:tc>
          <w:tcPr>
            <w:tcW w:w="6413" w:type="dxa"/>
            <w:vAlign w:val="center"/>
          </w:tcPr>
          <w:p>
            <w:pPr>
              <w:widowControl/>
              <w:tabs>
                <w:tab w:val="left" w:pos="142"/>
              </w:tabs>
              <w:autoSpaceDE w:val="0"/>
              <w:autoSpaceDN w:val="0"/>
              <w:spacing w:line="288" w:lineRule="auto"/>
              <w:jc w:val="center"/>
              <w:textAlignment w:val="bottom"/>
              <w:rPr>
                <w:rFonts w:hint="eastAsia" w:ascii="仿宋" w:hAnsi="仿宋" w:eastAsia="仿宋" w:cs="仿宋"/>
                <w:color w:val="auto"/>
                <w:highlight w:val="none"/>
                <w:vertAlign w:val="baseline"/>
              </w:rPr>
            </w:pPr>
          </w:p>
        </w:tc>
      </w:tr>
    </w:tbl>
    <w:p>
      <w:pPr>
        <w:widowControl/>
        <w:tabs>
          <w:tab w:val="left" w:pos="142"/>
        </w:tabs>
        <w:autoSpaceDE w:val="0"/>
        <w:autoSpaceDN w:val="0"/>
        <w:jc w:val="center"/>
        <w:textAlignment w:val="bottom"/>
        <w:rPr>
          <w:rFonts w:hint="eastAsia" w:ascii="仿宋" w:hAnsi="仿宋" w:eastAsia="仿宋" w:cs="仿宋"/>
          <w:color w:val="auto"/>
          <w:sz w:val="32"/>
          <w:szCs w:val="32"/>
          <w:highlight w:val="none"/>
        </w:rPr>
      </w:pPr>
    </w:p>
    <w:p>
      <w:pPr>
        <w:widowControl/>
        <w:tabs>
          <w:tab w:val="left" w:pos="142"/>
        </w:tabs>
        <w:autoSpaceDE w:val="0"/>
        <w:autoSpaceDN w:val="0"/>
        <w:spacing w:line="288" w:lineRule="auto"/>
        <w:textAlignment w:val="bottom"/>
        <w:rPr>
          <w:rFonts w:hint="eastAsia" w:ascii="仿宋" w:hAnsi="仿宋" w:eastAsia="仿宋" w:cs="仿宋"/>
          <w:color w:val="auto"/>
          <w:highlight w:val="none"/>
        </w:rPr>
      </w:pPr>
    </w:p>
    <w:p>
      <w:pPr>
        <w:widowControl/>
        <w:tabs>
          <w:tab w:val="left" w:pos="142"/>
        </w:tabs>
        <w:autoSpaceDE w:val="0"/>
        <w:autoSpaceDN w:val="0"/>
        <w:spacing w:line="288" w:lineRule="auto"/>
        <w:textAlignment w:val="bottom"/>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highlight w:val="none"/>
          <w:vertAlign w:val="baseline"/>
          <w:lang w:val="en-US" w:eastAsia="zh-CN"/>
        </w:rPr>
        <w:t>合作方</w:t>
      </w:r>
      <w:r>
        <w:rPr>
          <w:rFonts w:hint="eastAsia" w:ascii="仿宋" w:hAnsi="仿宋" w:eastAsia="仿宋" w:cs="仿宋"/>
          <w:color w:val="auto"/>
          <w:highlight w:val="none"/>
        </w:rPr>
        <w:t xml:space="preserve">名称：（公章）  </w:t>
      </w:r>
      <w:r>
        <w:rPr>
          <w:rFonts w:hint="eastAsia" w:ascii="仿宋" w:hAnsi="仿宋" w:eastAsia="仿宋" w:cs="仿宋"/>
          <w:color w:val="auto"/>
          <w:highlight w:val="non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p>
    <w:p>
      <w:pPr>
        <w:widowControl/>
        <w:tabs>
          <w:tab w:val="left" w:pos="142"/>
        </w:tabs>
        <w:autoSpaceDE w:val="0"/>
        <w:autoSpaceDN w:val="0"/>
        <w:spacing w:line="288" w:lineRule="auto"/>
        <w:textAlignment w:val="bottom"/>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widowControl/>
        <w:tabs>
          <w:tab w:val="left" w:pos="142"/>
        </w:tabs>
        <w:autoSpaceDE w:val="0"/>
        <w:autoSpaceDN w:val="0"/>
        <w:spacing w:line="288" w:lineRule="auto"/>
        <w:textAlignment w:val="bottom"/>
        <w:rPr>
          <w:rFonts w:hint="eastAsia" w:ascii="仿宋" w:hAnsi="仿宋" w:eastAsia="仿宋" w:cs="仿宋"/>
          <w:color w:val="auto"/>
          <w:highlight w:val="none"/>
        </w:rPr>
      </w:pPr>
      <w:r>
        <w:rPr>
          <w:rFonts w:hint="eastAsia" w:ascii="仿宋" w:hAnsi="仿宋" w:eastAsia="仿宋" w:cs="仿宋"/>
          <w:color w:val="auto"/>
          <w:highlight w:val="none"/>
        </w:rPr>
        <w:t xml:space="preserve">            法定代表人或授权代表签名： </w:t>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p>
    <w:p>
      <w:pPr>
        <w:widowControl/>
        <w:tabs>
          <w:tab w:val="left" w:pos="142"/>
        </w:tabs>
        <w:autoSpaceDE w:val="0"/>
        <w:autoSpaceDN w:val="0"/>
        <w:spacing w:line="288" w:lineRule="auto"/>
        <w:textAlignment w:val="bottom"/>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widowControl/>
        <w:tabs>
          <w:tab w:val="left" w:pos="142"/>
        </w:tabs>
        <w:autoSpaceDE w:val="0"/>
        <w:autoSpaceDN w:val="0"/>
        <w:spacing w:line="288" w:lineRule="auto"/>
        <w:textAlignment w:val="bottom"/>
        <w:rPr>
          <w:rFonts w:hint="eastAsia" w:ascii="仿宋" w:hAnsi="仿宋" w:eastAsia="仿宋" w:cs="仿宋"/>
          <w:color w:val="auto"/>
          <w:highlight w:val="none"/>
          <w:u w:val="single"/>
        </w:rPr>
      </w:pP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日期： </w:t>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r>
        <w:rPr>
          <w:rFonts w:hint="eastAsia" w:ascii="仿宋" w:hAnsi="仿宋" w:eastAsia="仿宋" w:cs="仿宋"/>
          <w:color w:val="auto"/>
          <w:highlight w:val="none"/>
          <w:u w:val="single"/>
        </w:rPr>
        <w:tab/>
      </w:r>
    </w:p>
    <w:p>
      <w:pPr>
        <w:pStyle w:val="8"/>
        <w:spacing w:line="600" w:lineRule="auto"/>
        <w:rPr>
          <w:rFonts w:hint="eastAsia" w:ascii="仿宋" w:hAnsi="仿宋" w:eastAsia="仿宋" w:cs="仿宋"/>
          <w:b/>
          <w:bCs/>
          <w:color w:val="auto"/>
          <w:kern w:val="44"/>
          <w:sz w:val="24"/>
          <w:szCs w:val="44"/>
          <w:highlight w:val="none"/>
          <w:lang w:val="en-US" w:eastAsia="zh-CN" w:bidi="ar-SA"/>
        </w:rPr>
      </w:pPr>
      <w:r>
        <w:rPr>
          <w:rFonts w:hint="eastAsia" w:ascii="仿宋" w:hAnsi="仿宋" w:eastAsia="仿宋" w:cs="仿宋"/>
          <w:color w:val="auto"/>
          <w:highlight w:val="none"/>
          <w:u w:val="single"/>
        </w:rPr>
        <w:br w:type="page"/>
      </w:r>
    </w:p>
    <w:p>
      <w:pPr>
        <w:wordWrap w:val="0"/>
        <w:snapToGrid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法定代表人证明书</w:t>
      </w:r>
    </w:p>
    <w:p>
      <w:pPr>
        <w:wordWrap w:val="0"/>
        <w:spacing w:before="156" w:beforeLines="50"/>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现任我单位</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职务，为法定代表人（负责人），特此证明。</w:t>
      </w:r>
    </w:p>
    <w:p>
      <w:pPr>
        <w:wordWrap w:val="0"/>
        <w:snapToGrid w:val="0"/>
        <w:spacing w:line="480" w:lineRule="atLeas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有效期限：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签发日期：</w:t>
      </w:r>
      <w:r>
        <w:rPr>
          <w:rFonts w:hint="eastAsia" w:ascii="仿宋" w:hAnsi="仿宋" w:eastAsia="仿宋" w:cs="仿宋"/>
          <w:color w:val="auto"/>
          <w:szCs w:val="21"/>
          <w:highlight w:val="none"/>
          <w:u w:val="single"/>
        </w:rPr>
        <w:t xml:space="preserve">                </w:t>
      </w:r>
    </w:p>
    <w:p>
      <w:pPr>
        <w:wordWrap w:val="0"/>
        <w:snapToGrid w:val="0"/>
        <w:spacing w:line="480" w:lineRule="atLeast"/>
        <w:ind w:firstLine="48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附：法定代表人（负责人）性别：</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年龄：</w:t>
      </w:r>
      <w:r>
        <w:rPr>
          <w:rFonts w:hint="eastAsia" w:ascii="仿宋" w:hAnsi="仿宋" w:eastAsia="仿宋" w:cs="仿宋"/>
          <w:color w:val="auto"/>
          <w:szCs w:val="21"/>
          <w:highlight w:val="none"/>
          <w:u w:val="single"/>
        </w:rPr>
        <w:t>　 　</w:t>
      </w:r>
    </w:p>
    <w:p>
      <w:pPr>
        <w:wordWrap w:val="0"/>
        <w:snapToGrid w:val="0"/>
        <w:spacing w:line="480" w:lineRule="atLeast"/>
        <w:ind w:firstLine="960" w:firstLineChars="400"/>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rPr>
        <w:t>身份证号码：</w:t>
      </w:r>
    </w:p>
    <w:p>
      <w:pPr>
        <w:wordWrap w:val="0"/>
        <w:snapToGrid w:val="0"/>
        <w:spacing w:line="480" w:lineRule="atLeast"/>
        <w:ind w:firstLine="96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注册号码：</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 xml:space="preserve"> 企业类型：</w:t>
      </w:r>
      <w:r>
        <w:rPr>
          <w:rFonts w:hint="eastAsia" w:ascii="仿宋" w:hAnsi="仿宋" w:eastAsia="仿宋" w:cs="仿宋"/>
          <w:color w:val="auto"/>
          <w:szCs w:val="21"/>
          <w:highlight w:val="none"/>
          <w:u w:val="single"/>
        </w:rPr>
        <w:t xml:space="preserve">　                </w:t>
      </w:r>
    </w:p>
    <w:p>
      <w:pPr>
        <w:wordWrap w:val="0"/>
        <w:snapToGrid w:val="0"/>
        <w:spacing w:line="480" w:lineRule="atLeast"/>
        <w:ind w:firstLine="96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经营范围：</w:t>
      </w:r>
    </w:p>
    <w:p>
      <w:pPr>
        <w:wordWrap w:val="0"/>
        <w:snapToGrid w:val="0"/>
        <w:spacing w:line="480" w:lineRule="atLeast"/>
        <w:ind w:firstLine="96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w:t>
      </w:r>
    </w:p>
    <w:p>
      <w:pPr>
        <w:wordWrap w:val="0"/>
        <w:snapToGrid w:val="0"/>
        <w:spacing w:line="480" w:lineRule="atLeast"/>
        <w:ind w:firstLine="96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w:t>
      </w:r>
    </w:p>
    <w:p>
      <w:pPr>
        <w:wordWrap w:val="0"/>
        <w:snapToGrid w:val="0"/>
        <w:spacing w:line="480" w:lineRule="atLeast"/>
        <w:ind w:firstLine="96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w:t>
      </w:r>
    </w:p>
    <w:p>
      <w:pPr>
        <w:wordWrap w:val="0"/>
        <w:snapToGrid w:val="0"/>
        <w:spacing w:line="480" w:lineRule="atLeast"/>
        <w:ind w:firstLine="96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w:t>
      </w:r>
    </w:p>
    <w:p>
      <w:pPr>
        <w:wordWrap w:val="0"/>
        <w:snapToGrid w:val="0"/>
        <w:spacing w:line="480" w:lineRule="atLeast"/>
        <w:ind w:firstLine="960" w:firstLineChars="4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w:t>
      </w:r>
    </w:p>
    <w:p>
      <w:pPr>
        <w:wordWrap w:val="0"/>
        <w:snapToGrid w:val="0"/>
        <w:spacing w:line="480" w:lineRule="atLeast"/>
        <w:ind w:firstLine="960" w:firstLineChars="400"/>
        <w:rPr>
          <w:rFonts w:hint="eastAsia" w:ascii="仿宋" w:hAnsi="仿宋" w:eastAsia="仿宋" w:cs="仿宋"/>
          <w:color w:val="auto"/>
          <w:szCs w:val="21"/>
          <w:highlight w:val="none"/>
        </w:rPr>
      </w:pPr>
    </w:p>
    <w:p>
      <w:pPr>
        <w:wordWrap w:val="0"/>
        <w:snapToGrid w:val="0"/>
        <w:spacing w:line="480" w:lineRule="atLeast"/>
        <w:ind w:firstLine="960" w:firstLineChars="400"/>
        <w:rPr>
          <w:rFonts w:hint="eastAsia" w:ascii="仿宋" w:hAnsi="仿宋" w:eastAsia="仿宋" w:cs="仿宋"/>
          <w:bCs/>
          <w:color w:val="auto"/>
          <w:szCs w:val="21"/>
          <w:highlight w:val="none"/>
          <w:u w:val="single"/>
        </w:rPr>
      </w:pPr>
      <w:r>
        <w:rPr>
          <w:rFonts w:hint="eastAsia" w:ascii="仿宋" w:hAnsi="仿宋" w:eastAsia="仿宋" w:cs="仿宋"/>
          <w:color w:val="auto"/>
          <w:szCs w:val="21"/>
          <w:highlight w:val="none"/>
        </w:rPr>
        <w:t>单位：（盖公章）</w:t>
      </w:r>
      <w:r>
        <w:rPr>
          <w:rFonts w:hint="eastAsia" w:ascii="仿宋" w:hAnsi="仿宋" w:eastAsia="仿宋" w:cs="仿宋"/>
          <w:bCs/>
          <w:color w:val="auto"/>
          <w:szCs w:val="21"/>
          <w:highlight w:val="none"/>
          <w:u w:val="single"/>
        </w:rPr>
        <w:t xml:space="preserve">                                              </w:t>
      </w:r>
    </w:p>
    <w:p>
      <w:pPr>
        <w:wordWrap w:val="0"/>
        <w:snapToGrid w:val="0"/>
        <w:spacing w:line="480" w:lineRule="atLeast"/>
        <w:ind w:firstLine="960" w:firstLineChars="400"/>
        <w:rPr>
          <w:rFonts w:hint="eastAsia" w:ascii="仿宋" w:hAnsi="仿宋" w:eastAsia="仿宋" w:cs="仿宋"/>
          <w:bCs/>
          <w:color w:val="auto"/>
          <w:szCs w:val="21"/>
          <w:highlight w:val="none"/>
          <w:u w:val="single"/>
        </w:rPr>
      </w:pPr>
    </w:p>
    <w:p>
      <w:pPr>
        <w:wordWrap w:val="0"/>
        <w:snapToGrid w:val="0"/>
        <w:spacing w:line="480" w:lineRule="atLeast"/>
        <w:ind w:firstLine="96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pPr>
        <w:wordWrap w:val="0"/>
        <w:ind w:left="840"/>
        <w:rPr>
          <w:rFonts w:hint="eastAsia" w:ascii="仿宋" w:hAnsi="仿宋" w:eastAsia="仿宋" w:cs="仿宋"/>
          <w:color w:val="auto"/>
          <w:szCs w:val="21"/>
          <w:highlight w:val="none"/>
        </w:rPr>
      </w:pPr>
    </w:p>
    <w:p>
      <w:pPr>
        <w:wordWrap w:val="0"/>
        <w:ind w:left="840"/>
        <w:rPr>
          <w:rFonts w:hint="eastAsia" w:ascii="仿宋" w:hAnsi="仿宋" w:eastAsia="仿宋" w:cs="仿宋"/>
          <w:color w:val="auto"/>
          <w:szCs w:val="21"/>
          <w:highlight w:val="none"/>
        </w:rPr>
      </w:pPr>
    </w:p>
    <w:p>
      <w:pPr>
        <w:tabs>
          <w:tab w:val="left" w:pos="7740"/>
        </w:tabs>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附：法定代表人身份证复印件 </w:t>
      </w:r>
    </w:p>
    <w:p>
      <w:pPr>
        <w:ind w:left="840"/>
        <w:rPr>
          <w:rFonts w:hint="eastAsia" w:ascii="仿宋" w:hAnsi="仿宋" w:eastAsia="仿宋" w:cs="仿宋"/>
          <w:color w:val="auto"/>
          <w:sz w:val="24"/>
          <w:highlight w:val="none"/>
        </w:rPr>
      </w:pPr>
    </w:p>
    <w:tbl>
      <w:tblPr>
        <w:tblStyle w:val="19"/>
        <w:tblW w:w="85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7" w:hRule="atLeast"/>
        </w:trPr>
        <w:tc>
          <w:tcPr>
            <w:tcW w:w="8577" w:type="dxa"/>
            <w:noWrap w:val="0"/>
            <w:vAlign w:val="top"/>
          </w:tcPr>
          <w:p>
            <w:pPr>
              <w:wordWrap w:val="0"/>
              <w:snapToGrid w:val="0"/>
              <w:spacing w:line="480" w:lineRule="atLeast"/>
              <w:rPr>
                <w:rFonts w:hint="eastAsia" w:ascii="宋体" w:hAnsi="宋体" w:cs="宋体"/>
                <w:color w:val="auto"/>
                <w:szCs w:val="21"/>
                <w:highlight w:val="none"/>
              </w:rPr>
            </w:pPr>
          </w:p>
        </w:tc>
      </w:tr>
    </w:tbl>
    <w:p>
      <w:pPr>
        <w:spacing w:line="360" w:lineRule="auto"/>
        <w:ind w:left="485" w:leftChars="202"/>
        <w:jc w:val="center"/>
        <w:rPr>
          <w:rFonts w:hint="eastAsia" w:ascii="宋体" w:hAnsi="宋体" w:cs="宋体"/>
          <w:color w:val="auto"/>
          <w:spacing w:val="20"/>
          <w:sz w:val="44"/>
          <w:szCs w:val="44"/>
          <w:highlight w:val="none"/>
        </w:rPr>
      </w:pPr>
      <w:r>
        <w:rPr>
          <w:rFonts w:hint="eastAsia" w:ascii="宋体" w:hAnsi="宋体" w:cs="宋体"/>
          <w:b/>
          <w:color w:val="auto"/>
          <w:sz w:val="44"/>
          <w:szCs w:val="44"/>
          <w:highlight w:val="none"/>
        </w:rPr>
        <w:t>法人授权书</w:t>
      </w:r>
    </w:p>
    <w:p>
      <w:pPr>
        <w:wordWrap w:val="0"/>
        <w:spacing w:line="600" w:lineRule="exact"/>
        <w:ind w:left="485" w:left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致：广州白云国际机场股份有限公司一号航站楼管理分公司</w:t>
      </w:r>
    </w:p>
    <w:p>
      <w:pPr>
        <w:wordWrap w:val="0"/>
        <w:spacing w:line="600" w:lineRule="exact"/>
        <w:ind w:left="485" w:leftChars="202"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本授权书宣告：</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CN"/>
        </w:rPr>
        <w:t>合作方</w:t>
      </w:r>
      <w:r>
        <w:rPr>
          <w:rFonts w:hint="eastAsia" w:ascii="仿宋" w:hAnsi="仿宋" w:eastAsia="仿宋" w:cs="仿宋"/>
          <w:color w:val="auto"/>
          <w:szCs w:val="21"/>
          <w:highlight w:val="none"/>
          <w:u w:val="single"/>
        </w:rPr>
        <w:t xml:space="preserve">名称）  （职务）   （法定代表人姓名） </w:t>
      </w:r>
      <w:r>
        <w:rPr>
          <w:rFonts w:hint="eastAsia" w:ascii="仿宋" w:hAnsi="仿宋" w:eastAsia="仿宋" w:cs="仿宋"/>
          <w:color w:val="auto"/>
          <w:szCs w:val="21"/>
          <w:highlight w:val="none"/>
        </w:rPr>
        <w:t xml:space="preserve">是本单位的法定代表人，授权 </w:t>
      </w:r>
      <w:r>
        <w:rPr>
          <w:rFonts w:hint="eastAsia" w:ascii="仿宋" w:hAnsi="仿宋" w:eastAsia="仿宋" w:cs="仿宋"/>
          <w:color w:val="auto"/>
          <w:szCs w:val="21"/>
          <w:highlight w:val="none"/>
          <w:u w:val="single"/>
        </w:rPr>
        <w:t xml:space="preserve">（职务）  （姓名） </w:t>
      </w:r>
      <w:r>
        <w:rPr>
          <w:rFonts w:hint="eastAsia" w:ascii="仿宋" w:hAnsi="仿宋" w:eastAsia="仿宋" w:cs="仿宋"/>
          <w:color w:val="auto"/>
          <w:szCs w:val="21"/>
          <w:highlight w:val="none"/>
        </w:rPr>
        <w:t>为我单位代理人，该代理人有权在</w:t>
      </w:r>
      <w:r>
        <w:rPr>
          <w:rFonts w:hint="eastAsia" w:ascii="仿宋" w:hAnsi="仿宋" w:eastAsia="仿宋" w:cs="仿宋"/>
          <w:color w:val="auto"/>
          <w:szCs w:val="21"/>
          <w:highlight w:val="none"/>
          <w:u w:val="single"/>
        </w:rPr>
        <w:t xml:space="preserve"> 广州白云国际机场一号航站楼公共直饮水机提质升级项目  </w:t>
      </w:r>
      <w:r>
        <w:rPr>
          <w:rFonts w:hint="eastAsia" w:ascii="仿宋" w:hAnsi="仿宋" w:eastAsia="仿宋" w:cs="仿宋"/>
          <w:color w:val="auto"/>
          <w:szCs w:val="21"/>
          <w:highlight w:val="none"/>
        </w:rPr>
        <w:t>的报价活动中，以我单位的名义签署报价文件，与</w:t>
      </w:r>
      <w:r>
        <w:rPr>
          <w:rFonts w:hint="eastAsia" w:ascii="仿宋" w:hAnsi="仿宋" w:eastAsia="仿宋" w:cs="仿宋"/>
          <w:color w:val="auto"/>
          <w:szCs w:val="21"/>
          <w:highlight w:val="none"/>
          <w:lang w:val="en-US" w:eastAsia="zh-CN"/>
        </w:rPr>
        <w:t>业主</w:t>
      </w:r>
      <w:r>
        <w:rPr>
          <w:rFonts w:hint="eastAsia" w:ascii="仿宋" w:hAnsi="仿宋" w:eastAsia="仿宋" w:cs="仿宋"/>
          <w:color w:val="auto"/>
          <w:szCs w:val="21"/>
          <w:highlight w:val="none"/>
        </w:rPr>
        <w:t>协商、签订合同以及执行一切与此有关的事项。</w:t>
      </w:r>
    </w:p>
    <w:p>
      <w:pPr>
        <w:wordWrap w:val="0"/>
        <w:spacing w:line="600" w:lineRule="exact"/>
        <w:ind w:left="485" w:leftChars="202"/>
        <w:rPr>
          <w:rFonts w:hint="eastAsia" w:ascii="仿宋" w:hAnsi="仿宋" w:eastAsia="仿宋" w:cs="仿宋"/>
          <w:bCs/>
          <w:color w:val="auto"/>
          <w:szCs w:val="21"/>
          <w:highlight w:val="none"/>
          <w:u w:val="single"/>
        </w:rPr>
      </w:pPr>
      <w:r>
        <w:rPr>
          <w:rFonts w:hint="eastAsia" w:ascii="仿宋" w:hAnsi="仿宋" w:eastAsia="仿宋" w:cs="仿宋"/>
          <w:color w:val="auto"/>
          <w:szCs w:val="21"/>
          <w:highlight w:val="none"/>
          <w:u w:val="none"/>
          <w:lang w:val="en-US" w:eastAsia="zh-CN"/>
        </w:rPr>
        <w:t>合作方</w:t>
      </w:r>
      <w:r>
        <w:rPr>
          <w:rFonts w:hint="eastAsia" w:ascii="仿宋" w:hAnsi="仿宋" w:eastAsia="仿宋" w:cs="仿宋"/>
          <w:bCs/>
          <w:color w:val="auto"/>
          <w:szCs w:val="21"/>
          <w:highlight w:val="none"/>
        </w:rPr>
        <w:t>：（盖公章）</w:t>
      </w:r>
      <w:r>
        <w:rPr>
          <w:rFonts w:hint="eastAsia" w:ascii="仿宋" w:hAnsi="仿宋" w:eastAsia="仿宋" w:cs="仿宋"/>
          <w:bCs/>
          <w:color w:val="auto"/>
          <w:szCs w:val="21"/>
          <w:highlight w:val="none"/>
          <w:u w:val="single"/>
        </w:rPr>
        <w:t xml:space="preserve">                                         </w:t>
      </w:r>
    </w:p>
    <w:p>
      <w:pPr>
        <w:wordWrap w:val="0"/>
        <w:spacing w:line="600" w:lineRule="exact"/>
        <w:ind w:left="485" w:leftChars="202"/>
        <w:rPr>
          <w:rFonts w:hint="eastAsia" w:ascii="仿宋" w:hAnsi="仿宋" w:eastAsia="仿宋" w:cs="仿宋"/>
          <w:bCs/>
          <w:color w:val="auto"/>
          <w:szCs w:val="21"/>
          <w:highlight w:val="none"/>
        </w:rPr>
      </w:pPr>
    </w:p>
    <w:p>
      <w:pPr>
        <w:wordWrap w:val="0"/>
        <w:spacing w:line="600" w:lineRule="exact"/>
        <w:ind w:left="485" w:leftChars="202"/>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法定代表人：（签字）</w:t>
      </w:r>
      <w:r>
        <w:rPr>
          <w:rFonts w:hint="eastAsia" w:ascii="仿宋" w:hAnsi="仿宋" w:eastAsia="仿宋" w:cs="仿宋"/>
          <w:bCs/>
          <w:color w:val="auto"/>
          <w:szCs w:val="21"/>
          <w:highlight w:val="none"/>
          <w:u w:val="single"/>
        </w:rPr>
        <w:t xml:space="preserve">                                         </w:t>
      </w:r>
    </w:p>
    <w:p>
      <w:pPr>
        <w:wordWrap w:val="0"/>
        <w:spacing w:line="600" w:lineRule="exact"/>
        <w:ind w:left="485" w:leftChars="202"/>
        <w:rPr>
          <w:rFonts w:hint="eastAsia" w:ascii="仿宋" w:hAnsi="仿宋" w:eastAsia="仿宋" w:cs="仿宋"/>
          <w:bCs/>
          <w:color w:val="auto"/>
          <w:szCs w:val="21"/>
          <w:highlight w:val="none"/>
        </w:rPr>
      </w:pPr>
    </w:p>
    <w:p>
      <w:pPr>
        <w:wordWrap w:val="0"/>
        <w:spacing w:line="600" w:lineRule="exact"/>
        <w:ind w:left="485" w:leftChars="202"/>
        <w:rPr>
          <w:rFonts w:hint="eastAsia" w:ascii="仿宋" w:hAnsi="仿宋" w:eastAsia="仿宋" w:cs="仿宋"/>
          <w:color w:val="auto"/>
          <w:szCs w:val="21"/>
          <w:highlight w:val="none"/>
          <w:u w:val="single"/>
        </w:rPr>
      </w:pPr>
      <w:r>
        <w:rPr>
          <w:rFonts w:hint="eastAsia" w:ascii="仿宋" w:hAnsi="仿宋" w:eastAsia="仿宋" w:cs="仿宋"/>
          <w:bCs/>
          <w:color w:val="auto"/>
          <w:szCs w:val="21"/>
          <w:highlight w:val="none"/>
        </w:rPr>
        <w:t>被授权人（代理人）：（签字）</w:t>
      </w:r>
      <w:r>
        <w:rPr>
          <w:rFonts w:hint="eastAsia" w:ascii="仿宋" w:hAnsi="仿宋" w:eastAsia="仿宋" w:cs="仿宋"/>
          <w:bCs/>
          <w:color w:val="auto"/>
          <w:szCs w:val="21"/>
          <w:highlight w:val="none"/>
          <w:u w:val="single"/>
        </w:rPr>
        <w:t xml:space="preserve">                                  </w:t>
      </w:r>
    </w:p>
    <w:p>
      <w:pPr>
        <w:wordWrap w:val="0"/>
        <w:spacing w:line="600" w:lineRule="exact"/>
        <w:ind w:left="485" w:leftChars="202"/>
        <w:rPr>
          <w:rFonts w:hint="eastAsia" w:ascii="仿宋" w:hAnsi="仿宋" w:eastAsia="仿宋" w:cs="仿宋"/>
          <w:color w:val="auto"/>
          <w:szCs w:val="21"/>
          <w:highlight w:val="none"/>
        </w:rPr>
      </w:pPr>
    </w:p>
    <w:p>
      <w:pPr>
        <w:wordWrap w:val="0"/>
        <w:spacing w:line="360" w:lineRule="auto"/>
        <w:ind w:left="485" w:left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  年  月  日</w:t>
      </w:r>
    </w:p>
    <w:p>
      <w:pPr>
        <w:wordWrap w:val="0"/>
        <w:spacing w:line="360" w:lineRule="auto"/>
        <w:ind w:left="485" w:leftChars="202"/>
        <w:rPr>
          <w:rFonts w:hint="eastAsia" w:ascii="仿宋" w:hAnsi="仿宋" w:eastAsia="仿宋" w:cs="仿宋"/>
          <w:b/>
          <w:color w:val="auto"/>
          <w:szCs w:val="21"/>
          <w:highlight w:val="none"/>
        </w:rPr>
      </w:pPr>
    </w:p>
    <w:p>
      <w:pPr>
        <w:wordWrap w:val="0"/>
        <w:spacing w:line="360" w:lineRule="auto"/>
        <w:ind w:left="485" w:leftChars="20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附：被授权人身份证复印件</w:t>
      </w:r>
    </w:p>
    <w:tbl>
      <w:tblPr>
        <w:tblStyle w:val="19"/>
        <w:tblW w:w="0" w:type="auto"/>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0" w:hRule="atLeast"/>
        </w:trPr>
        <w:tc>
          <w:tcPr>
            <w:tcW w:w="8120" w:type="dxa"/>
            <w:noWrap w:val="0"/>
            <w:vAlign w:val="top"/>
          </w:tcPr>
          <w:p>
            <w:pPr>
              <w:wordWrap w:val="0"/>
              <w:spacing w:line="360" w:lineRule="auto"/>
              <w:rPr>
                <w:rFonts w:hint="eastAsia" w:ascii="宋体" w:hAnsi="宋体" w:cs="宋体"/>
                <w:b/>
                <w:color w:val="auto"/>
                <w:szCs w:val="21"/>
                <w:highlight w:val="none"/>
              </w:rPr>
            </w:pPr>
          </w:p>
        </w:tc>
      </w:tr>
    </w:tbl>
    <w:p>
      <w:pPr>
        <w:widowControl/>
        <w:tabs>
          <w:tab w:val="left" w:pos="142"/>
        </w:tabs>
        <w:autoSpaceDE w:val="0"/>
        <w:autoSpaceDN w:val="0"/>
        <w:spacing w:line="288" w:lineRule="auto"/>
        <w:textAlignment w:val="bottom"/>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营业执照副本复印件（盖公章）</w:t>
      </w:r>
    </w:p>
    <w:tbl>
      <w:tblPr>
        <w:tblStyle w:val="19"/>
        <w:tblW w:w="0" w:type="auto"/>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0" w:hRule="atLeast"/>
        </w:trPr>
        <w:tc>
          <w:tcPr>
            <w:tcW w:w="8080" w:type="dxa"/>
            <w:noWrap w:val="0"/>
            <w:vAlign w:val="top"/>
          </w:tcPr>
          <w:p>
            <w:pPr>
              <w:wordWrap w:val="0"/>
              <w:spacing w:line="360" w:lineRule="auto"/>
              <w:rPr>
                <w:rFonts w:hint="eastAsia" w:ascii="宋体" w:hAnsi="宋体" w:cs="宋体"/>
                <w:b/>
                <w:color w:val="auto"/>
                <w:szCs w:val="21"/>
                <w:highlight w:val="none"/>
              </w:rPr>
            </w:pPr>
          </w:p>
        </w:tc>
      </w:tr>
    </w:tbl>
    <w:p>
      <w:pPr>
        <w:rPr>
          <w:rFonts w:hint="eastAsia"/>
          <w:color w:val="auto"/>
          <w:highlight w:val="none"/>
          <w:lang w:val="en-US" w:eastAsia="zh-CN"/>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pStyle w:val="7"/>
        <w:rPr>
          <w:rFonts w:hint="eastAsia" w:ascii="宋体" w:hAnsi="宋体" w:cs="宋体"/>
          <w:color w:val="auto"/>
          <w:sz w:val="24"/>
          <w:highlight w:val="none"/>
        </w:rPr>
      </w:pPr>
    </w:p>
    <w:p>
      <w:pPr>
        <w:rPr>
          <w:rFonts w:hint="eastAsia" w:ascii="宋体" w:hAnsi="宋体" w:cs="宋体"/>
          <w:color w:val="auto"/>
          <w:sz w:val="24"/>
          <w:highlight w:val="none"/>
        </w:rPr>
      </w:pPr>
    </w:p>
    <w:p>
      <w:pPr>
        <w:pStyle w:val="7"/>
        <w:rPr>
          <w:rFonts w:hint="eastAsia" w:ascii="宋体" w:hAnsi="宋体" w:cs="宋体"/>
          <w:color w:val="auto"/>
          <w:sz w:val="24"/>
          <w:highlight w:val="none"/>
        </w:rPr>
      </w:pPr>
    </w:p>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广东省机场管理集团有限公司资源交易信息平台（http://wz.gdairport.com/）截图格式要求</w:t>
      </w:r>
    </w:p>
    <w:p>
      <w:pPr>
        <w:pStyle w:val="3"/>
        <w:rPr>
          <w:rFonts w:hint="default"/>
          <w:color w:val="auto"/>
          <w:highlight w:val="none"/>
          <w:lang w:val="en-US" w:eastAsia="zh-CN"/>
        </w:rPr>
      </w:pPr>
      <w:r>
        <w:rPr>
          <w:color w:val="auto"/>
          <w:highlight w:val="none"/>
        </w:rPr>
        <w:drawing>
          <wp:inline distT="0" distB="0" distL="114300" distR="114300">
            <wp:extent cx="5269230" cy="3961130"/>
            <wp:effectExtent l="0" t="0" r="7620" b="127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5"/>
                    <a:stretch>
                      <a:fillRect/>
                    </a:stretch>
                  </pic:blipFill>
                  <pic:spPr>
                    <a:xfrm>
                      <a:off x="0" y="0"/>
                      <a:ext cx="5269230" cy="3961130"/>
                    </a:xfrm>
                    <a:prstGeom prst="rect">
                      <a:avLst/>
                    </a:prstGeom>
                    <a:noFill/>
                    <a:ln>
                      <a:noFill/>
                    </a:ln>
                  </pic:spPr>
                </pic:pic>
              </a:graphicData>
            </a:graphic>
          </wp:inline>
        </w:drawing>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r>
        <w:rPr>
          <w:rFonts w:hint="eastAsia" w:ascii="仿宋" w:hAnsi="仿宋" w:eastAsia="仿宋" w:cs="仿宋"/>
          <w:color w:val="auto"/>
          <w:szCs w:val="21"/>
          <w:highlight w:val="none"/>
          <w:lang w:val="en-US" w:eastAsia="zh-CN"/>
        </w:rPr>
        <w:t>合作方</w:t>
      </w:r>
      <w:r>
        <w:rPr>
          <w:rFonts w:hint="eastAsia" w:ascii="仿宋" w:hAnsi="仿宋" w:eastAsia="仿宋" w:cs="仿宋"/>
          <w:color w:val="auto"/>
          <w:szCs w:val="21"/>
          <w:highlight w:val="none"/>
        </w:rPr>
        <w:t>须按上述格式要求截图并加盖公章，截图清晰显示</w:t>
      </w:r>
      <w:r>
        <w:rPr>
          <w:rFonts w:hint="eastAsia" w:ascii="仿宋" w:hAnsi="仿宋" w:eastAsia="仿宋" w:cs="仿宋"/>
          <w:color w:val="auto"/>
          <w:szCs w:val="21"/>
          <w:highlight w:val="none"/>
          <w:lang w:val="en-US" w:eastAsia="zh-CN"/>
        </w:rPr>
        <w:t>合作方</w:t>
      </w:r>
      <w:r>
        <w:rPr>
          <w:rFonts w:hint="eastAsia" w:ascii="仿宋" w:hAnsi="仿宋" w:eastAsia="仿宋" w:cs="仿宋"/>
          <w:color w:val="auto"/>
          <w:szCs w:val="21"/>
          <w:highlight w:val="none"/>
        </w:rPr>
        <w:t>单位名称及失信惩戒信息，否则将被认定为无效文件。</w:t>
      </w: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widowControl/>
        <w:tabs>
          <w:tab w:val="left" w:pos="142"/>
        </w:tabs>
        <w:autoSpaceDE w:val="0"/>
        <w:autoSpaceDN w:val="0"/>
        <w:spacing w:line="288" w:lineRule="auto"/>
        <w:textAlignment w:val="bottom"/>
        <w:rPr>
          <w:rFonts w:hint="eastAsia" w:ascii="宋体" w:hAnsi="宋体" w:cs="宋体"/>
          <w:color w:val="auto"/>
          <w:sz w:val="24"/>
          <w:highlight w:val="none"/>
        </w:rPr>
      </w:pPr>
    </w:p>
    <w:p>
      <w:pPr>
        <w:pStyle w:val="3"/>
        <w:snapToGrid w:val="0"/>
        <w:spacing w:before="240" w:after="240" w:line="24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国家企业信用信息公式系统网站（www.gsxt.gov.cn）截图格式要求</w:t>
      </w:r>
    </w:p>
    <w:p>
      <w:pPr>
        <w:rPr>
          <w:rFonts w:hint="eastAsia" w:ascii="宋体" w:hAnsi="宋体" w:cs="宋体"/>
          <w:color w:val="auto"/>
          <w:highlight w:val="none"/>
        </w:rPr>
      </w:pPr>
      <w:r>
        <w:rPr>
          <w:rFonts w:hint="eastAsia" w:ascii="宋体" w:hAnsi="宋体" w:cs="宋体"/>
          <w:color w:val="auto"/>
          <w:highlight w:val="none"/>
        </w:rPr>
        <w:drawing>
          <wp:inline distT="0" distB="0" distL="114300" distR="114300">
            <wp:extent cx="5460365" cy="3528060"/>
            <wp:effectExtent l="0" t="0" r="6985"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460365" cy="3528060"/>
                    </a:xfrm>
                    <a:prstGeom prst="rect">
                      <a:avLst/>
                    </a:prstGeom>
                    <a:noFill/>
                    <a:ln>
                      <a:noFill/>
                    </a:ln>
                  </pic:spPr>
                </pic:pic>
              </a:graphicData>
            </a:graphic>
          </wp:inline>
        </w:drawing>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r>
        <w:rPr>
          <w:rFonts w:hint="eastAsia" w:ascii="仿宋" w:hAnsi="仿宋" w:eastAsia="仿宋" w:cs="仿宋"/>
          <w:color w:val="auto"/>
          <w:szCs w:val="21"/>
          <w:highlight w:val="none"/>
          <w:lang w:val="en-US" w:eastAsia="zh-CN"/>
        </w:rPr>
        <w:t>合作方</w:t>
      </w:r>
      <w:r>
        <w:rPr>
          <w:rFonts w:hint="eastAsia" w:ascii="仿宋" w:hAnsi="仿宋" w:eastAsia="仿宋" w:cs="仿宋"/>
          <w:color w:val="auto"/>
          <w:szCs w:val="21"/>
          <w:highlight w:val="none"/>
        </w:rPr>
        <w:t>须按上述格式要求截图并加盖公章，截图清晰显示</w:t>
      </w:r>
      <w:r>
        <w:rPr>
          <w:rFonts w:hint="eastAsia" w:ascii="仿宋" w:hAnsi="仿宋" w:eastAsia="仿宋" w:cs="仿宋"/>
          <w:color w:val="auto"/>
          <w:szCs w:val="21"/>
          <w:highlight w:val="none"/>
          <w:lang w:val="en-US" w:eastAsia="zh-CN"/>
        </w:rPr>
        <w:t>合作方</w:t>
      </w:r>
      <w:r>
        <w:rPr>
          <w:rFonts w:hint="eastAsia" w:ascii="仿宋" w:hAnsi="仿宋" w:eastAsia="仿宋" w:cs="仿宋"/>
          <w:color w:val="auto"/>
          <w:szCs w:val="21"/>
          <w:highlight w:val="none"/>
        </w:rPr>
        <w:t>单位名称及失信惩戒信息，否则将被认定为无效文件。</w:t>
      </w:r>
    </w:p>
    <w:p>
      <w:pPr>
        <w:pStyle w:val="3"/>
        <w:snapToGrid w:val="0"/>
        <w:spacing w:before="240" w:after="240" w:line="240" w:lineRule="auto"/>
        <w:jc w:val="left"/>
        <w:rPr>
          <w:rFonts w:hint="eastAsia" w:ascii="宋体" w:hAnsi="宋体" w:cs="宋体"/>
          <w:color w:val="auto"/>
          <w:sz w:val="24"/>
          <w:highlight w:val="none"/>
        </w:rPr>
      </w:pPr>
      <w:bookmarkStart w:id="0" w:name="_Toc22149494"/>
    </w:p>
    <w:p>
      <w:pPr>
        <w:pStyle w:val="3"/>
        <w:snapToGrid w:val="0"/>
        <w:spacing w:before="240" w:after="240" w:line="240" w:lineRule="auto"/>
        <w:jc w:val="left"/>
        <w:rPr>
          <w:rFonts w:hint="eastAsia" w:ascii="宋体" w:hAnsi="宋体" w:cs="宋体"/>
          <w:color w:val="auto"/>
          <w:sz w:val="24"/>
          <w:highlight w:val="none"/>
        </w:rPr>
      </w:pPr>
    </w:p>
    <w:p>
      <w:pPr>
        <w:pStyle w:val="3"/>
        <w:snapToGrid w:val="0"/>
        <w:spacing w:before="240" w:after="240" w:line="240" w:lineRule="auto"/>
        <w:jc w:val="left"/>
        <w:rPr>
          <w:rFonts w:hint="eastAsia" w:ascii="宋体" w:hAnsi="宋体" w:cs="宋体"/>
          <w:color w:val="auto"/>
          <w:sz w:val="24"/>
          <w:highlight w:val="none"/>
        </w:rPr>
      </w:pPr>
    </w:p>
    <w:p>
      <w:pPr>
        <w:pStyle w:val="3"/>
        <w:snapToGrid w:val="0"/>
        <w:spacing w:before="240" w:after="240" w:line="240" w:lineRule="auto"/>
        <w:jc w:val="left"/>
        <w:rPr>
          <w:rFonts w:hint="eastAsia" w:ascii="宋体" w:hAnsi="宋体" w:cs="宋体"/>
          <w:color w:val="auto"/>
          <w:sz w:val="24"/>
          <w:highlight w:val="none"/>
        </w:rPr>
      </w:pPr>
    </w:p>
    <w:p>
      <w:pPr>
        <w:pStyle w:val="3"/>
        <w:snapToGrid w:val="0"/>
        <w:spacing w:before="240" w:after="240" w:line="240" w:lineRule="auto"/>
        <w:jc w:val="left"/>
        <w:rPr>
          <w:rFonts w:hint="eastAsia" w:ascii="宋体" w:hAnsi="宋体" w:cs="宋体"/>
          <w:color w:val="auto"/>
          <w:sz w:val="24"/>
          <w:highlight w:val="none"/>
        </w:rPr>
      </w:pPr>
    </w:p>
    <w:p>
      <w:pPr>
        <w:pStyle w:val="3"/>
        <w:snapToGrid w:val="0"/>
        <w:spacing w:before="240" w:after="240" w:line="240" w:lineRule="auto"/>
        <w:jc w:val="left"/>
        <w:rPr>
          <w:rFonts w:hint="eastAsia" w:ascii="宋体" w:hAnsi="宋体" w:cs="宋体"/>
          <w:color w:val="auto"/>
          <w:sz w:val="24"/>
          <w:highlight w:val="none"/>
        </w:rPr>
      </w:pPr>
    </w:p>
    <w:p>
      <w:pPr>
        <w:pStyle w:val="3"/>
        <w:snapToGrid w:val="0"/>
        <w:spacing w:before="240" w:after="240" w:line="240" w:lineRule="auto"/>
        <w:jc w:val="left"/>
        <w:rPr>
          <w:rFonts w:hint="eastAsia" w:ascii="宋体" w:hAnsi="宋体" w:cs="宋体"/>
          <w:color w:val="auto"/>
          <w:sz w:val="24"/>
          <w:highlight w:val="none"/>
        </w:rPr>
      </w:pPr>
    </w:p>
    <w:p>
      <w:pPr>
        <w:pStyle w:val="3"/>
        <w:snapToGrid w:val="0"/>
        <w:spacing w:before="240" w:after="240" w:line="240" w:lineRule="auto"/>
        <w:jc w:val="left"/>
        <w:rPr>
          <w:rFonts w:hint="eastAsia" w:ascii="宋体" w:hAnsi="宋体" w:cs="宋体"/>
          <w:color w:val="auto"/>
          <w:sz w:val="24"/>
          <w:highlight w:val="none"/>
        </w:rPr>
      </w:pPr>
    </w:p>
    <w:p>
      <w:pPr>
        <w:rPr>
          <w:rFonts w:hint="eastAsia" w:ascii="宋体" w:hAnsi="宋体" w:cs="宋体"/>
          <w:color w:val="auto"/>
          <w:sz w:val="24"/>
          <w:highlight w:val="none"/>
        </w:rPr>
      </w:pPr>
    </w:p>
    <w:bookmarkEnd w:id="0"/>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“信用中国”网站（www.creditchina.gov.cn）截图格式要求</w:t>
      </w:r>
    </w:p>
    <w:p>
      <w:pPr>
        <w:jc w:val="center"/>
        <w:rPr>
          <w:rFonts w:hint="eastAsia" w:ascii="宋体" w:hAnsi="宋体" w:cs="宋体"/>
          <w:b/>
          <w:color w:val="auto"/>
          <w:sz w:val="18"/>
          <w:szCs w:val="18"/>
          <w:highlight w:val="none"/>
        </w:rPr>
      </w:pPr>
    </w:p>
    <w:p>
      <w:pPr>
        <w:jc w:val="center"/>
        <w:rPr>
          <w:rFonts w:hint="eastAsia" w:ascii="宋体" w:hAnsi="宋体" w:cs="宋体"/>
          <w:color w:val="auto"/>
          <w:highlight w:val="none"/>
        </w:rPr>
      </w:pPr>
      <w:r>
        <w:rPr>
          <w:rFonts w:hint="eastAsia" w:ascii="宋体" w:hAnsi="宋体" w:cs="宋体"/>
          <w:color w:val="auto"/>
          <w:highlight w:val="none"/>
        </w:rPr>
        <w:drawing>
          <wp:inline distT="0" distB="0" distL="114300" distR="114300">
            <wp:extent cx="4890770" cy="3842385"/>
            <wp:effectExtent l="0" t="0" r="5080" b="571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4890770" cy="3842385"/>
                    </a:xfrm>
                    <a:prstGeom prst="rect">
                      <a:avLst/>
                    </a:prstGeom>
                    <a:noFill/>
                    <a:ln>
                      <a:noFill/>
                    </a:ln>
                  </pic:spPr>
                </pic:pic>
              </a:graphicData>
            </a:graphic>
          </wp:inline>
        </w:drawing>
      </w: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r>
        <w:rPr>
          <w:rFonts w:hint="eastAsia" w:ascii="仿宋" w:hAnsi="仿宋" w:eastAsia="仿宋" w:cs="仿宋"/>
          <w:color w:val="auto"/>
          <w:szCs w:val="21"/>
          <w:highlight w:val="none"/>
          <w:lang w:val="en-US" w:eastAsia="zh-CN"/>
        </w:rPr>
        <w:t>合作方</w:t>
      </w:r>
      <w:r>
        <w:rPr>
          <w:rFonts w:hint="eastAsia" w:ascii="仿宋" w:hAnsi="仿宋" w:eastAsia="仿宋" w:cs="仿宋"/>
          <w:color w:val="auto"/>
          <w:szCs w:val="21"/>
          <w:highlight w:val="none"/>
        </w:rPr>
        <w:t>须按上述格式要求截图并加盖公章，截图清晰显示</w:t>
      </w:r>
      <w:r>
        <w:rPr>
          <w:rFonts w:hint="eastAsia" w:ascii="仿宋" w:hAnsi="仿宋" w:eastAsia="仿宋" w:cs="仿宋"/>
          <w:color w:val="auto"/>
          <w:szCs w:val="21"/>
          <w:highlight w:val="none"/>
          <w:lang w:val="en-US" w:eastAsia="zh-CN"/>
        </w:rPr>
        <w:t>合作方</w:t>
      </w:r>
      <w:r>
        <w:rPr>
          <w:rFonts w:hint="eastAsia" w:ascii="仿宋" w:hAnsi="仿宋" w:eastAsia="仿宋" w:cs="仿宋"/>
          <w:color w:val="auto"/>
          <w:szCs w:val="21"/>
          <w:highlight w:val="none"/>
        </w:rPr>
        <w:t>单位名称及列入黑名单信息，否则将被认定为无效文件。</w:t>
      </w:r>
    </w:p>
    <w:p>
      <w:pPr>
        <w:snapToGrid w:val="0"/>
        <w:outlineLvl w:val="0"/>
        <w:rPr>
          <w:rFonts w:hint="default" w:ascii="宋体" w:hAnsi="宋体" w:cs="宋体" w:eastAsiaTheme="minorEastAsia"/>
          <w:b/>
          <w:bCs/>
          <w:color w:val="auto"/>
          <w:sz w:val="28"/>
          <w:szCs w:val="28"/>
          <w:highlight w:val="none"/>
          <w:lang w:val="en-US" w:eastAsia="zh-CN"/>
        </w:rPr>
      </w:pPr>
      <w:r>
        <w:rPr>
          <w:rFonts w:hint="eastAsia" w:ascii="宋体" w:hAnsi="宋体" w:cs="宋体"/>
          <w:b/>
          <w:color w:val="auto"/>
          <w:sz w:val="18"/>
          <w:szCs w:val="18"/>
          <w:highlight w:val="none"/>
        </w:rPr>
        <w:br w:type="page"/>
      </w:r>
    </w:p>
    <w:p>
      <w:pPr>
        <w:jc w:val="center"/>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“中国执行信息公开网”网站截图</w:t>
      </w:r>
      <w:r>
        <w:rPr>
          <w:rFonts w:hint="eastAsia" w:ascii="宋体" w:hAnsi="宋体" w:cs="宋体"/>
          <w:b/>
          <w:color w:val="auto"/>
          <w:sz w:val="32"/>
          <w:szCs w:val="32"/>
          <w:highlight w:val="none"/>
          <w:lang w:val="en-US" w:eastAsia="zh-CN"/>
        </w:rPr>
        <w:t>格式要求</w:t>
      </w:r>
    </w:p>
    <w:p>
      <w:pPr>
        <w:spacing w:line="312" w:lineRule="auto"/>
        <w:jc w:val="left"/>
        <w:rPr>
          <w:rFonts w:hint="eastAsia" w:ascii="宋体" w:hAnsi="宋体" w:cs="宋体"/>
          <w:color w:val="auto"/>
          <w:sz w:val="28"/>
          <w:szCs w:val="28"/>
          <w:highlight w:val="none"/>
        </w:rPr>
      </w:pPr>
      <w:r>
        <w:rPr>
          <w:rFonts w:hint="eastAsia" w:ascii="宋体" w:hAnsi="宋体" w:cs="宋体"/>
          <w:color w:val="auto"/>
          <w:highlight w:val="none"/>
        </w:rPr>
        <w:drawing>
          <wp:inline distT="0" distB="0" distL="114300" distR="114300">
            <wp:extent cx="5454650" cy="4186555"/>
            <wp:effectExtent l="0" t="0" r="1270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454650" cy="4186555"/>
                    </a:xfrm>
                    <a:prstGeom prst="rect">
                      <a:avLst/>
                    </a:prstGeom>
                    <a:noFill/>
                    <a:ln>
                      <a:noFill/>
                    </a:ln>
                  </pic:spPr>
                </pic:pic>
              </a:graphicData>
            </a:graphic>
          </wp:inline>
        </w:drawing>
      </w:r>
    </w:p>
    <w:p>
      <w:pPr>
        <w:rPr>
          <w:rFonts w:hint="eastAsia" w:ascii="宋体" w:hAnsi="宋体" w:cs="宋体"/>
          <w:color w:val="auto"/>
          <w:highlight w:val="none"/>
        </w:rPr>
      </w:pP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r>
        <w:rPr>
          <w:rFonts w:hint="eastAsia" w:ascii="仿宋" w:hAnsi="仿宋" w:eastAsia="仿宋" w:cs="仿宋"/>
          <w:color w:val="auto"/>
          <w:szCs w:val="21"/>
          <w:highlight w:val="none"/>
          <w:lang w:val="en-US" w:eastAsia="zh-CN"/>
        </w:rPr>
        <w:t>合作方</w:t>
      </w:r>
      <w:r>
        <w:rPr>
          <w:rFonts w:hint="eastAsia" w:ascii="仿宋" w:hAnsi="仿宋" w:eastAsia="仿宋" w:cs="仿宋"/>
          <w:color w:val="auto"/>
          <w:szCs w:val="21"/>
          <w:highlight w:val="none"/>
        </w:rPr>
        <w:t>须按上述格式要求截图并加盖公章，截图清晰显示</w:t>
      </w:r>
      <w:r>
        <w:rPr>
          <w:rFonts w:hint="eastAsia" w:ascii="仿宋" w:hAnsi="仿宋" w:eastAsia="仿宋" w:cs="仿宋"/>
          <w:color w:val="auto"/>
          <w:szCs w:val="21"/>
          <w:highlight w:val="none"/>
          <w:lang w:val="en-US" w:eastAsia="zh-CN"/>
        </w:rPr>
        <w:t>合作方</w:t>
      </w:r>
      <w:r>
        <w:rPr>
          <w:rFonts w:hint="eastAsia" w:ascii="仿宋" w:hAnsi="仿宋" w:eastAsia="仿宋" w:cs="仿宋"/>
          <w:color w:val="auto"/>
          <w:szCs w:val="21"/>
          <w:highlight w:val="none"/>
        </w:rPr>
        <w:t>单位名称及查询结果，否则将被认定为无效文件。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7"/>
        <w:rPr>
          <w:color w:val="auto"/>
          <w:highlight w:val="none"/>
        </w:rPr>
      </w:pPr>
    </w:p>
    <w:p>
      <w:pPr>
        <w:rPr>
          <w:color w:val="auto"/>
          <w:highlight w:val="none"/>
        </w:rPr>
      </w:pPr>
    </w:p>
    <w:p>
      <w:pPr>
        <w:pStyle w:val="7"/>
      </w:pPr>
    </w:p>
    <w:p>
      <w:pPr>
        <w:pStyle w:val="17"/>
        <w:outlineLvl w:val="2"/>
        <w:rPr>
          <w:rFonts w:hint="eastAsia" w:ascii="宋体" w:hAnsi="宋体" w:eastAsia="宋体"/>
          <w:bCs/>
          <w:color w:val="auto"/>
          <w:kern w:val="44"/>
          <w:sz w:val="44"/>
          <w:szCs w:val="44"/>
          <w:highlight w:val="none"/>
          <w:lang w:eastAsia="zh-CN"/>
        </w:rPr>
      </w:pPr>
      <w:r>
        <w:rPr>
          <w:rFonts w:hint="eastAsia" w:ascii="宋体" w:hAnsi="宋体"/>
          <w:bCs/>
          <w:color w:val="auto"/>
          <w:kern w:val="44"/>
          <w:sz w:val="44"/>
          <w:szCs w:val="44"/>
          <w:highlight w:val="none"/>
        </w:rPr>
        <w:t>响应承诺函</w:t>
      </w:r>
    </w:p>
    <w:p>
      <w:pPr>
        <w:jc w:val="center"/>
        <w:rPr>
          <w:rFonts w:hint="eastAsia" w:ascii="仿宋" w:hAnsi="仿宋" w:eastAsia="仿宋" w:cs="仿宋"/>
          <w:bCs/>
          <w:color w:val="auto"/>
          <w:spacing w:val="22"/>
          <w:sz w:val="32"/>
          <w:szCs w:val="32"/>
          <w:highlight w:val="none"/>
          <w:u w:val="single"/>
        </w:rPr>
      </w:pPr>
    </w:p>
    <w:p>
      <w:pPr>
        <w:spacing w:line="360" w:lineRule="auto"/>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广州白云国际机场股份有限公司：</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我公司已详细阅读《广州白云国际机场一号航站楼公共直饮水机提质升级项目》。据此函，签字代表声明同意并承诺如下：</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1.我公司承诺合同期内，完全服从</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管理要求，并及时、准确、真实地向</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提供实际</w:t>
      </w:r>
      <w:r>
        <w:rPr>
          <w:rFonts w:hint="eastAsia" w:ascii="仿宋" w:hAnsi="仿宋" w:eastAsia="仿宋" w:cs="仿宋"/>
          <w:bCs/>
          <w:color w:val="auto"/>
          <w:spacing w:val="22"/>
          <w:sz w:val="32"/>
          <w:szCs w:val="32"/>
          <w:highlight w:val="none"/>
          <w:lang w:val="en-US" w:eastAsia="zh-CN"/>
        </w:rPr>
        <w:t>维保</w:t>
      </w:r>
      <w:r>
        <w:rPr>
          <w:rFonts w:hint="eastAsia" w:ascii="仿宋" w:hAnsi="仿宋" w:eastAsia="仿宋" w:cs="仿宋"/>
          <w:bCs/>
          <w:color w:val="auto"/>
          <w:spacing w:val="22"/>
          <w:sz w:val="32"/>
          <w:szCs w:val="32"/>
          <w:highlight w:val="none"/>
        </w:rPr>
        <w:t>等数据。</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lang w:val="en-US" w:eastAsia="zh-CN"/>
        </w:rPr>
        <w:t>2</w:t>
      </w:r>
      <w:r>
        <w:rPr>
          <w:rFonts w:hint="eastAsia" w:ascii="仿宋" w:hAnsi="仿宋" w:eastAsia="仿宋" w:cs="仿宋"/>
          <w:bCs/>
          <w:color w:val="auto"/>
          <w:spacing w:val="22"/>
          <w:sz w:val="32"/>
          <w:szCs w:val="32"/>
          <w:highlight w:val="none"/>
        </w:rPr>
        <w:t>．我公司完全接受</w:t>
      </w:r>
      <w:r>
        <w:rPr>
          <w:rFonts w:hint="eastAsia" w:ascii="仿宋" w:hAnsi="仿宋" w:eastAsia="仿宋" w:cs="仿宋"/>
          <w:bCs/>
          <w:color w:val="auto"/>
          <w:spacing w:val="22"/>
          <w:sz w:val="32"/>
          <w:szCs w:val="32"/>
          <w:highlight w:val="none"/>
          <w:lang w:val="en-US" w:eastAsia="zh-CN"/>
        </w:rPr>
        <w:t>本项目相关</w:t>
      </w:r>
      <w:r>
        <w:rPr>
          <w:rFonts w:hint="eastAsia" w:ascii="仿宋" w:hAnsi="仿宋" w:eastAsia="仿宋" w:cs="仿宋"/>
          <w:bCs/>
          <w:color w:val="auto"/>
          <w:spacing w:val="22"/>
          <w:sz w:val="32"/>
          <w:szCs w:val="32"/>
          <w:highlight w:val="none"/>
        </w:rPr>
        <w:t>文件的所有条款，并同意按要求提供相关书面承诺，否则</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有权取消我方响应资格及中选资格。</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lang w:val="en-US" w:eastAsia="zh-CN"/>
        </w:rPr>
        <w:t>3</w:t>
      </w:r>
      <w:r>
        <w:rPr>
          <w:rFonts w:hint="eastAsia" w:ascii="仿宋" w:hAnsi="仿宋" w:eastAsia="仿宋" w:cs="仿宋"/>
          <w:bCs/>
          <w:color w:val="auto"/>
          <w:spacing w:val="22"/>
          <w:sz w:val="32"/>
          <w:szCs w:val="32"/>
          <w:highlight w:val="none"/>
        </w:rPr>
        <w:t>．我公司保证在</w:t>
      </w:r>
      <w:r>
        <w:rPr>
          <w:rFonts w:hint="eastAsia" w:ascii="仿宋" w:hAnsi="仿宋" w:eastAsia="仿宋" w:cs="仿宋"/>
          <w:bCs/>
          <w:color w:val="auto"/>
          <w:spacing w:val="22"/>
          <w:sz w:val="32"/>
          <w:szCs w:val="32"/>
          <w:highlight w:val="none"/>
          <w:lang w:val="en-US" w:eastAsia="zh-CN"/>
        </w:rPr>
        <w:t>本项目</w:t>
      </w:r>
      <w:r>
        <w:rPr>
          <w:rFonts w:hint="eastAsia" w:ascii="仿宋" w:hAnsi="仿宋" w:eastAsia="仿宋" w:cs="仿宋"/>
          <w:bCs/>
          <w:color w:val="auto"/>
          <w:spacing w:val="22"/>
          <w:sz w:val="32"/>
          <w:szCs w:val="32"/>
          <w:highlight w:val="none"/>
        </w:rPr>
        <w:t>所提交的文件中对</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所作的全部承诺是可以兑现的，未经</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同意是不可改变的。</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lang w:val="en-US" w:eastAsia="zh-CN"/>
        </w:rPr>
        <w:t>4</w:t>
      </w:r>
      <w:r>
        <w:rPr>
          <w:rFonts w:hint="eastAsia" w:ascii="仿宋" w:hAnsi="仿宋" w:eastAsia="仿宋" w:cs="仿宋"/>
          <w:bCs/>
          <w:color w:val="auto"/>
          <w:spacing w:val="22"/>
          <w:sz w:val="32"/>
          <w:szCs w:val="32"/>
          <w:highlight w:val="none"/>
        </w:rPr>
        <w:t>.我公司将承担</w:t>
      </w:r>
      <w:r>
        <w:rPr>
          <w:rFonts w:hint="eastAsia" w:ascii="仿宋" w:hAnsi="仿宋" w:eastAsia="仿宋" w:cs="仿宋"/>
          <w:bCs/>
          <w:color w:val="auto"/>
          <w:spacing w:val="22"/>
          <w:sz w:val="32"/>
          <w:szCs w:val="32"/>
          <w:highlight w:val="none"/>
          <w:lang w:val="en-US" w:eastAsia="zh-CN"/>
        </w:rPr>
        <w:t>本项目</w:t>
      </w:r>
      <w:r>
        <w:rPr>
          <w:rFonts w:hint="eastAsia" w:ascii="仿宋" w:hAnsi="仿宋" w:eastAsia="仿宋" w:cs="仿宋"/>
          <w:bCs/>
          <w:color w:val="auto"/>
          <w:spacing w:val="22"/>
          <w:sz w:val="32"/>
          <w:szCs w:val="32"/>
          <w:highlight w:val="none"/>
        </w:rPr>
        <w:t>文件的所有条款履行合同的责任和义务。</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lang w:val="en-US" w:eastAsia="zh-CN"/>
        </w:rPr>
        <w:t>5</w:t>
      </w:r>
      <w:r>
        <w:rPr>
          <w:rFonts w:hint="eastAsia" w:ascii="仿宋" w:hAnsi="仿宋" w:eastAsia="仿宋" w:cs="仿宋"/>
          <w:bCs/>
          <w:color w:val="auto"/>
          <w:spacing w:val="22"/>
          <w:sz w:val="32"/>
          <w:szCs w:val="32"/>
          <w:highlight w:val="none"/>
        </w:rPr>
        <w:t>.我公司承诺在合同期内将完全服从并配合</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的活动要求。</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lang w:val="en-US" w:eastAsia="zh-CN"/>
        </w:rPr>
        <w:t>6</w:t>
      </w:r>
      <w:r>
        <w:rPr>
          <w:rFonts w:hint="eastAsia" w:ascii="仿宋" w:hAnsi="仿宋" w:eastAsia="仿宋" w:cs="仿宋"/>
          <w:bCs/>
          <w:color w:val="auto"/>
          <w:spacing w:val="22"/>
          <w:sz w:val="32"/>
          <w:szCs w:val="32"/>
          <w:highlight w:val="none"/>
        </w:rPr>
        <w:t>.我公司确认已仔细阅读</w:t>
      </w:r>
      <w:r>
        <w:rPr>
          <w:rFonts w:hint="eastAsia" w:ascii="仿宋" w:hAnsi="仿宋" w:eastAsia="仿宋" w:cs="仿宋"/>
          <w:bCs/>
          <w:color w:val="auto"/>
          <w:spacing w:val="22"/>
          <w:sz w:val="32"/>
          <w:szCs w:val="32"/>
          <w:highlight w:val="none"/>
          <w:lang w:val="en-US" w:eastAsia="zh-CN"/>
        </w:rPr>
        <w:t>参评</w:t>
      </w:r>
      <w:r>
        <w:rPr>
          <w:rFonts w:hint="eastAsia" w:ascii="仿宋" w:hAnsi="仿宋" w:eastAsia="仿宋" w:cs="仿宋"/>
          <w:bCs/>
          <w:color w:val="auto"/>
          <w:spacing w:val="22"/>
          <w:sz w:val="32"/>
          <w:szCs w:val="32"/>
          <w:highlight w:val="none"/>
        </w:rPr>
        <w:t>文件（包括但不限于</w:t>
      </w:r>
      <w:r>
        <w:rPr>
          <w:rFonts w:hint="eastAsia" w:ascii="仿宋" w:hAnsi="仿宋" w:eastAsia="仿宋" w:cs="仿宋"/>
          <w:bCs/>
          <w:color w:val="auto"/>
          <w:spacing w:val="22"/>
          <w:sz w:val="32"/>
          <w:szCs w:val="32"/>
          <w:highlight w:val="none"/>
          <w:lang w:val="en-US" w:eastAsia="zh-CN"/>
        </w:rPr>
        <w:t>合作</w:t>
      </w:r>
      <w:r>
        <w:rPr>
          <w:rFonts w:hint="eastAsia" w:ascii="仿宋" w:hAnsi="仿宋" w:eastAsia="仿宋" w:cs="仿宋"/>
          <w:bCs/>
          <w:color w:val="auto"/>
          <w:spacing w:val="22"/>
          <w:sz w:val="32"/>
          <w:szCs w:val="32"/>
          <w:highlight w:val="none"/>
        </w:rPr>
        <w:t>公告、</w:t>
      </w:r>
      <w:r>
        <w:rPr>
          <w:rFonts w:hint="eastAsia" w:ascii="仿宋" w:hAnsi="仿宋" w:eastAsia="仿宋" w:cs="仿宋"/>
          <w:bCs/>
          <w:color w:val="auto"/>
          <w:spacing w:val="22"/>
          <w:sz w:val="32"/>
          <w:szCs w:val="32"/>
          <w:highlight w:val="none"/>
          <w:lang w:val="en-US" w:eastAsia="zh-CN"/>
        </w:rPr>
        <w:t>用户需求</w:t>
      </w:r>
      <w:r>
        <w:rPr>
          <w:rFonts w:hint="eastAsia" w:ascii="仿宋" w:hAnsi="仿宋" w:eastAsia="仿宋" w:cs="仿宋"/>
          <w:bCs/>
          <w:color w:val="auto"/>
          <w:spacing w:val="22"/>
          <w:sz w:val="32"/>
          <w:szCs w:val="32"/>
          <w:highlight w:val="none"/>
        </w:rPr>
        <w:t>、合同模板）、</w:t>
      </w:r>
      <w:r>
        <w:rPr>
          <w:rFonts w:hint="eastAsia" w:ascii="仿宋" w:hAnsi="仿宋" w:eastAsia="仿宋" w:cs="仿宋"/>
          <w:bCs/>
          <w:color w:val="auto"/>
          <w:spacing w:val="22"/>
          <w:sz w:val="32"/>
          <w:szCs w:val="32"/>
          <w:highlight w:val="none"/>
          <w:lang w:val="en-US" w:eastAsia="zh-CN"/>
        </w:rPr>
        <w:t>参评</w:t>
      </w:r>
      <w:r>
        <w:rPr>
          <w:rFonts w:hint="eastAsia" w:ascii="仿宋" w:hAnsi="仿宋" w:eastAsia="仿宋" w:cs="仿宋"/>
          <w:bCs/>
          <w:color w:val="auto"/>
          <w:spacing w:val="22"/>
          <w:sz w:val="32"/>
          <w:szCs w:val="32"/>
          <w:highlight w:val="none"/>
        </w:rPr>
        <w:t>文件修改（如有）及提供的参考数据和有关附件的内容，均无异议，并对双方的权利义务充分理解。</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已应我公司要求对上述内容进行相应的解释说明，我公司对</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所特别提示的免除或者限制责任的条款已有充分了解和预期.</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lang w:val="en-US" w:eastAsia="zh-CN"/>
        </w:rPr>
        <w:t>7</w:t>
      </w:r>
      <w:r>
        <w:rPr>
          <w:rFonts w:hint="eastAsia" w:ascii="仿宋" w:hAnsi="仿宋" w:eastAsia="仿宋" w:cs="仿宋"/>
          <w:bCs/>
          <w:color w:val="auto"/>
          <w:spacing w:val="22"/>
          <w:sz w:val="32"/>
          <w:szCs w:val="32"/>
          <w:highlight w:val="none"/>
        </w:rPr>
        <w:t>.本参评文件有效期为自递交参评文件截止之日起90个自然日。</w:t>
      </w:r>
    </w:p>
    <w:p>
      <w:pPr>
        <w:spacing w:line="360" w:lineRule="auto"/>
        <w:ind w:firstLine="728" w:firstLineChars="200"/>
        <w:rPr>
          <w:rFonts w:hint="eastAsia" w:ascii="仿宋" w:hAnsi="仿宋" w:eastAsia="仿宋" w:cs="仿宋"/>
          <w:bCs/>
          <w:color w:val="auto"/>
          <w:spacing w:val="22"/>
          <w:sz w:val="32"/>
          <w:szCs w:val="32"/>
          <w:highlight w:val="none"/>
          <w:lang w:val="en-US" w:eastAsia="zh-CN"/>
        </w:rPr>
      </w:pPr>
      <w:r>
        <w:rPr>
          <w:rFonts w:hint="eastAsia" w:ascii="仿宋" w:hAnsi="仿宋" w:eastAsia="仿宋" w:cs="仿宋"/>
          <w:bCs/>
          <w:color w:val="auto"/>
          <w:spacing w:val="22"/>
          <w:sz w:val="32"/>
          <w:szCs w:val="32"/>
          <w:highlight w:val="none"/>
          <w:lang w:val="en-US" w:eastAsia="zh-CN"/>
        </w:rPr>
        <w:t>8</w:t>
      </w:r>
      <w:r>
        <w:rPr>
          <w:rFonts w:hint="eastAsia" w:ascii="仿宋" w:hAnsi="仿宋" w:eastAsia="仿宋" w:cs="仿宋"/>
          <w:bCs/>
          <w:color w:val="auto"/>
          <w:spacing w:val="22"/>
          <w:sz w:val="32"/>
          <w:szCs w:val="32"/>
          <w:highlight w:val="none"/>
        </w:rPr>
        <w:t>.如果在规定的响应截止时间后，我公司在响应有效期内撤回参评文件或响应相关附件资料，</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有权</w:t>
      </w:r>
      <w:r>
        <w:rPr>
          <w:rFonts w:hint="eastAsia" w:ascii="仿宋" w:hAnsi="仿宋" w:eastAsia="仿宋" w:cs="仿宋"/>
          <w:bCs/>
          <w:color w:val="auto"/>
          <w:spacing w:val="22"/>
          <w:sz w:val="32"/>
          <w:szCs w:val="32"/>
          <w:highlight w:val="none"/>
          <w:lang w:val="en-US" w:eastAsia="zh-CN"/>
        </w:rPr>
        <w:t>取消我方响应资格及中选资格。</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lang w:val="en-US" w:eastAsia="zh-CN"/>
        </w:rPr>
        <w:t>9.</w:t>
      </w:r>
      <w:r>
        <w:rPr>
          <w:rFonts w:hint="eastAsia" w:ascii="仿宋" w:hAnsi="仿宋" w:eastAsia="仿宋" w:cs="仿宋"/>
          <w:bCs/>
          <w:color w:val="auto"/>
          <w:spacing w:val="22"/>
          <w:sz w:val="32"/>
          <w:szCs w:val="32"/>
          <w:highlight w:val="none"/>
        </w:rPr>
        <w:t>我公司同意提供按照</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可能要求的与其</w:t>
      </w:r>
      <w:r>
        <w:rPr>
          <w:rFonts w:hint="eastAsia" w:ascii="仿宋" w:hAnsi="仿宋" w:eastAsia="仿宋" w:cs="仿宋"/>
          <w:bCs/>
          <w:color w:val="auto"/>
          <w:spacing w:val="22"/>
          <w:sz w:val="32"/>
          <w:szCs w:val="32"/>
          <w:highlight w:val="none"/>
          <w:lang w:val="en-US" w:eastAsia="zh-CN"/>
        </w:rPr>
        <w:t>本项目</w:t>
      </w:r>
      <w:r>
        <w:rPr>
          <w:rFonts w:hint="eastAsia" w:ascii="仿宋" w:hAnsi="仿宋" w:eastAsia="仿宋" w:cs="仿宋"/>
          <w:bCs/>
          <w:color w:val="auto"/>
          <w:spacing w:val="22"/>
          <w:sz w:val="32"/>
          <w:szCs w:val="32"/>
          <w:highlight w:val="none"/>
        </w:rPr>
        <w:t>有关的资料或数据，接受</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的评审方法。</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1</w:t>
      </w:r>
      <w:r>
        <w:rPr>
          <w:rFonts w:hint="eastAsia" w:ascii="仿宋" w:hAnsi="仿宋" w:eastAsia="仿宋" w:cs="仿宋"/>
          <w:bCs/>
          <w:color w:val="auto"/>
          <w:spacing w:val="22"/>
          <w:sz w:val="32"/>
          <w:szCs w:val="32"/>
          <w:highlight w:val="none"/>
          <w:lang w:val="en-US" w:eastAsia="zh-CN"/>
        </w:rPr>
        <w:t>0</w:t>
      </w:r>
      <w:r>
        <w:rPr>
          <w:rFonts w:hint="eastAsia" w:ascii="仿宋" w:hAnsi="仿宋" w:eastAsia="仿宋" w:cs="仿宋"/>
          <w:bCs/>
          <w:color w:val="auto"/>
          <w:spacing w:val="22"/>
          <w:sz w:val="32"/>
          <w:szCs w:val="32"/>
          <w:highlight w:val="none"/>
        </w:rPr>
        <w:t>.我公司承诺自公司成立至今，我公司及法定代表人、实际控制人均无贿赂行为，信用良好，</w:t>
      </w:r>
      <w:r>
        <w:rPr>
          <w:rFonts w:hint="eastAsia" w:ascii="仿宋" w:hAnsi="仿宋" w:eastAsia="仿宋" w:cs="仿宋"/>
          <w:color w:val="auto"/>
          <w:spacing w:val="22"/>
          <w:sz w:val="32"/>
          <w:szCs w:val="32"/>
          <w:highlight w:val="none"/>
        </w:rPr>
        <w:t>无违法犯罪记录，无商标侵权行为、无虚假经营行为</w:t>
      </w:r>
      <w:r>
        <w:rPr>
          <w:rFonts w:hint="eastAsia" w:ascii="仿宋" w:hAnsi="仿宋" w:eastAsia="仿宋" w:cs="仿宋"/>
          <w:bCs/>
          <w:color w:val="auto"/>
          <w:spacing w:val="22"/>
          <w:sz w:val="32"/>
          <w:szCs w:val="32"/>
          <w:highlight w:val="none"/>
        </w:rPr>
        <w:t>合法经营。</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1</w:t>
      </w:r>
      <w:r>
        <w:rPr>
          <w:rFonts w:hint="eastAsia" w:ascii="仿宋" w:hAnsi="仿宋" w:eastAsia="仿宋" w:cs="仿宋"/>
          <w:bCs/>
          <w:color w:val="auto"/>
          <w:spacing w:val="22"/>
          <w:sz w:val="32"/>
          <w:szCs w:val="32"/>
          <w:highlight w:val="none"/>
          <w:lang w:val="en-US" w:eastAsia="zh-CN"/>
        </w:rPr>
        <w:t>1</w:t>
      </w:r>
      <w:r>
        <w:rPr>
          <w:rFonts w:hint="eastAsia" w:ascii="仿宋" w:hAnsi="仿宋" w:eastAsia="仿宋" w:cs="仿宋"/>
          <w:bCs/>
          <w:color w:val="auto"/>
          <w:spacing w:val="22"/>
          <w:sz w:val="32"/>
          <w:szCs w:val="32"/>
          <w:highlight w:val="none"/>
        </w:rPr>
        <w:t>.2018年1月1日至今，</w:t>
      </w:r>
      <w:r>
        <w:rPr>
          <w:rFonts w:hint="eastAsia" w:ascii="仿宋" w:hAnsi="仿宋" w:eastAsia="仿宋" w:cs="仿宋"/>
          <w:bCs/>
          <w:color w:val="auto"/>
          <w:spacing w:val="22"/>
          <w:sz w:val="32"/>
          <w:szCs w:val="32"/>
          <w:highlight w:val="none"/>
          <w:lang w:val="en-US" w:eastAsia="zh-CN"/>
        </w:rPr>
        <w:t>我公司，我公司</w:t>
      </w:r>
      <w:r>
        <w:rPr>
          <w:rFonts w:hint="eastAsia" w:ascii="仿宋" w:hAnsi="仿宋" w:eastAsia="仿宋" w:cs="仿宋"/>
          <w:bCs/>
          <w:color w:val="auto"/>
          <w:spacing w:val="22"/>
          <w:sz w:val="32"/>
          <w:szCs w:val="32"/>
          <w:highlight w:val="none"/>
        </w:rPr>
        <w:t>控股（绝对控股与相对控股）企业，</w:t>
      </w:r>
      <w:r>
        <w:rPr>
          <w:rFonts w:hint="eastAsia" w:ascii="仿宋" w:hAnsi="仿宋" w:eastAsia="仿宋" w:cs="仿宋"/>
          <w:bCs/>
          <w:color w:val="auto"/>
          <w:spacing w:val="22"/>
          <w:sz w:val="32"/>
          <w:szCs w:val="32"/>
          <w:highlight w:val="none"/>
          <w:lang w:val="en-US" w:eastAsia="zh-CN"/>
        </w:rPr>
        <w:t>我公司</w:t>
      </w:r>
      <w:r>
        <w:rPr>
          <w:rFonts w:hint="eastAsia" w:ascii="仿宋" w:hAnsi="仿宋" w:eastAsia="仿宋" w:cs="仿宋"/>
          <w:bCs/>
          <w:color w:val="auto"/>
          <w:spacing w:val="22"/>
          <w:sz w:val="32"/>
          <w:szCs w:val="32"/>
          <w:highlight w:val="none"/>
        </w:rPr>
        <w:t>或</w:t>
      </w:r>
      <w:r>
        <w:rPr>
          <w:rFonts w:hint="eastAsia" w:ascii="仿宋" w:hAnsi="仿宋" w:eastAsia="仿宋" w:cs="仿宋"/>
          <w:bCs/>
          <w:color w:val="auto"/>
          <w:spacing w:val="22"/>
          <w:sz w:val="32"/>
          <w:szCs w:val="32"/>
          <w:highlight w:val="none"/>
          <w:lang w:val="en-US" w:eastAsia="zh-CN"/>
        </w:rPr>
        <w:t>我公司</w:t>
      </w:r>
      <w:r>
        <w:rPr>
          <w:rFonts w:hint="eastAsia" w:ascii="仿宋" w:hAnsi="仿宋" w:eastAsia="仿宋" w:cs="仿宋"/>
          <w:bCs/>
          <w:color w:val="auto"/>
          <w:spacing w:val="22"/>
          <w:sz w:val="32"/>
          <w:szCs w:val="32"/>
          <w:highlight w:val="none"/>
        </w:rPr>
        <w:t>控股（含绝对控股与相对控股）企业的关联企业、股东，</w:t>
      </w:r>
      <w:r>
        <w:rPr>
          <w:rFonts w:hint="eastAsia" w:ascii="仿宋" w:hAnsi="仿宋" w:eastAsia="仿宋" w:cs="仿宋"/>
          <w:bCs/>
          <w:color w:val="auto"/>
          <w:spacing w:val="22"/>
          <w:sz w:val="32"/>
          <w:szCs w:val="32"/>
          <w:highlight w:val="none"/>
          <w:lang w:val="en-US" w:eastAsia="zh-CN"/>
        </w:rPr>
        <w:t>我公司</w:t>
      </w:r>
      <w:r>
        <w:rPr>
          <w:rFonts w:hint="eastAsia" w:ascii="仿宋" w:hAnsi="仿宋" w:eastAsia="仿宋" w:cs="仿宋"/>
          <w:bCs/>
          <w:color w:val="auto"/>
          <w:spacing w:val="22"/>
          <w:sz w:val="32"/>
          <w:szCs w:val="32"/>
          <w:highlight w:val="none"/>
        </w:rPr>
        <w:t>或</w:t>
      </w:r>
      <w:r>
        <w:rPr>
          <w:rFonts w:hint="eastAsia" w:ascii="仿宋" w:hAnsi="仿宋" w:eastAsia="仿宋" w:cs="仿宋"/>
          <w:bCs/>
          <w:color w:val="auto"/>
          <w:spacing w:val="22"/>
          <w:sz w:val="32"/>
          <w:szCs w:val="32"/>
          <w:highlight w:val="none"/>
          <w:lang w:val="en-US" w:eastAsia="zh-CN"/>
        </w:rPr>
        <w:t>我公司</w:t>
      </w:r>
      <w:r>
        <w:rPr>
          <w:rFonts w:hint="eastAsia" w:ascii="仿宋" w:hAnsi="仿宋" w:eastAsia="仿宋" w:cs="仿宋"/>
          <w:bCs/>
          <w:color w:val="auto"/>
          <w:spacing w:val="22"/>
          <w:sz w:val="32"/>
          <w:szCs w:val="32"/>
          <w:highlight w:val="none"/>
        </w:rPr>
        <w:t>控股（含绝对控股与相对控股）企业的董事、监事、高级管理人员及其配偶所控股（含绝对控股与相对控股）的企业或担任董事、监事及高级管理人员的企业与</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不存在未了结的诉讼、仲裁，或者不存在未执行的判决、裁决。</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1</w:t>
      </w:r>
      <w:r>
        <w:rPr>
          <w:rFonts w:hint="eastAsia" w:ascii="仿宋" w:hAnsi="仿宋" w:eastAsia="仿宋" w:cs="仿宋"/>
          <w:bCs/>
          <w:color w:val="auto"/>
          <w:spacing w:val="22"/>
          <w:sz w:val="32"/>
          <w:szCs w:val="32"/>
          <w:highlight w:val="none"/>
          <w:lang w:val="en-US" w:eastAsia="zh-CN"/>
        </w:rPr>
        <w:t>2</w:t>
      </w:r>
      <w:r>
        <w:rPr>
          <w:rFonts w:hint="eastAsia" w:ascii="仿宋" w:hAnsi="仿宋" w:eastAsia="仿宋" w:cs="仿宋"/>
          <w:bCs/>
          <w:color w:val="auto"/>
          <w:spacing w:val="22"/>
          <w:sz w:val="32"/>
          <w:szCs w:val="32"/>
          <w:highlight w:val="none"/>
        </w:rPr>
        <w:t>.我公司承诺如果在本项目中选，则</w:t>
      </w:r>
      <w:r>
        <w:rPr>
          <w:rFonts w:hint="eastAsia" w:ascii="仿宋" w:hAnsi="仿宋" w:eastAsia="仿宋" w:cs="仿宋"/>
          <w:bCs/>
          <w:color w:val="auto"/>
          <w:spacing w:val="22"/>
          <w:sz w:val="32"/>
          <w:szCs w:val="32"/>
          <w:highlight w:val="none"/>
          <w:lang w:val="en-US" w:eastAsia="zh-CN"/>
        </w:rPr>
        <w:t>发出</w:t>
      </w:r>
      <w:r>
        <w:rPr>
          <w:rFonts w:hint="eastAsia" w:ascii="仿宋" w:hAnsi="仿宋" w:eastAsia="仿宋" w:cs="仿宋"/>
          <w:bCs/>
          <w:color w:val="auto"/>
          <w:spacing w:val="22"/>
          <w:sz w:val="32"/>
          <w:szCs w:val="32"/>
          <w:highlight w:val="none"/>
        </w:rPr>
        <w:t>《中选通知书》</w:t>
      </w:r>
      <w:r>
        <w:rPr>
          <w:rFonts w:hint="eastAsia" w:ascii="仿宋" w:hAnsi="仿宋" w:eastAsia="仿宋" w:cs="仿宋"/>
          <w:bCs/>
          <w:color w:val="auto"/>
          <w:spacing w:val="22"/>
          <w:sz w:val="32"/>
          <w:szCs w:val="32"/>
          <w:highlight w:val="none"/>
          <w:lang w:val="en-US" w:eastAsia="zh-CN"/>
        </w:rPr>
        <w:t>至中选单位</w:t>
      </w:r>
      <w:r>
        <w:rPr>
          <w:rFonts w:hint="eastAsia" w:ascii="仿宋" w:hAnsi="仿宋" w:eastAsia="仿宋" w:cs="仿宋"/>
          <w:bCs/>
          <w:color w:val="auto"/>
          <w:spacing w:val="22"/>
          <w:sz w:val="32"/>
          <w:szCs w:val="32"/>
          <w:highlight w:val="none"/>
        </w:rPr>
        <w:t>。</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1</w:t>
      </w:r>
      <w:r>
        <w:rPr>
          <w:rFonts w:hint="eastAsia" w:ascii="仿宋" w:hAnsi="仿宋" w:eastAsia="仿宋" w:cs="仿宋"/>
          <w:bCs/>
          <w:color w:val="auto"/>
          <w:spacing w:val="22"/>
          <w:sz w:val="32"/>
          <w:szCs w:val="32"/>
          <w:highlight w:val="none"/>
          <w:lang w:val="en-US" w:eastAsia="zh-CN"/>
        </w:rPr>
        <w:t>3</w:t>
      </w:r>
      <w:r>
        <w:rPr>
          <w:rFonts w:hint="eastAsia" w:ascii="仿宋" w:hAnsi="仿宋" w:eastAsia="仿宋" w:cs="仿宋"/>
          <w:bCs/>
          <w:color w:val="auto"/>
          <w:spacing w:val="22"/>
          <w:sz w:val="32"/>
          <w:szCs w:val="32"/>
          <w:highlight w:val="none"/>
        </w:rPr>
        <w:t>.我公司承诺按照</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的装修标准、消防要求及施工规范进行装修设计和装修。</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1</w:t>
      </w:r>
      <w:r>
        <w:rPr>
          <w:rFonts w:hint="eastAsia" w:ascii="仿宋" w:hAnsi="仿宋" w:eastAsia="仿宋" w:cs="仿宋"/>
          <w:bCs/>
          <w:color w:val="auto"/>
          <w:spacing w:val="22"/>
          <w:sz w:val="32"/>
          <w:szCs w:val="32"/>
          <w:highlight w:val="none"/>
          <w:lang w:val="en-US" w:eastAsia="zh-CN"/>
        </w:rPr>
        <w:t>4</w:t>
      </w:r>
      <w:r>
        <w:rPr>
          <w:rFonts w:hint="eastAsia" w:ascii="仿宋" w:hAnsi="仿宋" w:eastAsia="仿宋" w:cs="仿宋"/>
          <w:bCs/>
          <w:color w:val="auto"/>
          <w:spacing w:val="22"/>
          <w:sz w:val="32"/>
          <w:szCs w:val="32"/>
          <w:highlight w:val="none"/>
        </w:rPr>
        <w:t>.我公司承诺收到中选通知书后，按</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要求与指定银行办理合同费用相关手续。如未按规定要求缴纳履约担保金，</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有权取消我公司中选资格。</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1</w:t>
      </w:r>
      <w:r>
        <w:rPr>
          <w:rFonts w:hint="eastAsia" w:ascii="仿宋" w:hAnsi="仿宋" w:eastAsia="仿宋" w:cs="仿宋"/>
          <w:bCs/>
          <w:color w:val="auto"/>
          <w:spacing w:val="22"/>
          <w:sz w:val="32"/>
          <w:szCs w:val="32"/>
          <w:highlight w:val="none"/>
          <w:lang w:val="en-US" w:eastAsia="zh-CN"/>
        </w:rPr>
        <w:t>5</w:t>
      </w:r>
      <w:r>
        <w:rPr>
          <w:rFonts w:hint="eastAsia" w:ascii="仿宋" w:hAnsi="仿宋" w:eastAsia="仿宋" w:cs="仿宋"/>
          <w:bCs/>
          <w:color w:val="auto"/>
          <w:spacing w:val="22"/>
          <w:sz w:val="32"/>
          <w:szCs w:val="32"/>
          <w:highlight w:val="none"/>
        </w:rPr>
        <w:t>.我公司承诺在收到中选通知书后，于30个自然日内签订合同，超过限期不签订合同的，</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有权取消我公司中选资格。</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1</w:t>
      </w:r>
      <w:r>
        <w:rPr>
          <w:rFonts w:hint="eastAsia" w:ascii="仿宋" w:hAnsi="仿宋" w:eastAsia="仿宋" w:cs="仿宋"/>
          <w:bCs/>
          <w:color w:val="auto"/>
          <w:spacing w:val="22"/>
          <w:sz w:val="32"/>
          <w:szCs w:val="32"/>
          <w:highlight w:val="none"/>
          <w:lang w:val="en-US" w:eastAsia="zh-CN"/>
        </w:rPr>
        <w:t>6</w:t>
      </w:r>
      <w:r>
        <w:rPr>
          <w:rFonts w:hint="eastAsia" w:ascii="仿宋" w:hAnsi="仿宋" w:eastAsia="仿宋" w:cs="仿宋"/>
          <w:bCs/>
          <w:color w:val="auto"/>
          <w:spacing w:val="22"/>
          <w:sz w:val="32"/>
          <w:szCs w:val="32"/>
          <w:highlight w:val="none"/>
        </w:rPr>
        <w:t>.我公司承诺收到中选通知书后，按业主要求办理场地交接手续。如未按要求办理手续或逾期不办理手续的，业主有权取消中选资格。</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1</w:t>
      </w:r>
      <w:r>
        <w:rPr>
          <w:rFonts w:hint="eastAsia" w:ascii="仿宋" w:hAnsi="仿宋" w:eastAsia="仿宋" w:cs="仿宋"/>
          <w:bCs/>
          <w:color w:val="auto"/>
          <w:spacing w:val="22"/>
          <w:sz w:val="32"/>
          <w:szCs w:val="32"/>
          <w:highlight w:val="none"/>
          <w:lang w:val="en-US" w:eastAsia="zh-CN"/>
        </w:rPr>
        <w:t>7</w:t>
      </w:r>
      <w:r>
        <w:rPr>
          <w:rFonts w:hint="eastAsia" w:ascii="仿宋" w:hAnsi="仿宋" w:eastAsia="仿宋" w:cs="仿宋"/>
          <w:bCs/>
          <w:color w:val="auto"/>
          <w:spacing w:val="22"/>
          <w:sz w:val="32"/>
          <w:szCs w:val="32"/>
          <w:highlight w:val="none"/>
        </w:rPr>
        <w:t>.我公司承诺所提交给</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的参评文件材料均真实有效。若提供虚假材料，一经查实，</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有权取消中选资格，且我公司5年内不得参与</w:t>
      </w:r>
      <w:r>
        <w:rPr>
          <w:rFonts w:hint="eastAsia" w:ascii="仿宋" w:hAnsi="仿宋" w:eastAsia="仿宋" w:cs="仿宋"/>
          <w:bCs/>
          <w:color w:val="auto"/>
          <w:spacing w:val="22"/>
          <w:sz w:val="32"/>
          <w:szCs w:val="32"/>
          <w:highlight w:val="none"/>
          <w:lang w:val="en-US" w:eastAsia="zh-CN"/>
        </w:rPr>
        <w:t>业主</w:t>
      </w:r>
      <w:r>
        <w:rPr>
          <w:rFonts w:hint="eastAsia" w:ascii="仿宋" w:hAnsi="仿宋" w:eastAsia="仿宋" w:cs="仿宋"/>
          <w:bCs/>
          <w:color w:val="auto"/>
          <w:spacing w:val="22"/>
          <w:sz w:val="32"/>
          <w:szCs w:val="32"/>
          <w:highlight w:val="none"/>
        </w:rPr>
        <w:t>组织的任何</w:t>
      </w:r>
      <w:r>
        <w:rPr>
          <w:rFonts w:hint="eastAsia" w:ascii="仿宋" w:hAnsi="仿宋" w:eastAsia="仿宋" w:cs="仿宋"/>
          <w:bCs/>
          <w:color w:val="auto"/>
          <w:spacing w:val="22"/>
          <w:sz w:val="32"/>
          <w:szCs w:val="32"/>
          <w:highlight w:val="none"/>
          <w:lang w:val="en-US" w:eastAsia="zh-CN"/>
        </w:rPr>
        <w:t>品牌合作</w:t>
      </w:r>
      <w:r>
        <w:rPr>
          <w:rFonts w:hint="eastAsia" w:ascii="仿宋" w:hAnsi="仿宋" w:eastAsia="仿宋" w:cs="仿宋"/>
          <w:bCs/>
          <w:color w:val="auto"/>
          <w:spacing w:val="22"/>
          <w:sz w:val="32"/>
          <w:szCs w:val="32"/>
          <w:highlight w:val="none"/>
        </w:rPr>
        <w:t>活动。</w:t>
      </w:r>
    </w:p>
    <w:p>
      <w:pPr>
        <w:widowControl/>
        <w:adjustRightInd w:val="0"/>
        <w:spacing w:line="360" w:lineRule="auto"/>
        <w:ind w:firstLine="728" w:firstLineChars="200"/>
        <w:jc w:val="left"/>
        <w:textAlignment w:val="baseline"/>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lang w:val="en-US" w:eastAsia="zh-CN"/>
        </w:rPr>
        <w:t>18</w:t>
      </w:r>
      <w:r>
        <w:rPr>
          <w:rFonts w:hint="eastAsia" w:ascii="仿宋" w:hAnsi="仿宋" w:eastAsia="仿宋" w:cs="仿宋"/>
          <w:bCs/>
          <w:color w:val="auto"/>
          <w:spacing w:val="22"/>
          <w:sz w:val="32"/>
          <w:szCs w:val="32"/>
          <w:highlight w:val="none"/>
        </w:rPr>
        <w:t>.承诺我司不属于贵司所列入黑名单中的企业，及我司董事、监事及高级管理人员所控股的企业或所担任董事、监事及高级管理人员的其他企业未被贵司列入黑名单中的企业。</w:t>
      </w:r>
    </w:p>
    <w:p>
      <w:pPr>
        <w:widowControl/>
        <w:adjustRightInd w:val="0"/>
        <w:spacing w:line="360" w:lineRule="auto"/>
        <w:ind w:firstLine="728" w:firstLineChars="200"/>
        <w:jc w:val="left"/>
        <w:textAlignment w:val="baseline"/>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lang w:val="en-US" w:eastAsia="zh-CN"/>
        </w:rPr>
        <w:t>19.我公司承诺，我公司及</w:t>
      </w:r>
      <w:r>
        <w:rPr>
          <w:rFonts w:hint="eastAsia" w:ascii="仿宋" w:hAnsi="仿宋" w:eastAsia="仿宋" w:cs="仿宋"/>
          <w:bCs/>
          <w:color w:val="auto"/>
          <w:spacing w:val="22"/>
          <w:sz w:val="32"/>
          <w:szCs w:val="32"/>
          <w:highlight w:val="none"/>
          <w:lang w:eastAsia="zh-CN"/>
        </w:rPr>
        <w:t>所控股（含绝对控股与相对控股）的其他企业，</w:t>
      </w:r>
      <w:r>
        <w:rPr>
          <w:rFonts w:hint="eastAsia" w:ascii="仿宋" w:hAnsi="仿宋" w:eastAsia="仿宋" w:cs="仿宋"/>
          <w:bCs/>
          <w:color w:val="auto"/>
          <w:spacing w:val="22"/>
          <w:sz w:val="32"/>
          <w:szCs w:val="32"/>
          <w:highlight w:val="none"/>
          <w:lang w:val="en-US" w:eastAsia="zh-CN"/>
        </w:rPr>
        <w:t>我公司的</w:t>
      </w:r>
      <w:r>
        <w:rPr>
          <w:rFonts w:hint="eastAsia" w:ascii="仿宋" w:hAnsi="仿宋" w:eastAsia="仿宋" w:cs="仿宋"/>
          <w:bCs/>
          <w:color w:val="auto"/>
          <w:spacing w:val="22"/>
          <w:sz w:val="32"/>
          <w:szCs w:val="32"/>
          <w:highlight w:val="none"/>
          <w:lang w:eastAsia="zh-CN"/>
        </w:rPr>
        <w:t>董事、监事、高级管理人员及其配偶所控股（含绝对控股与相对控股）的企业或担任董事、监事及高级管理人员的企业，以及上述企业中其他董事、监事、高级管理人员及其配偶的关联企业，</w:t>
      </w:r>
      <w:r>
        <w:rPr>
          <w:rFonts w:hint="eastAsia" w:ascii="仿宋" w:hAnsi="仿宋" w:eastAsia="仿宋" w:cs="仿宋"/>
          <w:bCs/>
          <w:color w:val="auto"/>
          <w:spacing w:val="22"/>
          <w:sz w:val="32"/>
          <w:szCs w:val="32"/>
          <w:highlight w:val="none"/>
        </w:rPr>
        <w:t>截至</w:t>
      </w:r>
      <w:r>
        <w:rPr>
          <w:rFonts w:hint="eastAsia" w:ascii="仿宋" w:hAnsi="仿宋" w:eastAsia="仿宋" w:cs="仿宋"/>
          <w:bCs/>
          <w:color w:val="auto"/>
          <w:spacing w:val="22"/>
          <w:sz w:val="32"/>
          <w:szCs w:val="32"/>
          <w:highlight w:val="none"/>
          <w:lang w:val="en-US" w:eastAsia="zh-CN"/>
        </w:rPr>
        <w:t>参与</w:t>
      </w:r>
      <w:r>
        <w:rPr>
          <w:rFonts w:hint="eastAsia" w:ascii="仿宋" w:hAnsi="仿宋" w:eastAsia="仿宋" w:cs="仿宋"/>
          <w:bCs/>
          <w:color w:val="auto"/>
          <w:spacing w:val="22"/>
          <w:sz w:val="32"/>
          <w:szCs w:val="32"/>
          <w:highlight w:val="none"/>
        </w:rPr>
        <w:t>评审上月最后一个自然日，与广东省机场管理集团有限公司、广州白云国际机场股份有限公司、或以上两家公司的下属单位合作中不存在欠租、欠费等违约行为。</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与本</w:t>
      </w:r>
      <w:r>
        <w:rPr>
          <w:rFonts w:hint="eastAsia" w:ascii="仿宋" w:hAnsi="仿宋" w:eastAsia="仿宋" w:cs="仿宋"/>
          <w:bCs/>
          <w:color w:val="auto"/>
          <w:spacing w:val="22"/>
          <w:sz w:val="32"/>
          <w:szCs w:val="32"/>
          <w:highlight w:val="none"/>
          <w:lang w:val="en-US" w:eastAsia="zh-CN"/>
        </w:rPr>
        <w:t>项目</w:t>
      </w:r>
      <w:r>
        <w:rPr>
          <w:rFonts w:hint="eastAsia" w:ascii="仿宋" w:hAnsi="仿宋" w:eastAsia="仿宋" w:cs="仿宋"/>
          <w:bCs/>
          <w:color w:val="auto"/>
          <w:spacing w:val="22"/>
          <w:sz w:val="32"/>
          <w:szCs w:val="32"/>
          <w:highlight w:val="none"/>
        </w:rPr>
        <w:t>有关的一切正式往来通讯（包括中选通知书）请寄：</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地址:</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邮编：</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联系人：</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联系人电话：</w:t>
      </w:r>
    </w:p>
    <w:p>
      <w:pPr>
        <w:spacing w:line="360" w:lineRule="auto"/>
        <w:ind w:firstLine="728" w:firstLineChars="200"/>
        <w:rPr>
          <w:rFonts w:hint="eastAsia" w:ascii="仿宋" w:hAnsi="仿宋" w:eastAsia="仿宋" w:cs="仿宋"/>
          <w:bCs/>
          <w:color w:val="auto"/>
          <w:spacing w:val="22"/>
          <w:sz w:val="32"/>
          <w:szCs w:val="32"/>
          <w:highlight w:val="none"/>
          <w:u w:val="single"/>
        </w:rPr>
      </w:pPr>
      <w:r>
        <w:rPr>
          <w:rFonts w:hint="eastAsia" w:ascii="仿宋" w:hAnsi="仿宋" w:eastAsia="仿宋" w:cs="仿宋"/>
          <w:bCs/>
          <w:color w:val="auto"/>
          <w:spacing w:val="22"/>
          <w:sz w:val="32"/>
          <w:szCs w:val="32"/>
          <w:highlight w:val="none"/>
        </w:rPr>
        <w:t>响应人法定代表人（或授权代表）姓名、职务：</w:t>
      </w:r>
    </w:p>
    <w:p>
      <w:pPr>
        <w:spacing w:line="360" w:lineRule="auto"/>
        <w:ind w:firstLine="728" w:firstLineChars="20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响应人名称：</w:t>
      </w:r>
    </w:p>
    <w:p>
      <w:pPr>
        <w:spacing w:line="360" w:lineRule="auto"/>
        <w:ind w:firstLine="480"/>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在正式合同签署前，本响应承诺函和贵公司的中选通知书是有效之合约，并对我方具有约束力。</w:t>
      </w:r>
    </w:p>
    <w:p>
      <w:pPr>
        <w:spacing w:line="360" w:lineRule="auto"/>
        <w:rPr>
          <w:rFonts w:hint="eastAsia" w:ascii="仿宋" w:hAnsi="仿宋" w:eastAsia="仿宋" w:cs="仿宋"/>
          <w:bCs/>
          <w:color w:val="auto"/>
          <w:spacing w:val="22"/>
          <w:sz w:val="32"/>
          <w:szCs w:val="32"/>
          <w:highlight w:val="none"/>
        </w:rPr>
      </w:pPr>
    </w:p>
    <w:p>
      <w:pPr>
        <w:wordWrap w:val="0"/>
        <w:spacing w:line="360" w:lineRule="auto"/>
        <w:ind w:firstLine="3822" w:firstLineChars="1050"/>
        <w:jc w:val="right"/>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 xml:space="preserve">响应人（公章）：        </w:t>
      </w:r>
    </w:p>
    <w:p>
      <w:pPr>
        <w:wordWrap w:val="0"/>
        <w:spacing w:line="360" w:lineRule="auto"/>
        <w:ind w:firstLine="1092" w:firstLineChars="300"/>
        <w:jc w:val="right"/>
        <w:rPr>
          <w:rFonts w:hint="eastAsia" w:ascii="仿宋" w:hAnsi="仿宋" w:eastAsia="仿宋" w:cs="仿宋"/>
          <w:bCs/>
          <w:color w:val="auto"/>
          <w:spacing w:val="22"/>
          <w:sz w:val="32"/>
          <w:szCs w:val="32"/>
          <w:highlight w:val="none"/>
        </w:rPr>
      </w:pPr>
      <w:r>
        <w:rPr>
          <w:rFonts w:hint="eastAsia" w:ascii="仿宋" w:hAnsi="仿宋" w:eastAsia="仿宋" w:cs="仿宋"/>
          <w:bCs/>
          <w:color w:val="auto"/>
          <w:spacing w:val="22"/>
          <w:sz w:val="32"/>
          <w:szCs w:val="32"/>
          <w:highlight w:val="none"/>
        </w:rPr>
        <w:t xml:space="preserve">法定代表人（或授权代表）签字：        </w:t>
      </w:r>
    </w:p>
    <w:p>
      <w:pPr>
        <w:wordWrap w:val="0"/>
        <w:spacing w:line="360" w:lineRule="auto"/>
        <w:ind w:firstLine="5460" w:firstLineChars="1500"/>
        <w:jc w:val="center"/>
        <w:rPr>
          <w:rFonts w:ascii="宋体" w:hAnsi="宋体" w:eastAsia="宋体" w:cs="宋体"/>
          <w:bCs/>
          <w:color w:val="auto"/>
          <w:spacing w:val="22"/>
          <w:highlight w:val="none"/>
        </w:rPr>
      </w:pPr>
      <w:r>
        <w:rPr>
          <w:rFonts w:hint="eastAsia" w:ascii="仿宋" w:hAnsi="仿宋" w:eastAsia="仿宋" w:cs="仿宋"/>
          <w:bCs/>
          <w:color w:val="auto"/>
          <w:spacing w:val="22"/>
          <w:sz w:val="32"/>
          <w:szCs w:val="32"/>
          <w:highlight w:val="none"/>
        </w:rPr>
        <w:t xml:space="preserve">日期： </w:t>
      </w:r>
      <w:r>
        <w:rPr>
          <w:rFonts w:ascii="宋体" w:hAnsi="宋体" w:eastAsia="宋体" w:cs="宋体"/>
          <w:bCs/>
          <w:color w:val="auto"/>
          <w:spacing w:val="22"/>
          <w:highlight w:val="none"/>
        </w:rPr>
        <w:t xml:space="preserve">       </w:t>
      </w:r>
    </w:p>
    <w:p>
      <w:pPr>
        <w:pStyle w:val="8"/>
        <w:spacing w:line="600" w:lineRule="auto"/>
        <w:rPr>
          <w:rFonts w:hint="eastAsia" w:ascii="宋体" w:hAnsi="宋体" w:cs="宋体"/>
          <w:color w:val="auto"/>
          <w:sz w:val="24"/>
          <w:highlight w:val="none"/>
          <w:lang w:val="en-US" w:eastAsia="zh-CN"/>
        </w:rPr>
      </w:pPr>
    </w:p>
    <w:p>
      <w:pPr>
        <w:pStyle w:val="8"/>
        <w:spacing w:line="600" w:lineRule="auto"/>
        <w:rPr>
          <w:rFonts w:hint="eastAsia" w:ascii="宋体" w:hAnsi="宋体" w:cs="宋体"/>
          <w:color w:val="auto"/>
          <w:sz w:val="24"/>
          <w:highlight w:val="none"/>
          <w:lang w:val="en-US" w:eastAsia="zh-CN"/>
        </w:rPr>
      </w:pPr>
    </w:p>
    <w:p>
      <w:pPr>
        <w:pStyle w:val="8"/>
        <w:spacing w:line="600" w:lineRule="auto"/>
        <w:rPr>
          <w:rFonts w:hint="eastAsia" w:ascii="宋体" w:hAnsi="宋体" w:cs="宋体"/>
          <w:color w:val="auto"/>
          <w:sz w:val="24"/>
          <w:highlight w:val="none"/>
          <w:lang w:val="en-US" w:eastAsia="zh-CN"/>
        </w:rPr>
      </w:pPr>
    </w:p>
    <w:p>
      <w:pPr>
        <w:pStyle w:val="8"/>
        <w:spacing w:line="600" w:lineRule="auto"/>
        <w:rPr>
          <w:rFonts w:hint="eastAsia" w:ascii="宋体" w:hAnsi="宋体" w:cs="宋体"/>
          <w:color w:val="auto"/>
          <w:sz w:val="24"/>
          <w:highlight w:val="none"/>
          <w:lang w:val="en-US" w:eastAsia="zh-CN"/>
        </w:rPr>
      </w:pPr>
    </w:p>
    <w:p>
      <w:pPr>
        <w:pStyle w:val="8"/>
        <w:spacing w:line="600" w:lineRule="auto"/>
        <w:rPr>
          <w:rFonts w:hint="eastAsia" w:ascii="宋体" w:hAnsi="宋体" w:cs="宋体"/>
          <w:color w:val="auto"/>
          <w:sz w:val="24"/>
          <w:highlight w:val="none"/>
          <w:lang w:val="en-US" w:eastAsia="zh-CN"/>
        </w:rPr>
      </w:pPr>
    </w:p>
    <w:p>
      <w:pPr>
        <w:pStyle w:val="8"/>
        <w:spacing w:line="600" w:lineRule="auto"/>
        <w:rPr>
          <w:rFonts w:hint="eastAsia" w:ascii="宋体" w:hAnsi="宋体" w:cs="宋体"/>
          <w:color w:val="auto"/>
          <w:sz w:val="24"/>
          <w:highlight w:val="none"/>
          <w:lang w:val="en-US" w:eastAsia="zh-CN"/>
        </w:rPr>
      </w:pPr>
    </w:p>
    <w:p>
      <w:pPr>
        <w:pStyle w:val="8"/>
        <w:spacing w:line="600" w:lineRule="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附件4</w:t>
      </w:r>
    </w:p>
    <w:p>
      <w:pPr>
        <w:pStyle w:val="8"/>
        <w:spacing w:line="600" w:lineRule="auto"/>
        <w:jc w:val="center"/>
        <w:rPr>
          <w:rFonts w:hint="default" w:hAnsi="宋体" w:eastAsia="宋体" w:cs="宋体"/>
          <w:b/>
          <w:bCs/>
          <w:color w:val="auto"/>
          <w:sz w:val="32"/>
          <w:szCs w:val="32"/>
          <w:highlight w:val="none"/>
          <w:lang w:val="en-US" w:eastAsia="zh-CN"/>
        </w:rPr>
      </w:pPr>
      <w:r>
        <w:rPr>
          <w:rFonts w:hint="eastAsia" w:hAnsi="宋体" w:cs="宋体"/>
          <w:b/>
          <w:bCs/>
          <w:color w:val="auto"/>
          <w:sz w:val="44"/>
          <w:szCs w:val="44"/>
          <w:highlight w:val="none"/>
          <w:lang w:val="en-US" w:eastAsia="zh-CN"/>
        </w:rPr>
        <w:t>参评文件主要内容</w:t>
      </w:r>
    </w:p>
    <w:tbl>
      <w:tblPr>
        <w:tblStyle w:val="19"/>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3840"/>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6" w:type="dxa"/>
            <w:gridSpan w:val="2"/>
            <w:vAlign w:val="center"/>
          </w:tcPr>
          <w:p>
            <w:pPr>
              <w:pStyle w:val="24"/>
              <w:keepNext w:val="0"/>
              <w:adjustRightInd/>
              <w:spacing w:before="0" w:after="0" w:line="240" w:lineRule="auto"/>
              <w:textAlignment w:val="auto"/>
              <w:rPr>
                <w:rFonts w:hint="eastAsia" w:ascii="仿宋" w:hAnsi="仿宋" w:eastAsia="仿宋" w:cs="仿宋"/>
                <w:b/>
                <w:bCs/>
                <w:snapToGrid/>
                <w:color w:val="auto"/>
                <w:spacing w:val="0"/>
                <w:kern w:val="2"/>
                <w:sz w:val="32"/>
                <w:szCs w:val="32"/>
                <w:highlight w:val="none"/>
              </w:rPr>
            </w:pPr>
            <w:r>
              <w:rPr>
                <w:rFonts w:hint="eastAsia" w:ascii="仿宋" w:hAnsi="仿宋" w:eastAsia="仿宋" w:cs="仿宋"/>
                <w:b/>
                <w:bCs/>
                <w:snapToGrid/>
                <w:color w:val="auto"/>
                <w:spacing w:val="0"/>
                <w:kern w:val="2"/>
                <w:sz w:val="32"/>
                <w:szCs w:val="32"/>
                <w:highlight w:val="none"/>
              </w:rPr>
              <w:t>评审项目</w:t>
            </w:r>
          </w:p>
        </w:tc>
        <w:tc>
          <w:tcPr>
            <w:tcW w:w="3045" w:type="dxa"/>
            <w:vAlign w:val="center"/>
          </w:tcPr>
          <w:p>
            <w:pPr>
              <w:pStyle w:val="24"/>
              <w:keepNext w:val="0"/>
              <w:adjustRightInd/>
              <w:spacing w:before="0" w:after="0" w:line="240" w:lineRule="auto"/>
              <w:textAlignment w:val="auto"/>
              <w:rPr>
                <w:rFonts w:hint="eastAsia" w:ascii="仿宋" w:hAnsi="仿宋" w:eastAsia="仿宋" w:cs="仿宋"/>
                <w:b/>
                <w:bCs/>
                <w:snapToGrid/>
                <w:color w:val="auto"/>
                <w:spacing w:val="0"/>
                <w:kern w:val="2"/>
                <w:sz w:val="32"/>
                <w:szCs w:val="32"/>
                <w:highlight w:val="none"/>
              </w:rPr>
            </w:pPr>
            <w:r>
              <w:rPr>
                <w:rFonts w:hint="eastAsia" w:ascii="仿宋" w:hAnsi="仿宋" w:eastAsia="仿宋" w:cs="仿宋"/>
                <w:b/>
                <w:bCs/>
                <w:snapToGrid/>
                <w:color w:val="auto"/>
                <w:spacing w:val="0"/>
                <w:kern w:val="2"/>
                <w:sz w:val="32"/>
                <w:szCs w:val="32"/>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6" w:type="dxa"/>
            <w:gridSpan w:val="2"/>
            <w:vAlign w:val="center"/>
          </w:tcPr>
          <w:p>
            <w:pPr>
              <w:pStyle w:val="14"/>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企业技术能力</w:t>
            </w:r>
          </w:p>
        </w:tc>
        <w:tc>
          <w:tcPr>
            <w:tcW w:w="3045" w:type="dxa"/>
            <w:vAlign w:val="center"/>
          </w:tcPr>
          <w:p>
            <w:pPr>
              <w:pStyle w:val="14"/>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见文件第（）页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766" w:type="dxa"/>
            <w:gridSpan w:val="2"/>
            <w:vAlign w:val="center"/>
          </w:tcPr>
          <w:p>
            <w:pPr>
              <w:pStyle w:val="14"/>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形象外观</w:t>
            </w:r>
          </w:p>
        </w:tc>
        <w:tc>
          <w:tcPr>
            <w:tcW w:w="3045" w:type="dxa"/>
            <w:vAlign w:val="center"/>
          </w:tcPr>
          <w:p>
            <w:pPr>
              <w:pStyle w:val="14"/>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见文件第（）页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6" w:type="dxa"/>
            <w:vMerge w:val="restart"/>
            <w:vAlign w:val="center"/>
          </w:tcPr>
          <w:p>
            <w:pPr>
              <w:spacing w:before="72" w:after="72" w:line="276"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服务方案</w:t>
            </w:r>
          </w:p>
        </w:tc>
        <w:tc>
          <w:tcPr>
            <w:tcW w:w="3840" w:type="dxa"/>
            <w:vAlign w:val="center"/>
          </w:tcPr>
          <w:p>
            <w:pPr>
              <w:spacing w:before="72" w:after="72" w:line="276"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人员投入</w:t>
            </w:r>
          </w:p>
        </w:tc>
        <w:tc>
          <w:tcPr>
            <w:tcW w:w="3045" w:type="dxa"/>
            <w:vAlign w:val="center"/>
          </w:tcPr>
          <w:p>
            <w:pPr>
              <w:pStyle w:val="14"/>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见文件第（）页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6" w:type="dxa"/>
            <w:vMerge w:val="continue"/>
            <w:vAlign w:val="center"/>
          </w:tcPr>
          <w:p>
            <w:pPr>
              <w:spacing w:before="72" w:after="72" w:line="276" w:lineRule="auto"/>
              <w:jc w:val="center"/>
              <w:rPr>
                <w:rFonts w:hint="eastAsia" w:ascii="仿宋" w:hAnsi="仿宋" w:eastAsia="仿宋" w:cs="仿宋"/>
                <w:color w:val="auto"/>
                <w:sz w:val="32"/>
                <w:szCs w:val="32"/>
                <w:highlight w:val="none"/>
              </w:rPr>
            </w:pPr>
          </w:p>
        </w:tc>
        <w:tc>
          <w:tcPr>
            <w:tcW w:w="3840" w:type="dxa"/>
            <w:vAlign w:val="center"/>
          </w:tcPr>
          <w:p>
            <w:pPr>
              <w:spacing w:before="72" w:after="72" w:line="276"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响应时间</w:t>
            </w:r>
          </w:p>
        </w:tc>
        <w:tc>
          <w:tcPr>
            <w:tcW w:w="3045" w:type="dxa"/>
            <w:vAlign w:val="center"/>
          </w:tcPr>
          <w:p>
            <w:pPr>
              <w:pStyle w:val="14"/>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见文件第（）页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6" w:type="dxa"/>
            <w:vMerge w:val="continue"/>
            <w:vAlign w:val="center"/>
          </w:tcPr>
          <w:p>
            <w:pPr>
              <w:spacing w:before="72" w:after="72" w:line="276" w:lineRule="auto"/>
              <w:jc w:val="center"/>
              <w:rPr>
                <w:rFonts w:hint="eastAsia" w:ascii="仿宋" w:hAnsi="仿宋" w:eastAsia="仿宋" w:cs="仿宋"/>
                <w:color w:val="auto"/>
                <w:sz w:val="32"/>
                <w:szCs w:val="32"/>
                <w:highlight w:val="none"/>
              </w:rPr>
            </w:pPr>
          </w:p>
        </w:tc>
        <w:tc>
          <w:tcPr>
            <w:tcW w:w="3840" w:type="dxa"/>
            <w:vAlign w:val="center"/>
          </w:tcPr>
          <w:p>
            <w:pPr>
              <w:spacing w:before="72" w:after="72" w:line="276"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水质检测频率</w:t>
            </w:r>
          </w:p>
        </w:tc>
        <w:tc>
          <w:tcPr>
            <w:tcW w:w="3045" w:type="dxa"/>
            <w:vAlign w:val="center"/>
          </w:tcPr>
          <w:p>
            <w:pPr>
              <w:pStyle w:val="14"/>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见文件第（）页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6" w:type="dxa"/>
            <w:vMerge w:val="continue"/>
            <w:vAlign w:val="center"/>
          </w:tcPr>
          <w:p>
            <w:pPr>
              <w:spacing w:before="72" w:after="72" w:line="276" w:lineRule="auto"/>
              <w:jc w:val="center"/>
              <w:rPr>
                <w:rFonts w:hint="eastAsia" w:ascii="仿宋" w:hAnsi="仿宋" w:eastAsia="仿宋" w:cs="仿宋"/>
                <w:color w:val="auto"/>
                <w:sz w:val="32"/>
                <w:szCs w:val="32"/>
                <w:highlight w:val="none"/>
              </w:rPr>
            </w:pPr>
          </w:p>
        </w:tc>
        <w:tc>
          <w:tcPr>
            <w:tcW w:w="3840" w:type="dxa"/>
            <w:vAlign w:val="center"/>
          </w:tcPr>
          <w:p>
            <w:pPr>
              <w:spacing w:before="72" w:after="72" w:line="276"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耗材更换频次</w:t>
            </w:r>
          </w:p>
        </w:tc>
        <w:tc>
          <w:tcPr>
            <w:tcW w:w="3045" w:type="dxa"/>
            <w:vAlign w:val="center"/>
          </w:tcPr>
          <w:p>
            <w:pPr>
              <w:pStyle w:val="14"/>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见文件第（）页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6" w:type="dxa"/>
            <w:vMerge w:val="continue"/>
            <w:vAlign w:val="center"/>
          </w:tcPr>
          <w:p>
            <w:pPr>
              <w:spacing w:before="72" w:after="72" w:line="276" w:lineRule="auto"/>
              <w:jc w:val="center"/>
              <w:rPr>
                <w:rFonts w:hint="eastAsia" w:ascii="仿宋" w:hAnsi="仿宋" w:eastAsia="仿宋" w:cs="仿宋"/>
                <w:color w:val="auto"/>
                <w:sz w:val="32"/>
                <w:szCs w:val="32"/>
                <w:highlight w:val="none"/>
              </w:rPr>
            </w:pPr>
          </w:p>
        </w:tc>
        <w:tc>
          <w:tcPr>
            <w:tcW w:w="3840" w:type="dxa"/>
            <w:vAlign w:val="center"/>
          </w:tcPr>
          <w:p>
            <w:pPr>
              <w:spacing w:before="72" w:after="72" w:line="276"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维修效率</w:t>
            </w:r>
          </w:p>
        </w:tc>
        <w:tc>
          <w:tcPr>
            <w:tcW w:w="3045" w:type="dxa"/>
            <w:vAlign w:val="center"/>
          </w:tcPr>
          <w:p>
            <w:pPr>
              <w:pStyle w:val="14"/>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见文件第（）页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6" w:type="dxa"/>
            <w:vMerge w:val="restart"/>
            <w:vAlign w:val="center"/>
          </w:tcPr>
          <w:p>
            <w:pPr>
              <w:spacing w:before="72" w:after="72" w:line="276"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应急预案</w:t>
            </w:r>
          </w:p>
        </w:tc>
        <w:tc>
          <w:tcPr>
            <w:tcW w:w="3840" w:type="dxa"/>
            <w:vAlign w:val="center"/>
          </w:tcPr>
          <w:p>
            <w:pPr>
              <w:spacing w:before="72" w:after="72" w:line="276"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公共卫生事件应急预案</w:t>
            </w:r>
          </w:p>
        </w:tc>
        <w:tc>
          <w:tcPr>
            <w:tcW w:w="3045" w:type="dxa"/>
            <w:vAlign w:val="center"/>
          </w:tcPr>
          <w:p>
            <w:pPr>
              <w:pStyle w:val="14"/>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见文件第（）页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6" w:type="dxa"/>
            <w:vMerge w:val="continue"/>
            <w:vAlign w:val="center"/>
          </w:tcPr>
          <w:p>
            <w:pPr>
              <w:spacing w:before="72" w:after="72" w:line="276" w:lineRule="auto"/>
              <w:jc w:val="center"/>
              <w:rPr>
                <w:rFonts w:hint="eastAsia" w:ascii="仿宋" w:hAnsi="仿宋" w:eastAsia="仿宋" w:cs="仿宋"/>
                <w:color w:val="auto"/>
                <w:sz w:val="32"/>
                <w:szCs w:val="32"/>
                <w:highlight w:val="none"/>
              </w:rPr>
            </w:pPr>
          </w:p>
        </w:tc>
        <w:tc>
          <w:tcPr>
            <w:tcW w:w="3840" w:type="dxa"/>
            <w:vAlign w:val="center"/>
          </w:tcPr>
          <w:p>
            <w:pPr>
              <w:spacing w:before="72" w:after="72" w:line="276"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大面积航班延误应急预案</w:t>
            </w:r>
          </w:p>
        </w:tc>
        <w:tc>
          <w:tcPr>
            <w:tcW w:w="3045" w:type="dxa"/>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见文件第（）页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6" w:type="dxa"/>
            <w:vMerge w:val="continue"/>
            <w:vAlign w:val="center"/>
          </w:tcPr>
          <w:p>
            <w:pPr>
              <w:spacing w:before="72" w:after="72" w:line="276" w:lineRule="auto"/>
              <w:jc w:val="center"/>
              <w:rPr>
                <w:rFonts w:hint="eastAsia" w:ascii="仿宋" w:hAnsi="仿宋" w:eastAsia="仿宋" w:cs="仿宋"/>
                <w:color w:val="auto"/>
                <w:sz w:val="32"/>
                <w:szCs w:val="32"/>
                <w:highlight w:val="none"/>
              </w:rPr>
            </w:pPr>
          </w:p>
        </w:tc>
        <w:tc>
          <w:tcPr>
            <w:tcW w:w="3840" w:type="dxa"/>
            <w:vAlign w:val="center"/>
          </w:tcPr>
          <w:p>
            <w:pPr>
              <w:spacing w:before="72" w:after="72" w:line="276"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停水停电应急预案</w:t>
            </w:r>
          </w:p>
        </w:tc>
        <w:tc>
          <w:tcPr>
            <w:tcW w:w="3045" w:type="dxa"/>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见文件第（）页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6" w:type="dxa"/>
            <w:gridSpan w:val="2"/>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需求及合同条款响应</w:t>
            </w:r>
          </w:p>
        </w:tc>
        <w:tc>
          <w:tcPr>
            <w:tcW w:w="3045" w:type="dxa"/>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见文件第（）页</w:t>
            </w:r>
          </w:p>
        </w:tc>
      </w:tr>
    </w:tbl>
    <w:p>
      <w:pPr>
        <w:adjustRightInd w:val="0"/>
        <w:snapToGrid w:val="0"/>
        <w:spacing w:line="300" w:lineRule="auto"/>
        <w:rPr>
          <w:rFonts w:hint="eastAsia" w:ascii="仿宋" w:hAnsi="仿宋" w:eastAsia="仿宋" w:cs="仿宋"/>
          <w:color w:val="auto"/>
          <w:sz w:val="32"/>
          <w:szCs w:val="32"/>
          <w:highlight w:val="none"/>
        </w:rPr>
      </w:pPr>
    </w:p>
    <w:p>
      <w:pPr>
        <w:adjustRightInd w:val="0"/>
        <w:snapToGrid w:val="0"/>
        <w:spacing w:line="600" w:lineRule="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lang w:val="en-US" w:eastAsia="zh-CN"/>
        </w:rPr>
        <w:t>合作方</w:t>
      </w:r>
      <w:r>
        <w:rPr>
          <w:rFonts w:hint="eastAsia" w:ascii="仿宋" w:hAnsi="仿宋" w:eastAsia="仿宋" w:cs="仿宋"/>
          <w:color w:val="auto"/>
          <w:sz w:val="32"/>
          <w:szCs w:val="32"/>
          <w:highlight w:val="none"/>
        </w:rPr>
        <w:t>法定代表人（或法定代表人授权代表）签字或盖章：</w:t>
      </w:r>
      <w:r>
        <w:rPr>
          <w:rFonts w:hint="eastAsia" w:ascii="仿宋" w:hAnsi="仿宋" w:eastAsia="仿宋" w:cs="仿宋"/>
          <w:color w:val="auto"/>
          <w:sz w:val="32"/>
          <w:szCs w:val="32"/>
          <w:highlight w:val="none"/>
          <w:u w:val="single"/>
        </w:rPr>
        <w:t xml:space="preserve">               </w:t>
      </w:r>
    </w:p>
    <w:p>
      <w:pPr>
        <w:adjustRightInd w:val="0"/>
        <w:snapToGrid w:val="0"/>
        <w:spacing w:line="600" w:lineRule="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lang w:val="en-US" w:eastAsia="zh-CN"/>
        </w:rPr>
        <w:t>合作方</w:t>
      </w:r>
      <w:r>
        <w:rPr>
          <w:rFonts w:hint="eastAsia" w:ascii="仿宋" w:hAnsi="仿宋" w:eastAsia="仿宋" w:cs="仿宋"/>
          <w:color w:val="auto"/>
          <w:sz w:val="32"/>
          <w:szCs w:val="32"/>
          <w:highlight w:val="none"/>
        </w:rPr>
        <w:t>名称（盖章）：</w:t>
      </w:r>
      <w:r>
        <w:rPr>
          <w:rFonts w:hint="eastAsia" w:ascii="仿宋" w:hAnsi="仿宋" w:eastAsia="仿宋" w:cs="仿宋"/>
          <w:color w:val="auto"/>
          <w:sz w:val="32"/>
          <w:szCs w:val="32"/>
          <w:highlight w:val="none"/>
          <w:u w:val="single"/>
        </w:rPr>
        <w:t xml:space="preserve">                                          </w:t>
      </w:r>
    </w:p>
    <w:p>
      <w:pPr>
        <w:pStyle w:val="8"/>
        <w:spacing w:line="600" w:lineRule="auto"/>
        <w:rPr>
          <w:color w:val="auto"/>
          <w:sz w:val="21"/>
          <w:szCs w:val="21"/>
          <w:highlight w:val="none"/>
        </w:rPr>
      </w:pPr>
      <w:r>
        <w:rPr>
          <w:rFonts w:hint="eastAsia" w:ascii="仿宋" w:hAnsi="仿宋" w:eastAsia="仿宋" w:cs="仿宋"/>
          <w:color w:val="auto"/>
          <w:sz w:val="32"/>
          <w:szCs w:val="32"/>
          <w:highlight w:val="none"/>
        </w:rPr>
        <w:t>日期：     年     月     日</w:t>
      </w:r>
    </w:p>
    <w:p>
      <w:pPr>
        <w:rPr>
          <w:color w:val="auto"/>
          <w:highlight w:val="none"/>
        </w:rPr>
      </w:pPr>
    </w:p>
    <w:p>
      <w:pPr>
        <w:pStyle w:val="8"/>
        <w:spacing w:line="600" w:lineRule="auto"/>
        <w:jc w:val="center"/>
        <w:rPr>
          <w:rFonts w:hint="default" w:ascii="宋体" w:hAnsi="宋体"/>
          <w:b/>
          <w:color w:val="auto"/>
          <w:sz w:val="44"/>
          <w:szCs w:val="44"/>
          <w:highlight w:val="none"/>
          <w:lang w:val="en-US" w:eastAsia="zh-CN"/>
        </w:rPr>
      </w:pPr>
    </w:p>
    <w:p>
      <w:pPr>
        <w:pStyle w:val="8"/>
        <w:spacing w:line="600" w:lineRule="auto"/>
        <w:rPr>
          <w:rFonts w:hint="eastAsia" w:ascii="黑体" w:hAnsi="黑体" w:eastAsia="黑体" w:cs="黑体"/>
          <w:color w:val="auto"/>
          <w:sz w:val="32"/>
          <w:szCs w:val="32"/>
          <w:highlight w:val="none"/>
          <w:lang w:val="en-US" w:eastAsia="zh-CN"/>
        </w:rPr>
      </w:pPr>
    </w:p>
    <w:p>
      <w:pPr>
        <w:pStyle w:val="8"/>
        <w:spacing w:line="600" w:lineRule="auto"/>
        <w:rPr>
          <w:rFonts w:hint="eastAsia" w:ascii="黑体" w:hAnsi="黑体" w:eastAsia="黑体" w:cs="黑体"/>
          <w:color w:val="auto"/>
          <w:sz w:val="32"/>
          <w:szCs w:val="32"/>
          <w:highlight w:val="none"/>
          <w:lang w:val="en-US" w:eastAsia="zh-CN"/>
        </w:rPr>
      </w:pPr>
    </w:p>
    <w:p>
      <w:pPr>
        <w:pStyle w:val="8"/>
        <w:spacing w:line="600" w:lineRule="auto"/>
        <w:rPr>
          <w:rFonts w:hint="eastAsia" w:ascii="黑体" w:hAnsi="黑体" w:eastAsia="黑体" w:cs="黑体"/>
          <w:color w:val="auto"/>
          <w:sz w:val="32"/>
          <w:szCs w:val="32"/>
          <w:highlight w:val="none"/>
          <w:lang w:val="en-US" w:eastAsia="zh-CN"/>
        </w:rPr>
      </w:pPr>
    </w:p>
    <w:p>
      <w:pPr>
        <w:pStyle w:val="8"/>
        <w:spacing w:line="600" w:lineRule="auto"/>
        <w:rPr>
          <w:rFonts w:hint="eastAsia" w:ascii="黑体" w:hAnsi="黑体" w:eastAsia="黑体" w:cs="黑体"/>
          <w:color w:val="auto"/>
          <w:sz w:val="32"/>
          <w:szCs w:val="32"/>
          <w:highlight w:val="none"/>
          <w:lang w:val="en-US" w:eastAsia="zh-CN"/>
        </w:rPr>
      </w:pPr>
    </w:p>
    <w:p>
      <w:pPr>
        <w:pStyle w:val="8"/>
        <w:spacing w:line="600" w:lineRule="auto"/>
        <w:rPr>
          <w:rFonts w:hint="eastAsia" w:ascii="黑体" w:hAnsi="黑体" w:eastAsia="黑体" w:cs="黑体"/>
          <w:color w:val="auto"/>
          <w:sz w:val="32"/>
          <w:szCs w:val="32"/>
          <w:highlight w:val="none"/>
          <w:lang w:val="en-US" w:eastAsia="zh-CN"/>
        </w:rPr>
      </w:pPr>
    </w:p>
    <w:p>
      <w:pPr>
        <w:pStyle w:val="8"/>
        <w:spacing w:line="600" w:lineRule="auto"/>
        <w:rPr>
          <w:rFonts w:hint="eastAsia" w:ascii="黑体" w:hAnsi="黑体" w:eastAsia="黑体" w:cs="黑体"/>
          <w:color w:val="auto"/>
          <w:sz w:val="32"/>
          <w:szCs w:val="32"/>
          <w:highlight w:val="none"/>
          <w:lang w:val="en-US" w:eastAsia="zh-CN"/>
        </w:rPr>
      </w:pPr>
    </w:p>
    <w:p>
      <w:pPr>
        <w:pStyle w:val="8"/>
        <w:spacing w:line="600" w:lineRule="auto"/>
        <w:rPr>
          <w:rFonts w:hint="eastAsia" w:ascii="黑体" w:hAnsi="黑体" w:eastAsia="黑体" w:cs="黑体"/>
          <w:color w:val="auto"/>
          <w:sz w:val="32"/>
          <w:szCs w:val="32"/>
          <w:highlight w:val="none"/>
          <w:lang w:val="en-US" w:eastAsia="zh-CN"/>
        </w:rPr>
      </w:pPr>
    </w:p>
    <w:p>
      <w:pPr>
        <w:pStyle w:val="8"/>
        <w:spacing w:line="600" w:lineRule="auto"/>
        <w:rPr>
          <w:rFonts w:hint="eastAsia" w:ascii="黑体" w:hAnsi="黑体" w:eastAsia="黑体" w:cs="黑体"/>
          <w:color w:val="auto"/>
          <w:sz w:val="32"/>
          <w:szCs w:val="32"/>
          <w:highlight w:val="none"/>
          <w:lang w:val="en-US" w:eastAsia="zh-CN"/>
        </w:rPr>
      </w:pPr>
    </w:p>
    <w:p>
      <w:pPr>
        <w:pStyle w:val="8"/>
        <w:spacing w:line="600" w:lineRule="auto"/>
        <w:rPr>
          <w:rFonts w:hint="eastAsia" w:ascii="黑体" w:hAnsi="黑体" w:eastAsia="黑体" w:cs="黑体"/>
          <w:color w:val="auto"/>
          <w:sz w:val="32"/>
          <w:szCs w:val="32"/>
          <w:highlight w:val="none"/>
          <w:lang w:val="en-US" w:eastAsia="zh-CN"/>
        </w:rPr>
      </w:pPr>
    </w:p>
    <w:p>
      <w:pPr>
        <w:pStyle w:val="8"/>
        <w:spacing w:line="600" w:lineRule="auto"/>
        <w:rPr>
          <w:rFonts w:hint="eastAsia" w:ascii="黑体" w:hAnsi="黑体" w:eastAsia="黑体" w:cs="黑体"/>
          <w:color w:val="auto"/>
          <w:sz w:val="32"/>
          <w:szCs w:val="32"/>
          <w:highlight w:val="none"/>
          <w:lang w:val="en-US" w:eastAsia="zh-CN"/>
        </w:rPr>
      </w:pPr>
    </w:p>
    <w:p>
      <w:pPr>
        <w:pStyle w:val="8"/>
        <w:spacing w:line="600" w:lineRule="auto"/>
        <w:rPr>
          <w:rFonts w:hint="eastAsia" w:ascii="黑体" w:hAnsi="黑体" w:eastAsia="黑体" w:cs="黑体"/>
          <w:color w:val="auto"/>
          <w:sz w:val="32"/>
          <w:szCs w:val="32"/>
          <w:highlight w:val="none"/>
          <w:lang w:val="en-US"/>
        </w:rPr>
      </w:pPr>
      <w:r>
        <w:rPr>
          <w:rFonts w:hint="eastAsia" w:ascii="黑体" w:hAnsi="黑体" w:eastAsia="黑体" w:cs="黑体"/>
          <w:color w:val="auto"/>
          <w:sz w:val="32"/>
          <w:szCs w:val="32"/>
          <w:highlight w:val="none"/>
          <w:lang w:val="en-US" w:eastAsia="zh-CN"/>
        </w:rPr>
        <w:t>附件5</w:t>
      </w:r>
    </w:p>
    <w:p>
      <w:pPr>
        <w:jc w:val="center"/>
        <w:rPr>
          <w:color w:val="auto"/>
          <w:highlight w:val="none"/>
        </w:rPr>
      </w:pPr>
      <w:r>
        <w:rPr>
          <w:rFonts w:hint="eastAsia" w:ascii="宋体" w:hAnsi="宋体" w:cs="宋体"/>
          <w:b/>
          <w:bCs/>
          <w:color w:val="auto"/>
          <w:sz w:val="44"/>
          <w:szCs w:val="44"/>
          <w:highlight w:val="none"/>
        </w:rPr>
        <w:t>公共直饮水机合作人评审办法</w:t>
      </w:r>
    </w:p>
    <w:p>
      <w:pPr>
        <w:pStyle w:val="18"/>
        <w:spacing w:line="360" w:lineRule="auto"/>
        <w:ind w:left="0" w:leftChars="0" w:firstLine="0" w:firstLineChars="0"/>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 xml:space="preserve"> </w:t>
      </w:r>
      <w:r>
        <w:rPr>
          <w:rFonts w:hint="eastAsia" w:ascii="仿宋_GB2312" w:hAnsi="仿宋_GB2312" w:eastAsia="仿宋_GB2312" w:cs="仿宋_GB2312"/>
          <w:color w:val="auto"/>
          <w:szCs w:val="28"/>
          <w:highlight w:val="none"/>
        </w:rPr>
        <w:t xml:space="preserve">  </w:t>
      </w:r>
    </w:p>
    <w:p>
      <w:pPr>
        <w:pStyle w:val="18"/>
        <w:spacing w:line="360" w:lineRule="auto"/>
        <w:ind w:left="0" w:leftChars="0" w:firstLine="64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一、评审方式</w:t>
      </w:r>
    </w:p>
    <w:p>
      <w:pPr>
        <w:pStyle w:val="18"/>
        <w:spacing w:line="360" w:lineRule="auto"/>
        <w:ind w:left="0" w:leftChars="0"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1.评审小组共5名成员组成，由一号航站楼管理分公司物业管理部、服务品质部、规划管理部、基建工程部、资产管理部各安排1名人员参加。</w:t>
      </w:r>
    </w:p>
    <w:p>
      <w:pPr>
        <w:pStyle w:val="18"/>
        <w:spacing w:line="360" w:lineRule="auto"/>
        <w:ind w:left="0" w:leftChars="0"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在满足基本服务内容前提下，从企业技术能力、产品形象外观、服务方案（包括人员投入、响应时间、维修效率、耗材更换频次等）、应急预案（包括公共卫生事件、大面积航班延误、停水停电等）、需求及合同条款响应等进行量化打分，满分为50分。每个响应人得分为所有评委分数的平均值。</w:t>
      </w:r>
    </w:p>
    <w:p>
      <w:pPr>
        <w:pStyle w:val="18"/>
        <w:spacing w:line="360" w:lineRule="auto"/>
        <w:ind w:left="0" w:leftChars="0" w:firstLine="64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二、评分标准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09"/>
        <w:gridCol w:w="1372"/>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gridSpan w:val="2"/>
            <w:noWrap w:val="0"/>
            <w:vAlign w:val="center"/>
          </w:tcPr>
          <w:p>
            <w:pPr>
              <w:pStyle w:val="9"/>
              <w:spacing w:after="0" w:line="276" w:lineRule="auto"/>
              <w:jc w:val="center"/>
              <w:rPr>
                <w:rFonts w:hint="eastAsia" w:ascii="仿宋" w:hAnsi="仿宋" w:eastAsia="仿宋" w:cs="仿宋"/>
                <w:color w:val="auto"/>
                <w:szCs w:val="21"/>
                <w:highlight w:val="none"/>
              </w:rPr>
            </w:pPr>
            <w:bookmarkStart w:id="1" w:name="_Hlk485063962"/>
            <w:r>
              <w:rPr>
                <w:rFonts w:hint="eastAsia" w:ascii="仿宋" w:hAnsi="仿宋" w:eastAsia="仿宋" w:cs="仿宋"/>
                <w:color w:val="auto"/>
                <w:szCs w:val="21"/>
                <w:highlight w:val="none"/>
              </w:rPr>
              <w:t>评审项目</w:t>
            </w:r>
          </w:p>
        </w:tc>
        <w:tc>
          <w:tcPr>
            <w:tcW w:w="1372" w:type="dxa"/>
            <w:noWrap w:val="0"/>
            <w:vAlign w:val="center"/>
          </w:tcPr>
          <w:p>
            <w:pPr>
              <w:pStyle w:val="9"/>
              <w:spacing w:after="0"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单项满分</w:t>
            </w:r>
          </w:p>
        </w:tc>
        <w:tc>
          <w:tcPr>
            <w:tcW w:w="6168" w:type="dxa"/>
            <w:noWrap w:val="0"/>
            <w:vAlign w:val="center"/>
          </w:tcPr>
          <w:p>
            <w:pPr>
              <w:pStyle w:val="9"/>
              <w:spacing w:after="0"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gridSpan w:val="2"/>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企业技术能力</w:t>
            </w:r>
          </w:p>
        </w:tc>
        <w:tc>
          <w:tcPr>
            <w:tcW w:w="1372"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6168" w:type="dxa"/>
            <w:noWrap w:val="0"/>
            <w:vAlign w:val="center"/>
          </w:tcPr>
          <w:p>
            <w:pPr>
              <w:spacing w:before="72" w:after="72" w:line="276"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横向比较各响应人与直饮水机相关的专利（发明专利证书数量），按照持有证书数量从高到低排序（可并列），得分规则如下：</w:t>
            </w:r>
          </w:p>
          <w:p>
            <w:pPr>
              <w:spacing w:before="72" w:after="72" w:line="276"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第一名：得10分；</w:t>
            </w:r>
          </w:p>
          <w:p>
            <w:pPr>
              <w:spacing w:before="72" w:after="72" w:line="276"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第二名：得8分；</w:t>
            </w:r>
          </w:p>
          <w:p>
            <w:pPr>
              <w:spacing w:before="72" w:after="72" w:line="276"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第三名：得6分；</w:t>
            </w:r>
          </w:p>
          <w:p>
            <w:pPr>
              <w:spacing w:before="72" w:after="72" w:line="276"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其余不得分。</w:t>
            </w:r>
          </w:p>
          <w:p>
            <w:pPr>
              <w:spacing w:before="72" w:after="72" w:line="276"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注：须提交有效期内的发明专利证书复印件并加盖公章。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gridSpan w:val="2"/>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形象外观</w:t>
            </w:r>
          </w:p>
        </w:tc>
        <w:tc>
          <w:tcPr>
            <w:tcW w:w="1372"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6168" w:type="dxa"/>
            <w:noWrap w:val="0"/>
            <w:vAlign w:val="center"/>
          </w:tcPr>
          <w:p>
            <w:pPr>
              <w:spacing w:before="72" w:after="72" w:line="276"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横向比较各响应人拟投入的设备形象外观，得分规则如下：</w:t>
            </w:r>
          </w:p>
          <w:p>
            <w:pPr>
              <w:widowControl/>
              <w:spacing w:before="72" w:after="72" w:line="276"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【优】10分：形象外观整体美观大方，设计感强，配色协调，完全匹配一号航站楼整体视觉效果，结构符合人体工学设计；</w:t>
            </w:r>
          </w:p>
          <w:p>
            <w:pPr>
              <w:widowControl/>
              <w:spacing w:before="72" w:after="72" w:line="276"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【良】6分：形象外观整体较为美观大方，配色协调、较为匹配一号航站楼整体视觉效果，结构符合人体工学设计；</w:t>
            </w:r>
          </w:p>
          <w:p>
            <w:pPr>
              <w:widowControl/>
              <w:spacing w:before="72" w:after="72" w:line="276"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【中】2分：形象外观整体简约得体，基本匹配一号航站楼整体视觉效果，结构符合人体工学设计；</w:t>
            </w:r>
          </w:p>
          <w:p>
            <w:pPr>
              <w:widowControl/>
              <w:spacing w:before="72" w:after="72" w:line="276"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其余不得分。</w:t>
            </w:r>
          </w:p>
          <w:p>
            <w:pPr>
              <w:widowControl/>
              <w:spacing w:before="72" w:after="72" w:line="276"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en-US" w:eastAsia="zh-CN"/>
              </w:rPr>
              <w:t>注：须提供效果图（需标注尺寸）以及实物图，并描述相关设计理念，提交材料应加盖公章。</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803" w:type="dxa"/>
            <w:vMerge w:val="restart"/>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服务方案</w:t>
            </w:r>
          </w:p>
        </w:tc>
        <w:tc>
          <w:tcPr>
            <w:tcW w:w="1309"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人员投入</w:t>
            </w:r>
          </w:p>
        </w:tc>
        <w:tc>
          <w:tcPr>
            <w:tcW w:w="1372"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168" w:type="dxa"/>
            <w:noWrap w:val="0"/>
            <w:vAlign w:val="center"/>
          </w:tcPr>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横向比较各响应人投入的驻场维保人员数量，按照人员数量从高到低排序（可并列），得分规则如下：</w:t>
            </w:r>
          </w:p>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第一名：得2分；</w:t>
            </w:r>
          </w:p>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第二名：得1分；</w:t>
            </w:r>
          </w:p>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其余不得分。</w:t>
            </w:r>
          </w:p>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注：须出具承诺书（格式自拟）并加盖公章，不满足的不得分。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803" w:type="dxa"/>
            <w:vMerge w:val="continue"/>
            <w:noWrap w:val="0"/>
            <w:vAlign w:val="center"/>
          </w:tcPr>
          <w:p>
            <w:pPr>
              <w:spacing w:before="72" w:after="72" w:line="276" w:lineRule="auto"/>
              <w:jc w:val="center"/>
              <w:rPr>
                <w:rFonts w:hint="eastAsia" w:ascii="仿宋" w:hAnsi="仿宋" w:eastAsia="仿宋" w:cs="仿宋"/>
                <w:color w:val="auto"/>
                <w:highlight w:val="none"/>
              </w:rPr>
            </w:pPr>
          </w:p>
        </w:tc>
        <w:tc>
          <w:tcPr>
            <w:tcW w:w="1309"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响应时间</w:t>
            </w:r>
          </w:p>
        </w:tc>
        <w:tc>
          <w:tcPr>
            <w:tcW w:w="1372"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168" w:type="dxa"/>
            <w:noWrap w:val="0"/>
            <w:vAlign w:val="center"/>
          </w:tcPr>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横向比较各响应人项目维保人员到达维修地点响应（响应时间为15分钟不得分），得分规则如下：</w:t>
            </w:r>
          </w:p>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【优】2分：响应时间为9分钟以内；</w:t>
            </w:r>
          </w:p>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【良】1分：响应时间为12分钟以内。</w:t>
            </w:r>
          </w:p>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其余不得分。</w:t>
            </w:r>
          </w:p>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注：须出具承诺书（格式自拟）并加盖公章，不满足的不得分。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03" w:type="dxa"/>
            <w:vMerge w:val="continue"/>
            <w:noWrap w:val="0"/>
            <w:vAlign w:val="center"/>
          </w:tcPr>
          <w:p>
            <w:pPr>
              <w:spacing w:before="72" w:after="72" w:line="276" w:lineRule="auto"/>
              <w:jc w:val="center"/>
              <w:rPr>
                <w:rFonts w:hint="eastAsia" w:ascii="仿宋" w:hAnsi="仿宋" w:eastAsia="仿宋" w:cs="仿宋"/>
                <w:color w:val="auto"/>
                <w:szCs w:val="21"/>
                <w:highlight w:val="none"/>
              </w:rPr>
            </w:pPr>
          </w:p>
        </w:tc>
        <w:tc>
          <w:tcPr>
            <w:tcW w:w="1309"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水质检测频率</w:t>
            </w:r>
          </w:p>
        </w:tc>
        <w:tc>
          <w:tcPr>
            <w:tcW w:w="1372"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168" w:type="dxa"/>
            <w:noWrap w:val="0"/>
            <w:vAlign w:val="center"/>
          </w:tcPr>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szCs w:val="21"/>
                <w:highlight w:val="none"/>
              </w:rPr>
              <w:t>横向比较各响应人水质检测频率（检测频率为每三个月一次不得分）</w:t>
            </w:r>
            <w:r>
              <w:rPr>
                <w:rFonts w:hint="eastAsia" w:ascii="仿宋" w:hAnsi="仿宋" w:eastAsia="仿宋" w:cs="仿宋"/>
                <w:color w:val="auto"/>
                <w:highlight w:val="none"/>
              </w:rPr>
              <w:t>，得分规则如下：</w:t>
            </w:r>
          </w:p>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【优】2分：一个月一次；</w:t>
            </w:r>
          </w:p>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【良】1分：两个月一次。</w:t>
            </w:r>
          </w:p>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其余不得分。</w:t>
            </w:r>
          </w:p>
          <w:p>
            <w:pPr>
              <w:spacing w:before="72" w:after="72" w:line="276" w:lineRule="auto"/>
              <w:jc w:val="left"/>
              <w:rPr>
                <w:rFonts w:hint="eastAsia" w:ascii="仿宋" w:hAnsi="仿宋" w:eastAsia="仿宋" w:cs="仿宋"/>
                <w:color w:val="auto"/>
                <w:szCs w:val="21"/>
                <w:highlight w:val="none"/>
              </w:rPr>
            </w:pPr>
            <w:r>
              <w:rPr>
                <w:rFonts w:hint="eastAsia" w:ascii="仿宋" w:hAnsi="仿宋" w:eastAsia="仿宋" w:cs="仿宋"/>
                <w:color w:val="auto"/>
                <w:highlight w:val="none"/>
              </w:rPr>
              <w:t>注：须出具承诺书（格式自拟）并加盖公章，不满足的不得分。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803" w:type="dxa"/>
            <w:vMerge w:val="continue"/>
            <w:noWrap w:val="0"/>
            <w:vAlign w:val="center"/>
          </w:tcPr>
          <w:p>
            <w:pPr>
              <w:spacing w:before="72" w:after="72" w:line="276" w:lineRule="auto"/>
              <w:jc w:val="center"/>
              <w:rPr>
                <w:rFonts w:hint="eastAsia" w:ascii="仿宋" w:hAnsi="仿宋" w:eastAsia="仿宋" w:cs="仿宋"/>
                <w:color w:val="auto"/>
                <w:szCs w:val="21"/>
                <w:highlight w:val="none"/>
              </w:rPr>
            </w:pPr>
          </w:p>
        </w:tc>
        <w:tc>
          <w:tcPr>
            <w:tcW w:w="1309"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耗材更换频次</w:t>
            </w:r>
          </w:p>
        </w:tc>
        <w:tc>
          <w:tcPr>
            <w:tcW w:w="1372"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168" w:type="dxa"/>
            <w:noWrap w:val="0"/>
            <w:vAlign w:val="center"/>
          </w:tcPr>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szCs w:val="21"/>
                <w:highlight w:val="none"/>
              </w:rPr>
              <w:t>横向比较各响应人更换滤芯的频率（更换频率为每三个月一次不得分），</w:t>
            </w:r>
            <w:r>
              <w:rPr>
                <w:rFonts w:hint="eastAsia" w:ascii="仿宋" w:hAnsi="仿宋" w:eastAsia="仿宋" w:cs="仿宋"/>
                <w:color w:val="auto"/>
                <w:highlight w:val="none"/>
              </w:rPr>
              <w:t>得分规则如下：</w:t>
            </w:r>
          </w:p>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【优】2分：一个月一次；</w:t>
            </w:r>
          </w:p>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【良】1分：两个月一次。</w:t>
            </w:r>
          </w:p>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其余不得分。</w:t>
            </w:r>
          </w:p>
          <w:p>
            <w:pPr>
              <w:spacing w:before="72" w:after="72" w:line="276" w:lineRule="auto"/>
              <w:jc w:val="left"/>
              <w:rPr>
                <w:rFonts w:hint="eastAsia" w:ascii="仿宋" w:hAnsi="仿宋" w:eastAsia="仿宋" w:cs="仿宋"/>
                <w:color w:val="auto"/>
                <w:szCs w:val="21"/>
                <w:highlight w:val="none"/>
              </w:rPr>
            </w:pPr>
            <w:r>
              <w:rPr>
                <w:rFonts w:hint="eastAsia" w:ascii="仿宋" w:hAnsi="仿宋" w:eastAsia="仿宋" w:cs="仿宋"/>
                <w:color w:val="auto"/>
                <w:highlight w:val="none"/>
              </w:rPr>
              <w:t>注：须出具承诺书（格式自拟）并加盖公章，不满足的不得分。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803" w:type="dxa"/>
            <w:vMerge w:val="continue"/>
            <w:noWrap w:val="0"/>
            <w:vAlign w:val="center"/>
          </w:tcPr>
          <w:p>
            <w:pPr>
              <w:spacing w:before="72" w:after="72" w:line="276" w:lineRule="auto"/>
              <w:jc w:val="center"/>
              <w:rPr>
                <w:rFonts w:hint="eastAsia" w:ascii="仿宋" w:hAnsi="仿宋" w:eastAsia="仿宋" w:cs="仿宋"/>
                <w:color w:val="auto"/>
                <w:szCs w:val="21"/>
                <w:highlight w:val="none"/>
              </w:rPr>
            </w:pPr>
          </w:p>
        </w:tc>
        <w:tc>
          <w:tcPr>
            <w:tcW w:w="1309"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维修效率</w:t>
            </w:r>
          </w:p>
        </w:tc>
        <w:tc>
          <w:tcPr>
            <w:tcW w:w="1372"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168" w:type="dxa"/>
            <w:noWrap w:val="0"/>
            <w:vAlign w:val="center"/>
          </w:tcPr>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szCs w:val="21"/>
                <w:highlight w:val="none"/>
              </w:rPr>
              <w:t>5.横向比较各响应人故障修复时间（故障修复时间为24小时不得分），</w:t>
            </w:r>
            <w:r>
              <w:rPr>
                <w:rFonts w:hint="eastAsia" w:ascii="仿宋" w:hAnsi="仿宋" w:eastAsia="仿宋" w:cs="仿宋"/>
                <w:color w:val="auto"/>
                <w:highlight w:val="none"/>
              </w:rPr>
              <w:t>得分规则如下：</w:t>
            </w:r>
          </w:p>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【优】2分：四小时以内；</w:t>
            </w:r>
          </w:p>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【良】1.5分：八小时以内；</w:t>
            </w:r>
          </w:p>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【中】1分：十二小时以内；</w:t>
            </w:r>
          </w:p>
          <w:p>
            <w:pPr>
              <w:spacing w:before="72" w:after="72"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其余不得分。</w:t>
            </w:r>
          </w:p>
          <w:p>
            <w:pPr>
              <w:spacing w:before="72" w:after="72" w:line="276" w:lineRule="auto"/>
              <w:rPr>
                <w:rFonts w:hint="eastAsia" w:ascii="仿宋" w:hAnsi="仿宋" w:eastAsia="仿宋" w:cs="仿宋"/>
                <w:color w:val="auto"/>
                <w:szCs w:val="21"/>
                <w:highlight w:val="none"/>
              </w:rPr>
            </w:pPr>
            <w:r>
              <w:rPr>
                <w:rFonts w:hint="eastAsia" w:ascii="仿宋" w:hAnsi="仿宋" w:eastAsia="仿宋" w:cs="仿宋"/>
                <w:color w:val="auto"/>
                <w:highlight w:val="none"/>
              </w:rPr>
              <w:t>注：须出具承诺书（格式自拟）并加盖公章，不满足的不得分。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03" w:type="dxa"/>
            <w:vMerge w:val="restart"/>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应急预案</w:t>
            </w:r>
          </w:p>
        </w:tc>
        <w:tc>
          <w:tcPr>
            <w:tcW w:w="1309"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公共卫生事件应急预案</w:t>
            </w:r>
          </w:p>
        </w:tc>
        <w:tc>
          <w:tcPr>
            <w:tcW w:w="1372"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6168" w:type="dxa"/>
            <w:noWrap w:val="0"/>
            <w:vAlign w:val="center"/>
          </w:tcPr>
          <w:p>
            <w:pPr>
              <w:spacing w:before="72" w:after="72" w:line="276"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【优】</w:t>
            </w: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val="zh-CN"/>
              </w:rPr>
              <w:t>分：</w:t>
            </w:r>
            <w:r>
              <w:rPr>
                <w:rFonts w:hint="eastAsia" w:ascii="仿宋" w:hAnsi="仿宋" w:eastAsia="仿宋" w:cs="仿宋"/>
                <w:color w:val="auto"/>
                <w:szCs w:val="21"/>
                <w:highlight w:val="none"/>
              </w:rPr>
              <w:t>发生公共卫生事件后的</w:t>
            </w:r>
            <w:r>
              <w:rPr>
                <w:rFonts w:hint="eastAsia" w:ascii="仿宋" w:hAnsi="仿宋" w:eastAsia="仿宋" w:cs="仿宋"/>
                <w:color w:val="auto"/>
                <w:szCs w:val="21"/>
                <w:highlight w:val="none"/>
                <w:lang w:val="zh-CN"/>
              </w:rPr>
              <w:t>应急</w:t>
            </w:r>
            <w:r>
              <w:rPr>
                <w:rFonts w:hint="eastAsia" w:ascii="仿宋" w:hAnsi="仿宋" w:eastAsia="仿宋" w:cs="仿宋"/>
                <w:color w:val="auto"/>
                <w:szCs w:val="21"/>
                <w:highlight w:val="none"/>
              </w:rPr>
              <w:t>预案</w:t>
            </w:r>
            <w:r>
              <w:rPr>
                <w:rFonts w:hint="eastAsia" w:ascii="仿宋" w:hAnsi="仿宋" w:eastAsia="仿宋" w:cs="仿宋"/>
                <w:color w:val="auto"/>
                <w:szCs w:val="21"/>
                <w:highlight w:val="none"/>
                <w:lang w:val="zh-CN"/>
              </w:rPr>
              <w:t>详细、完整，处理方案完善可行，</w:t>
            </w:r>
            <w:r>
              <w:rPr>
                <w:rFonts w:hint="eastAsia" w:ascii="仿宋" w:hAnsi="仿宋" w:eastAsia="仿宋" w:cs="仿宋"/>
                <w:color w:val="auto"/>
                <w:szCs w:val="21"/>
                <w:highlight w:val="none"/>
              </w:rPr>
              <w:t>应急队伍建立和应急处理措施非常详尽</w:t>
            </w:r>
            <w:r>
              <w:rPr>
                <w:rFonts w:hint="eastAsia" w:ascii="仿宋" w:hAnsi="仿宋" w:eastAsia="仿宋" w:cs="仿宋"/>
                <w:color w:val="auto"/>
                <w:szCs w:val="21"/>
                <w:highlight w:val="none"/>
                <w:lang w:val="zh-CN"/>
              </w:rPr>
              <w:t>；</w:t>
            </w:r>
          </w:p>
          <w:p>
            <w:pPr>
              <w:spacing w:before="72" w:after="72" w:line="276"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【良】</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分：</w:t>
            </w:r>
            <w:r>
              <w:rPr>
                <w:rFonts w:hint="eastAsia" w:ascii="仿宋" w:hAnsi="仿宋" w:eastAsia="仿宋" w:cs="仿宋"/>
                <w:color w:val="auto"/>
                <w:szCs w:val="21"/>
                <w:highlight w:val="none"/>
              </w:rPr>
              <w:t>发生公共卫生事件后的</w:t>
            </w:r>
            <w:r>
              <w:rPr>
                <w:rFonts w:hint="eastAsia" w:ascii="仿宋" w:hAnsi="仿宋" w:eastAsia="仿宋" w:cs="仿宋"/>
                <w:color w:val="auto"/>
                <w:szCs w:val="21"/>
                <w:highlight w:val="none"/>
                <w:lang w:val="zh-CN"/>
              </w:rPr>
              <w:t>应急</w:t>
            </w:r>
            <w:r>
              <w:rPr>
                <w:rFonts w:hint="eastAsia" w:ascii="仿宋" w:hAnsi="仿宋" w:eastAsia="仿宋" w:cs="仿宋"/>
                <w:color w:val="auto"/>
                <w:szCs w:val="21"/>
                <w:highlight w:val="none"/>
              </w:rPr>
              <w:t>预案较</w:t>
            </w:r>
            <w:r>
              <w:rPr>
                <w:rFonts w:hint="eastAsia" w:ascii="仿宋" w:hAnsi="仿宋" w:eastAsia="仿宋" w:cs="仿宋"/>
                <w:color w:val="auto"/>
                <w:szCs w:val="21"/>
                <w:highlight w:val="none"/>
                <w:lang w:val="zh-CN"/>
              </w:rPr>
              <w:t>详细、完整，处理方案</w:t>
            </w:r>
            <w:r>
              <w:rPr>
                <w:rFonts w:hint="eastAsia" w:ascii="仿宋" w:hAnsi="仿宋" w:eastAsia="仿宋" w:cs="仿宋"/>
                <w:color w:val="auto"/>
                <w:szCs w:val="21"/>
                <w:highlight w:val="none"/>
              </w:rPr>
              <w:t>基本</w:t>
            </w:r>
            <w:r>
              <w:rPr>
                <w:rFonts w:hint="eastAsia" w:ascii="仿宋" w:hAnsi="仿宋" w:eastAsia="仿宋" w:cs="仿宋"/>
                <w:color w:val="auto"/>
                <w:szCs w:val="21"/>
                <w:highlight w:val="none"/>
                <w:lang w:val="zh-CN"/>
              </w:rPr>
              <w:t>可行，</w:t>
            </w:r>
            <w:r>
              <w:rPr>
                <w:rFonts w:hint="eastAsia" w:ascii="仿宋" w:hAnsi="仿宋" w:eastAsia="仿宋" w:cs="仿宋"/>
                <w:color w:val="auto"/>
                <w:szCs w:val="21"/>
                <w:highlight w:val="none"/>
              </w:rPr>
              <w:t>应急队伍建立和应急处理措施详尽</w:t>
            </w:r>
            <w:r>
              <w:rPr>
                <w:rFonts w:hint="eastAsia" w:ascii="仿宋" w:hAnsi="仿宋" w:eastAsia="仿宋" w:cs="仿宋"/>
                <w:color w:val="auto"/>
                <w:szCs w:val="21"/>
                <w:highlight w:val="none"/>
                <w:lang w:val="zh-CN"/>
              </w:rPr>
              <w:t>；</w:t>
            </w:r>
          </w:p>
          <w:p>
            <w:pPr>
              <w:spacing w:before="72" w:after="72" w:line="276"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【中】1分：</w:t>
            </w:r>
            <w:r>
              <w:rPr>
                <w:rFonts w:hint="eastAsia" w:ascii="仿宋" w:hAnsi="仿宋" w:eastAsia="仿宋" w:cs="仿宋"/>
                <w:color w:val="auto"/>
                <w:szCs w:val="21"/>
                <w:highlight w:val="none"/>
              </w:rPr>
              <w:t>发生公共卫生事件后的</w:t>
            </w:r>
            <w:r>
              <w:rPr>
                <w:rFonts w:hint="eastAsia" w:ascii="仿宋" w:hAnsi="仿宋" w:eastAsia="仿宋" w:cs="仿宋"/>
                <w:color w:val="auto"/>
                <w:szCs w:val="21"/>
                <w:highlight w:val="none"/>
                <w:lang w:val="zh-CN"/>
              </w:rPr>
              <w:t>应急</w:t>
            </w:r>
            <w:r>
              <w:rPr>
                <w:rFonts w:hint="eastAsia" w:ascii="仿宋" w:hAnsi="仿宋" w:eastAsia="仿宋" w:cs="仿宋"/>
                <w:color w:val="auto"/>
                <w:szCs w:val="21"/>
                <w:highlight w:val="none"/>
              </w:rPr>
              <w:t>预案</w:t>
            </w:r>
            <w:r>
              <w:rPr>
                <w:rFonts w:hint="eastAsia" w:ascii="仿宋" w:hAnsi="仿宋" w:eastAsia="仿宋" w:cs="仿宋"/>
                <w:color w:val="auto"/>
                <w:szCs w:val="21"/>
                <w:highlight w:val="none"/>
                <w:lang w:val="zh-CN"/>
              </w:rPr>
              <w:t>基本完整可行，</w:t>
            </w:r>
            <w:r>
              <w:rPr>
                <w:rFonts w:hint="eastAsia" w:ascii="仿宋" w:hAnsi="仿宋" w:eastAsia="仿宋" w:cs="仿宋"/>
                <w:color w:val="auto"/>
                <w:szCs w:val="21"/>
                <w:highlight w:val="none"/>
              </w:rPr>
              <w:t>应急队伍建立和应急处理措施完整</w:t>
            </w:r>
            <w:r>
              <w:rPr>
                <w:rFonts w:hint="eastAsia" w:ascii="仿宋" w:hAnsi="仿宋" w:eastAsia="仿宋" w:cs="仿宋"/>
                <w:color w:val="auto"/>
                <w:szCs w:val="21"/>
                <w:highlight w:val="none"/>
                <w:lang w:val="zh-CN"/>
              </w:rPr>
              <w:t>；</w:t>
            </w:r>
          </w:p>
          <w:p>
            <w:pPr>
              <w:spacing w:before="72" w:after="72"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其余不得分。</w:t>
            </w:r>
          </w:p>
          <w:p>
            <w:pPr>
              <w:spacing w:before="72" w:after="72"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注：须出具承诺书（格式自拟）并加盖公章，不满足的不得分。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03" w:type="dxa"/>
            <w:vMerge w:val="continue"/>
            <w:noWrap w:val="0"/>
            <w:vAlign w:val="center"/>
          </w:tcPr>
          <w:p>
            <w:pPr>
              <w:spacing w:before="72" w:after="72" w:line="276" w:lineRule="auto"/>
              <w:jc w:val="center"/>
              <w:rPr>
                <w:rFonts w:hint="eastAsia" w:ascii="仿宋" w:hAnsi="仿宋" w:eastAsia="仿宋" w:cs="仿宋"/>
                <w:color w:val="auto"/>
                <w:highlight w:val="none"/>
              </w:rPr>
            </w:pPr>
          </w:p>
        </w:tc>
        <w:tc>
          <w:tcPr>
            <w:tcW w:w="1309"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大面积航班延误应急预案</w:t>
            </w:r>
          </w:p>
        </w:tc>
        <w:tc>
          <w:tcPr>
            <w:tcW w:w="1372"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6168" w:type="dxa"/>
            <w:noWrap w:val="0"/>
            <w:vAlign w:val="center"/>
          </w:tcPr>
          <w:p>
            <w:pPr>
              <w:spacing w:before="72" w:after="72" w:line="276"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【优】</w:t>
            </w: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val="zh-CN"/>
              </w:rPr>
              <w:t>分：</w:t>
            </w:r>
            <w:r>
              <w:rPr>
                <w:rFonts w:hint="eastAsia" w:ascii="仿宋" w:hAnsi="仿宋" w:eastAsia="仿宋" w:cs="仿宋"/>
                <w:color w:val="auto"/>
                <w:szCs w:val="21"/>
                <w:highlight w:val="none"/>
              </w:rPr>
              <w:t>发生大面积航班延误后的</w:t>
            </w:r>
            <w:r>
              <w:rPr>
                <w:rFonts w:hint="eastAsia" w:ascii="仿宋" w:hAnsi="仿宋" w:eastAsia="仿宋" w:cs="仿宋"/>
                <w:color w:val="auto"/>
                <w:szCs w:val="21"/>
                <w:highlight w:val="none"/>
                <w:lang w:val="zh-CN"/>
              </w:rPr>
              <w:t>应急</w:t>
            </w:r>
            <w:r>
              <w:rPr>
                <w:rFonts w:hint="eastAsia" w:ascii="仿宋" w:hAnsi="仿宋" w:eastAsia="仿宋" w:cs="仿宋"/>
                <w:color w:val="auto"/>
                <w:szCs w:val="21"/>
                <w:highlight w:val="none"/>
              </w:rPr>
              <w:t>预案</w:t>
            </w:r>
            <w:r>
              <w:rPr>
                <w:rFonts w:hint="eastAsia" w:ascii="仿宋" w:hAnsi="仿宋" w:eastAsia="仿宋" w:cs="仿宋"/>
                <w:color w:val="auto"/>
                <w:szCs w:val="21"/>
                <w:highlight w:val="none"/>
                <w:lang w:val="zh-CN"/>
              </w:rPr>
              <w:t>详细、完整，处理方案完善可行，</w:t>
            </w:r>
            <w:r>
              <w:rPr>
                <w:rFonts w:hint="eastAsia" w:ascii="仿宋" w:hAnsi="仿宋" w:eastAsia="仿宋" w:cs="仿宋"/>
                <w:color w:val="auto"/>
                <w:szCs w:val="21"/>
                <w:highlight w:val="none"/>
              </w:rPr>
              <w:t>应急队伍建立和应急处理措施非常详尽</w:t>
            </w:r>
            <w:r>
              <w:rPr>
                <w:rFonts w:hint="eastAsia" w:ascii="仿宋" w:hAnsi="仿宋" w:eastAsia="仿宋" w:cs="仿宋"/>
                <w:color w:val="auto"/>
                <w:szCs w:val="21"/>
                <w:highlight w:val="none"/>
                <w:lang w:val="zh-CN"/>
              </w:rPr>
              <w:t>；</w:t>
            </w:r>
          </w:p>
          <w:p>
            <w:pPr>
              <w:spacing w:before="72" w:after="72" w:line="276"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【良】</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分：</w:t>
            </w:r>
            <w:r>
              <w:rPr>
                <w:rFonts w:hint="eastAsia" w:ascii="仿宋" w:hAnsi="仿宋" w:eastAsia="仿宋" w:cs="仿宋"/>
                <w:color w:val="auto"/>
                <w:szCs w:val="21"/>
                <w:highlight w:val="none"/>
              </w:rPr>
              <w:t>发生大面积航班延误后的</w:t>
            </w:r>
            <w:r>
              <w:rPr>
                <w:rFonts w:hint="eastAsia" w:ascii="仿宋" w:hAnsi="仿宋" w:eastAsia="仿宋" w:cs="仿宋"/>
                <w:color w:val="auto"/>
                <w:szCs w:val="21"/>
                <w:highlight w:val="none"/>
                <w:lang w:val="zh-CN"/>
              </w:rPr>
              <w:t>应急</w:t>
            </w:r>
            <w:r>
              <w:rPr>
                <w:rFonts w:hint="eastAsia" w:ascii="仿宋" w:hAnsi="仿宋" w:eastAsia="仿宋" w:cs="仿宋"/>
                <w:color w:val="auto"/>
                <w:szCs w:val="21"/>
                <w:highlight w:val="none"/>
              </w:rPr>
              <w:t>预案较</w:t>
            </w:r>
            <w:r>
              <w:rPr>
                <w:rFonts w:hint="eastAsia" w:ascii="仿宋" w:hAnsi="仿宋" w:eastAsia="仿宋" w:cs="仿宋"/>
                <w:color w:val="auto"/>
                <w:szCs w:val="21"/>
                <w:highlight w:val="none"/>
                <w:lang w:val="zh-CN"/>
              </w:rPr>
              <w:t>详细、完整，处理方案</w:t>
            </w:r>
            <w:r>
              <w:rPr>
                <w:rFonts w:hint="eastAsia" w:ascii="仿宋" w:hAnsi="仿宋" w:eastAsia="仿宋" w:cs="仿宋"/>
                <w:color w:val="auto"/>
                <w:szCs w:val="21"/>
                <w:highlight w:val="none"/>
              </w:rPr>
              <w:t>基本</w:t>
            </w:r>
            <w:r>
              <w:rPr>
                <w:rFonts w:hint="eastAsia" w:ascii="仿宋" w:hAnsi="仿宋" w:eastAsia="仿宋" w:cs="仿宋"/>
                <w:color w:val="auto"/>
                <w:szCs w:val="21"/>
                <w:highlight w:val="none"/>
                <w:lang w:val="zh-CN"/>
              </w:rPr>
              <w:t>可行，</w:t>
            </w:r>
            <w:r>
              <w:rPr>
                <w:rFonts w:hint="eastAsia" w:ascii="仿宋" w:hAnsi="仿宋" w:eastAsia="仿宋" w:cs="仿宋"/>
                <w:color w:val="auto"/>
                <w:szCs w:val="21"/>
                <w:highlight w:val="none"/>
              </w:rPr>
              <w:t>应急队伍建立和应急处理措施详尽</w:t>
            </w:r>
            <w:r>
              <w:rPr>
                <w:rFonts w:hint="eastAsia" w:ascii="仿宋" w:hAnsi="仿宋" w:eastAsia="仿宋" w:cs="仿宋"/>
                <w:color w:val="auto"/>
                <w:szCs w:val="21"/>
                <w:highlight w:val="none"/>
                <w:lang w:val="zh-CN"/>
              </w:rPr>
              <w:t>；</w:t>
            </w:r>
          </w:p>
          <w:p>
            <w:pPr>
              <w:spacing w:before="72" w:after="72" w:line="276"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【中】1分：</w:t>
            </w:r>
            <w:r>
              <w:rPr>
                <w:rFonts w:hint="eastAsia" w:ascii="仿宋" w:hAnsi="仿宋" w:eastAsia="仿宋" w:cs="仿宋"/>
                <w:color w:val="auto"/>
                <w:szCs w:val="21"/>
                <w:highlight w:val="none"/>
              </w:rPr>
              <w:t>发生大面积航班延误后的</w:t>
            </w:r>
            <w:r>
              <w:rPr>
                <w:rFonts w:hint="eastAsia" w:ascii="仿宋" w:hAnsi="仿宋" w:eastAsia="仿宋" w:cs="仿宋"/>
                <w:color w:val="auto"/>
                <w:szCs w:val="21"/>
                <w:highlight w:val="none"/>
                <w:lang w:val="zh-CN"/>
              </w:rPr>
              <w:t>应急</w:t>
            </w:r>
            <w:r>
              <w:rPr>
                <w:rFonts w:hint="eastAsia" w:ascii="仿宋" w:hAnsi="仿宋" w:eastAsia="仿宋" w:cs="仿宋"/>
                <w:color w:val="auto"/>
                <w:szCs w:val="21"/>
                <w:highlight w:val="none"/>
              </w:rPr>
              <w:t>预案</w:t>
            </w:r>
            <w:r>
              <w:rPr>
                <w:rFonts w:hint="eastAsia" w:ascii="仿宋" w:hAnsi="仿宋" w:eastAsia="仿宋" w:cs="仿宋"/>
                <w:color w:val="auto"/>
                <w:szCs w:val="21"/>
                <w:highlight w:val="none"/>
                <w:lang w:val="zh-CN"/>
              </w:rPr>
              <w:t>基本完整可行，</w:t>
            </w:r>
            <w:r>
              <w:rPr>
                <w:rFonts w:hint="eastAsia" w:ascii="仿宋" w:hAnsi="仿宋" w:eastAsia="仿宋" w:cs="仿宋"/>
                <w:color w:val="auto"/>
                <w:szCs w:val="21"/>
                <w:highlight w:val="none"/>
              </w:rPr>
              <w:t>应急队伍建立和应急处理措施完整</w:t>
            </w:r>
            <w:r>
              <w:rPr>
                <w:rFonts w:hint="eastAsia" w:ascii="仿宋" w:hAnsi="仿宋" w:eastAsia="仿宋" w:cs="仿宋"/>
                <w:color w:val="auto"/>
                <w:szCs w:val="21"/>
                <w:highlight w:val="none"/>
                <w:lang w:val="zh-CN"/>
              </w:rPr>
              <w:t>；</w:t>
            </w:r>
          </w:p>
          <w:p>
            <w:pPr>
              <w:spacing w:before="72" w:after="72"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其余不得分。</w:t>
            </w:r>
          </w:p>
          <w:p>
            <w:pPr>
              <w:spacing w:before="72" w:after="72"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注：须出具承诺书（格式自拟）并加盖公章，不满足的不得分。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03" w:type="dxa"/>
            <w:vMerge w:val="continue"/>
            <w:noWrap w:val="0"/>
            <w:vAlign w:val="center"/>
          </w:tcPr>
          <w:p>
            <w:pPr>
              <w:spacing w:before="72" w:after="72" w:line="276" w:lineRule="auto"/>
              <w:jc w:val="center"/>
              <w:rPr>
                <w:rFonts w:hint="eastAsia" w:ascii="仿宋" w:hAnsi="仿宋" w:eastAsia="仿宋" w:cs="仿宋"/>
                <w:color w:val="auto"/>
                <w:szCs w:val="21"/>
                <w:highlight w:val="none"/>
              </w:rPr>
            </w:pPr>
          </w:p>
        </w:tc>
        <w:tc>
          <w:tcPr>
            <w:tcW w:w="1309"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停水停电应急预案</w:t>
            </w:r>
          </w:p>
        </w:tc>
        <w:tc>
          <w:tcPr>
            <w:tcW w:w="1372"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6168" w:type="dxa"/>
            <w:noWrap w:val="0"/>
            <w:vAlign w:val="center"/>
          </w:tcPr>
          <w:p>
            <w:pPr>
              <w:spacing w:before="72" w:after="72" w:line="276"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【优】5分：发生停水停电后的应急预案详细、完整，处理方案完善可行，应急队伍建立和应急处理措施非常详尽；</w:t>
            </w:r>
          </w:p>
          <w:p>
            <w:pPr>
              <w:spacing w:before="72" w:after="72" w:line="276"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【良】3分：发生停水停电后的应急预案较详细、完整，处理方案基本可行，应急队伍建立和应急处理措施详尽；</w:t>
            </w:r>
          </w:p>
          <w:p>
            <w:pPr>
              <w:spacing w:before="72" w:after="72" w:line="276"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【中】1分：发生停水停电后的应急预案基本完整可行，应急队伍建立和应急处理措施完整；</w:t>
            </w:r>
          </w:p>
          <w:p>
            <w:pPr>
              <w:spacing w:before="72" w:after="72" w:line="276"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其余不得分。</w:t>
            </w:r>
          </w:p>
          <w:p>
            <w:pPr>
              <w:spacing w:before="72" w:after="72" w:line="276" w:lineRule="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注：须出具承诺书（格式自拟）并加盖公章，不满足的不得分。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gridSpan w:val="2"/>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需求及合同条款响应</w:t>
            </w:r>
          </w:p>
        </w:tc>
        <w:tc>
          <w:tcPr>
            <w:tcW w:w="1372" w:type="dxa"/>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6168" w:type="dxa"/>
            <w:noWrap w:val="0"/>
            <w:vAlign w:val="center"/>
          </w:tcPr>
          <w:p>
            <w:pPr>
              <w:spacing w:before="72" w:after="72" w:line="276"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响应人对本项目品牌合作具体内容及合同条款完全响应，得5分；对项目品牌合作具体内容及合同条款的要求有负偏离，得0分。注：须出具承诺书（格式自拟）并加盖公章，不满足的不得分。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gridSpan w:val="2"/>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7540" w:type="dxa"/>
            <w:gridSpan w:val="2"/>
            <w:noWrap w:val="0"/>
            <w:vAlign w:val="center"/>
          </w:tcPr>
          <w:p>
            <w:pPr>
              <w:spacing w:before="72" w:after="72" w:line="27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50分</w:t>
            </w:r>
          </w:p>
        </w:tc>
      </w:tr>
    </w:tbl>
    <w:p>
      <w:pPr>
        <w:spacing w:before="72" w:after="72" w:line="276"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w:t>
      </w:r>
    </w:p>
    <w:p>
      <w:pPr>
        <w:spacing w:before="72" w:after="72" w:line="276"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1、各评委按规定的范围内进行量化打分，并统计总分。</w:t>
      </w:r>
    </w:p>
    <w:p>
      <w:pPr>
        <w:spacing w:before="72" w:after="72" w:line="276"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 xml:space="preserve">2、本表中如要求提交的与评分项目相关的各类证明文件或资料，响应人未按要求提交的，该项评分为零分。 </w:t>
      </w:r>
    </w:p>
    <w:p>
      <w:pPr>
        <w:spacing w:before="72" w:after="72" w:line="276"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3、本表中如有要求提交的与评分项目相关的各类证明文件或资料，需清晰反映相关的数据及印章等，如模糊不清无法辨别的，视为未按要求提交，该项评分为零分。</w:t>
      </w:r>
    </w:p>
    <w:p>
      <w:pPr>
        <w:spacing w:before="72" w:after="72" w:line="276" w:lineRule="auto"/>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4、本表要求提供的证书等证明文件，如有有效期的，须在有效期内，否则不予得分。</w:t>
      </w:r>
    </w:p>
    <w:p>
      <w:pPr>
        <w:pStyle w:val="18"/>
        <w:spacing w:line="360" w:lineRule="auto"/>
        <w:ind w:left="0" w:leftChars="0" w:firstLine="64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三、合作</w:t>
      </w:r>
      <w:r>
        <w:rPr>
          <w:rFonts w:hint="eastAsia" w:ascii="黑体" w:hAnsi="黑体" w:eastAsia="黑体" w:cs="黑体"/>
          <w:color w:val="auto"/>
          <w:sz w:val="32"/>
          <w:szCs w:val="32"/>
          <w:highlight w:val="none"/>
          <w:lang w:val="en-US" w:eastAsia="zh-CN"/>
        </w:rPr>
        <w:t>方</w:t>
      </w:r>
      <w:r>
        <w:rPr>
          <w:rFonts w:ascii="黑体" w:hAnsi="黑体" w:eastAsia="黑体" w:cs="黑体"/>
          <w:color w:val="auto"/>
          <w:sz w:val="32"/>
          <w:szCs w:val="32"/>
          <w:highlight w:val="none"/>
        </w:rPr>
        <w:t>的确定</w:t>
      </w:r>
    </w:p>
    <w:p>
      <w:pPr>
        <w:pStyle w:val="18"/>
        <w:spacing w:line="360" w:lineRule="auto"/>
        <w:ind w:left="0" w:leftChars="0"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ascii="仿宋" w:hAnsi="仿宋" w:eastAsia="仿宋" w:cs="仿宋"/>
          <w:color w:val="auto"/>
          <w:sz w:val="32"/>
          <w:szCs w:val="32"/>
          <w:highlight w:val="none"/>
        </w:rPr>
        <w:t>按</w:t>
      </w:r>
      <w:r>
        <w:rPr>
          <w:rFonts w:hint="eastAsia" w:ascii="仿宋" w:hAnsi="仿宋" w:eastAsia="仿宋" w:cs="仿宋"/>
          <w:color w:val="auto"/>
          <w:sz w:val="32"/>
          <w:szCs w:val="32"/>
          <w:highlight w:val="none"/>
        </w:rPr>
        <w:t>评审</w:t>
      </w:r>
      <w:r>
        <w:rPr>
          <w:rFonts w:ascii="仿宋" w:hAnsi="仿宋" w:eastAsia="仿宋" w:cs="仿宋"/>
          <w:color w:val="auto"/>
          <w:sz w:val="32"/>
          <w:szCs w:val="32"/>
          <w:highlight w:val="none"/>
        </w:rPr>
        <w:t>得分由高至低排出各</w:t>
      </w:r>
      <w:r>
        <w:rPr>
          <w:rFonts w:hint="eastAsia" w:ascii="仿宋" w:hAnsi="仿宋" w:eastAsia="仿宋" w:cs="仿宋"/>
          <w:color w:val="auto"/>
          <w:sz w:val="32"/>
          <w:szCs w:val="32"/>
          <w:highlight w:val="none"/>
        </w:rPr>
        <w:t>响应人</w:t>
      </w:r>
      <w:r>
        <w:rPr>
          <w:rFonts w:ascii="仿宋" w:hAnsi="仿宋" w:eastAsia="仿宋" w:cs="仿宋"/>
          <w:color w:val="auto"/>
          <w:sz w:val="32"/>
          <w:szCs w:val="32"/>
          <w:highlight w:val="none"/>
        </w:rPr>
        <w:t>的名次（若</w:t>
      </w:r>
      <w:r>
        <w:rPr>
          <w:rFonts w:hint="eastAsia" w:ascii="仿宋" w:hAnsi="仿宋" w:eastAsia="仿宋" w:cs="仿宋"/>
          <w:color w:val="auto"/>
          <w:sz w:val="32"/>
          <w:szCs w:val="32"/>
          <w:highlight w:val="none"/>
        </w:rPr>
        <w:t>评审</w:t>
      </w:r>
      <w:r>
        <w:rPr>
          <w:rFonts w:ascii="仿宋" w:hAnsi="仿宋" w:eastAsia="仿宋" w:cs="仿宋"/>
          <w:color w:val="auto"/>
          <w:sz w:val="32"/>
          <w:szCs w:val="32"/>
          <w:highlight w:val="none"/>
        </w:rPr>
        <w:t>得分都相同，由全体评委投票按少数服从多数的原则确定名次）。</w:t>
      </w:r>
      <w:r>
        <w:rPr>
          <w:rFonts w:hint="eastAsia" w:ascii="仿宋" w:hAnsi="仿宋" w:eastAsia="仿宋" w:cs="仿宋"/>
          <w:color w:val="auto"/>
          <w:sz w:val="32"/>
          <w:szCs w:val="32"/>
          <w:highlight w:val="none"/>
        </w:rPr>
        <w:t xml:space="preserve"> </w:t>
      </w:r>
    </w:p>
    <w:p>
      <w:pPr>
        <w:pStyle w:val="18"/>
        <w:spacing w:line="360" w:lineRule="auto"/>
        <w:ind w:left="0" w:leftChars="0"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2.评审小组将推荐排名第一名的响应人为第一确定候选合作人，排名第二名的响应人为第二确定候选合作人，排名第三名的响应人为第三确定候选合作人。</w:t>
      </w:r>
    </w:p>
    <w:p>
      <w:pPr>
        <w:pStyle w:val="18"/>
        <w:spacing w:line="360" w:lineRule="auto"/>
        <w:ind w:left="0" w:leftChars="0" w:firstLine="64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3.业主根据评审小组的推荐，就本项目确定合作方，并将评审结果公布在广东省机场管理集团有限公司资源交易信息平台、白云机场公众号。</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若该项目只征集到1家响应人，则由评审小组对该响应人进行资格审查和符合性审查，该响应人通过资格审查、符合性审查且经业主确认为合作人的，按照规定与业主签订合同；若该项目征集到2家或以上响应人的，则由评审小组对项目的响应人进行资格审查和符合性审查后，对通过资格审查和符合性审查的响应人进行评审，并根据评审得分结果推荐合作候选人。合作候选人经业主确认为合作人的，按照规定与业主签订合同。</w:t>
      </w:r>
    </w:p>
    <w:p>
      <w:pPr>
        <w:pStyle w:val="8"/>
        <w:spacing w:line="600" w:lineRule="auto"/>
        <w:rPr>
          <w:color w:val="auto"/>
          <w:sz w:val="21"/>
          <w:szCs w:val="21"/>
          <w:highlight w:val="none"/>
        </w:rPr>
      </w:pPr>
    </w:p>
    <w:p>
      <w:pPr>
        <w:pStyle w:val="8"/>
        <w:spacing w:line="600" w:lineRule="auto"/>
        <w:rPr>
          <w:color w:val="auto"/>
          <w:sz w:val="21"/>
          <w:szCs w:val="21"/>
          <w:highlight w:val="none"/>
        </w:rPr>
      </w:pPr>
    </w:p>
    <w:p>
      <w:pPr>
        <w:pStyle w:val="8"/>
        <w:spacing w:line="600" w:lineRule="auto"/>
        <w:rPr>
          <w:color w:val="auto"/>
          <w:sz w:val="21"/>
          <w:szCs w:val="21"/>
          <w:highlight w:val="none"/>
        </w:rPr>
      </w:pPr>
    </w:p>
    <w:p>
      <w:pPr>
        <w:pStyle w:val="8"/>
        <w:spacing w:line="600" w:lineRule="auto"/>
        <w:rPr>
          <w:color w:val="auto"/>
          <w:sz w:val="21"/>
          <w:szCs w:val="21"/>
          <w:highlight w:val="none"/>
        </w:rPr>
      </w:pPr>
    </w:p>
    <w:p>
      <w:pPr>
        <w:pStyle w:val="8"/>
        <w:spacing w:line="600" w:lineRule="auto"/>
        <w:rPr>
          <w:color w:val="auto"/>
          <w:sz w:val="21"/>
          <w:szCs w:val="21"/>
          <w:highlight w:val="none"/>
        </w:rPr>
      </w:pPr>
    </w:p>
    <w:p>
      <w:pPr>
        <w:pStyle w:val="8"/>
        <w:spacing w:line="600" w:lineRule="auto"/>
        <w:rPr>
          <w:color w:val="auto"/>
          <w:sz w:val="21"/>
          <w:szCs w:val="21"/>
          <w:highlight w:val="none"/>
        </w:rPr>
      </w:pPr>
    </w:p>
    <w:p>
      <w:pPr>
        <w:pStyle w:val="8"/>
        <w:spacing w:line="600" w:lineRule="auto"/>
        <w:rPr>
          <w:color w:val="auto"/>
          <w:sz w:val="21"/>
          <w:szCs w:val="21"/>
          <w:highlight w:val="none"/>
        </w:rPr>
      </w:pPr>
    </w:p>
    <w:p>
      <w:pPr>
        <w:pStyle w:val="8"/>
        <w:spacing w:line="600" w:lineRule="auto"/>
        <w:rPr>
          <w:color w:val="auto"/>
          <w:sz w:val="21"/>
          <w:szCs w:val="21"/>
          <w:highlight w:val="none"/>
        </w:rPr>
      </w:pPr>
    </w:p>
    <w:p>
      <w:pPr>
        <w:pStyle w:val="8"/>
        <w:spacing w:line="600" w:lineRule="auto"/>
        <w:rPr>
          <w:color w:val="auto"/>
          <w:sz w:val="21"/>
          <w:szCs w:val="21"/>
          <w:highlight w:val="none"/>
        </w:rPr>
      </w:pPr>
    </w:p>
    <w:p>
      <w:pPr>
        <w:pStyle w:val="8"/>
        <w:spacing w:line="600" w:lineRule="auto"/>
        <w:rPr>
          <w:color w:val="auto"/>
          <w:sz w:val="21"/>
          <w:szCs w:val="21"/>
          <w:highlight w:val="none"/>
        </w:rPr>
      </w:pPr>
    </w:p>
    <w:p>
      <w:pPr>
        <w:pStyle w:val="8"/>
        <w:spacing w:line="600" w:lineRule="auto"/>
        <w:rPr>
          <w:color w:val="auto"/>
          <w:sz w:val="21"/>
          <w:szCs w:val="21"/>
          <w:highlight w:val="none"/>
        </w:rPr>
      </w:pPr>
    </w:p>
    <w:p>
      <w:pPr>
        <w:pStyle w:val="8"/>
        <w:spacing w:line="600" w:lineRule="auto"/>
        <w:rPr>
          <w:rFonts w:hint="eastAsia" w:ascii="黑体" w:hAnsi="黑体" w:eastAsia="黑体" w:cs="黑体"/>
          <w:color w:val="auto"/>
          <w:sz w:val="32"/>
          <w:szCs w:val="32"/>
          <w:highlight w:val="none"/>
          <w:lang w:val="en-US"/>
        </w:rPr>
      </w:pPr>
      <w:r>
        <w:rPr>
          <w:rFonts w:hint="eastAsia" w:ascii="黑体" w:hAnsi="黑体" w:eastAsia="黑体" w:cs="黑体"/>
          <w:color w:val="auto"/>
          <w:sz w:val="32"/>
          <w:szCs w:val="32"/>
          <w:highlight w:val="none"/>
          <w:lang w:val="en-US" w:eastAsia="zh-CN"/>
        </w:rPr>
        <w:t>附件6</w:t>
      </w:r>
    </w:p>
    <w:p>
      <w:pPr>
        <w:pStyle w:val="3"/>
        <w:rPr>
          <w:color w:val="auto"/>
          <w:highlight w:val="none"/>
          <w:lang w:val="en-US"/>
        </w:rPr>
      </w:pPr>
    </w:p>
    <w:p>
      <w:pPr>
        <w:rPr>
          <w:color w:val="auto"/>
          <w:highlight w:val="none"/>
        </w:rPr>
      </w:pPr>
    </w:p>
    <w:p>
      <w:pPr>
        <w:rPr>
          <w:color w:val="auto"/>
          <w:highlight w:val="none"/>
        </w:rPr>
      </w:pPr>
    </w:p>
    <w:p>
      <w:pPr>
        <w:pStyle w:val="3"/>
        <w:rPr>
          <w:color w:val="auto"/>
          <w:highlight w:val="none"/>
          <w:lang w:val="en-US"/>
        </w:rPr>
      </w:pPr>
    </w:p>
    <w:p>
      <w:pPr>
        <w:rPr>
          <w:color w:val="auto"/>
          <w:highlight w:val="none"/>
        </w:rPr>
      </w:pPr>
    </w:p>
    <w:p>
      <w:pPr>
        <w:jc w:val="center"/>
        <w:rPr>
          <w:rFonts w:ascii="宋体" w:hAnsi="宋体" w:cs="宋体"/>
          <w:b/>
          <w:color w:val="auto"/>
          <w:sz w:val="52"/>
          <w:szCs w:val="52"/>
          <w:highlight w:val="none"/>
        </w:rPr>
      </w:pPr>
      <w:r>
        <w:rPr>
          <w:rFonts w:hint="eastAsia" w:ascii="宋体" w:hAnsi="宋体" w:cs="宋体"/>
          <w:b/>
          <w:color w:val="auto"/>
          <w:sz w:val="52"/>
          <w:szCs w:val="52"/>
          <w:highlight w:val="none"/>
          <w:u w:val="single"/>
        </w:rPr>
        <w:t>广州白云国际机场一号航站楼公共直饮水机提质升级项目合同</w:t>
      </w:r>
    </w:p>
    <w:p>
      <w:pPr>
        <w:jc w:val="center"/>
        <w:rPr>
          <w:rFonts w:ascii="宋体" w:hAnsi="宋体" w:cs="宋体"/>
          <w:color w:val="auto"/>
          <w:sz w:val="21"/>
          <w:szCs w:val="21"/>
          <w:highlight w:val="none"/>
        </w:rPr>
      </w:pPr>
    </w:p>
    <w:p>
      <w:pPr>
        <w:jc w:val="center"/>
        <w:rPr>
          <w:rFonts w:ascii="宋体" w:hAnsi="宋体" w:cs="宋体"/>
          <w:color w:val="auto"/>
          <w:sz w:val="21"/>
          <w:szCs w:val="21"/>
          <w:highlight w:val="none"/>
        </w:rPr>
      </w:pPr>
    </w:p>
    <w:p>
      <w:pPr>
        <w:rPr>
          <w:rFonts w:ascii="宋体" w:hAnsi="宋体" w:cs="宋体"/>
          <w:color w:val="auto"/>
          <w:sz w:val="21"/>
          <w:szCs w:val="21"/>
          <w:highlight w:val="none"/>
        </w:rPr>
      </w:pPr>
    </w:p>
    <w:p>
      <w:pPr>
        <w:pStyle w:val="3"/>
        <w:rPr>
          <w:rFonts w:ascii="宋体" w:hAnsi="宋体" w:cs="宋体"/>
          <w:color w:val="auto"/>
          <w:sz w:val="21"/>
          <w:szCs w:val="21"/>
          <w:highlight w:val="none"/>
        </w:rPr>
      </w:pPr>
    </w:p>
    <w:p>
      <w:pPr>
        <w:rPr>
          <w:rFonts w:ascii="宋体" w:hAnsi="宋体" w:cs="宋体"/>
          <w:color w:val="auto"/>
          <w:sz w:val="21"/>
          <w:szCs w:val="21"/>
          <w:highlight w:val="none"/>
        </w:rPr>
      </w:pPr>
    </w:p>
    <w:p>
      <w:pPr>
        <w:pStyle w:val="2"/>
        <w:rPr>
          <w:rFonts w:ascii="宋体" w:hAnsi="宋体" w:cs="宋体"/>
          <w:color w:val="auto"/>
          <w:sz w:val="21"/>
          <w:szCs w:val="21"/>
          <w:highlight w:val="none"/>
        </w:rPr>
      </w:pPr>
    </w:p>
    <w:p>
      <w:pPr>
        <w:pStyle w:val="2"/>
        <w:rPr>
          <w:rFonts w:ascii="宋体" w:hAnsi="宋体" w:cs="宋体"/>
          <w:color w:val="auto"/>
          <w:sz w:val="21"/>
          <w:szCs w:val="21"/>
          <w:highlight w:val="none"/>
        </w:rPr>
      </w:pPr>
    </w:p>
    <w:p>
      <w:pPr>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甲方：广州白云国际机场股份有限公司</w:t>
      </w:r>
    </w:p>
    <w:p>
      <w:pPr>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乙方：</w:t>
      </w:r>
    </w:p>
    <w:p>
      <w:pPr>
        <w:ind w:firstLine="640" w:firstLineChars="200"/>
        <w:rPr>
          <w:rFonts w:ascii="宋体" w:hAnsi="宋体" w:cs="宋体"/>
          <w:color w:val="auto"/>
          <w:sz w:val="32"/>
          <w:szCs w:val="32"/>
          <w:highlight w:val="none"/>
        </w:rPr>
      </w:pPr>
      <w:r>
        <w:rPr>
          <w:rFonts w:hint="eastAsia" w:ascii="宋体" w:hAnsi="宋体" w:cs="宋体"/>
          <w:color w:val="auto"/>
          <w:sz w:val="32"/>
          <w:szCs w:val="32"/>
          <w:highlight w:val="none"/>
        </w:rPr>
        <w:t>签约地点：</w:t>
      </w:r>
    </w:p>
    <w:p>
      <w:pPr>
        <w:spacing w:line="360" w:lineRule="auto"/>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甲方：</w:t>
      </w:r>
      <w:r>
        <w:rPr>
          <w:rFonts w:hint="eastAsia" w:ascii="宋体" w:hAnsi="宋体" w:cs="宋体"/>
          <w:color w:val="auto"/>
          <w:sz w:val="21"/>
          <w:szCs w:val="21"/>
          <w:highlight w:val="none"/>
          <w:u w:val="single"/>
        </w:rPr>
        <w:t xml:space="preserve">                           </w:t>
      </w:r>
    </w:p>
    <w:p>
      <w:pPr>
        <w:tabs>
          <w:tab w:val="left" w:pos="567"/>
        </w:tabs>
        <w:autoSpaceDE w:val="0"/>
        <w:autoSpaceDN w:val="0"/>
        <w:adjustRightInd w:val="0"/>
        <w:spacing w:line="360" w:lineRule="auto"/>
        <w:ind w:firstLine="420" w:firstLineChars="200"/>
        <w:contextualSpacing/>
        <w:textAlignment w:val="bottom"/>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single"/>
        </w:rPr>
        <w:t xml:space="preserve">                          </w:t>
      </w:r>
    </w:p>
    <w:p>
      <w:pPr>
        <w:tabs>
          <w:tab w:val="left" w:pos="567"/>
        </w:tabs>
        <w:autoSpaceDE w:val="0"/>
        <w:autoSpaceDN w:val="0"/>
        <w:adjustRightInd w:val="0"/>
        <w:spacing w:line="360" w:lineRule="auto"/>
        <w:ind w:firstLine="420" w:firstLineChars="200"/>
        <w:contextualSpacing/>
        <w:textAlignment w:val="bottom"/>
        <w:rPr>
          <w:rFonts w:ascii="宋体" w:hAnsi="宋体" w:cs="宋体"/>
          <w:color w:val="auto"/>
          <w:sz w:val="21"/>
          <w:szCs w:val="21"/>
          <w:highlight w:val="none"/>
        </w:rPr>
      </w:pPr>
      <w:r>
        <w:rPr>
          <w:rFonts w:hint="eastAsia" w:ascii="宋体" w:hAnsi="宋体" w:cs="宋体"/>
          <w:color w:val="auto"/>
          <w:sz w:val="21"/>
          <w:szCs w:val="21"/>
          <w:highlight w:val="none"/>
        </w:rPr>
        <w:t>法人代表：</w:t>
      </w:r>
      <w:r>
        <w:rPr>
          <w:rFonts w:hint="eastAsia" w:ascii="宋体" w:hAnsi="宋体" w:cs="宋体"/>
          <w:color w:val="auto"/>
          <w:sz w:val="21"/>
          <w:szCs w:val="21"/>
          <w:highlight w:val="none"/>
          <w:u w:val="single"/>
        </w:rPr>
        <w:t xml:space="preserve">                              </w:t>
      </w:r>
    </w:p>
    <w:p>
      <w:pPr>
        <w:tabs>
          <w:tab w:val="left" w:pos="567"/>
        </w:tabs>
        <w:autoSpaceDE w:val="0"/>
        <w:autoSpaceDN w:val="0"/>
        <w:adjustRightInd w:val="0"/>
        <w:spacing w:line="360" w:lineRule="auto"/>
        <w:ind w:firstLine="420" w:firstLineChars="200"/>
        <w:contextualSpacing/>
        <w:textAlignment w:val="bottom"/>
        <w:rPr>
          <w:rFonts w:ascii="宋体" w:hAnsi="宋体" w:cs="宋体"/>
          <w:color w:val="auto"/>
          <w:sz w:val="21"/>
          <w:szCs w:val="21"/>
          <w:highlight w:val="none"/>
        </w:rPr>
      </w:pP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single"/>
        </w:rPr>
        <w:t xml:space="preserve">                          </w:t>
      </w:r>
    </w:p>
    <w:p>
      <w:pPr>
        <w:tabs>
          <w:tab w:val="left" w:pos="567"/>
        </w:tabs>
        <w:autoSpaceDE w:val="0"/>
        <w:autoSpaceDN w:val="0"/>
        <w:adjustRightInd w:val="0"/>
        <w:spacing w:line="360" w:lineRule="auto"/>
        <w:ind w:firstLine="420" w:firstLineChars="200"/>
        <w:contextualSpacing/>
        <w:textAlignment w:val="bottom"/>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p>
    <w:p>
      <w:pPr>
        <w:tabs>
          <w:tab w:val="left" w:pos="567"/>
        </w:tabs>
        <w:autoSpaceDE w:val="0"/>
        <w:autoSpaceDN w:val="0"/>
        <w:adjustRightInd w:val="0"/>
        <w:spacing w:line="360" w:lineRule="auto"/>
        <w:ind w:firstLine="420" w:firstLineChars="200"/>
        <w:contextualSpacing/>
        <w:textAlignment w:val="bottom"/>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 xml:space="preserve">    </w:t>
      </w:r>
    </w:p>
    <w:p>
      <w:pPr>
        <w:tabs>
          <w:tab w:val="left" w:pos="567"/>
        </w:tabs>
        <w:autoSpaceDE w:val="0"/>
        <w:autoSpaceDN w:val="0"/>
        <w:adjustRightInd w:val="0"/>
        <w:spacing w:line="360" w:lineRule="auto"/>
        <w:ind w:firstLine="420" w:firstLineChars="200"/>
        <w:contextualSpacing/>
        <w:textAlignment w:val="bottom"/>
        <w:rPr>
          <w:rFonts w:ascii="宋体" w:hAnsi="宋体" w:cs="宋体"/>
          <w:color w:val="auto"/>
          <w:sz w:val="21"/>
          <w:szCs w:val="21"/>
          <w:highlight w:val="none"/>
        </w:rPr>
      </w:pPr>
    </w:p>
    <w:p>
      <w:pPr>
        <w:tabs>
          <w:tab w:val="left" w:pos="567"/>
        </w:tabs>
        <w:autoSpaceDE w:val="0"/>
        <w:autoSpaceDN w:val="0"/>
        <w:adjustRightInd w:val="0"/>
        <w:spacing w:line="360" w:lineRule="auto"/>
        <w:ind w:firstLine="420" w:firstLineChars="200"/>
        <w:contextualSpacing/>
        <w:textAlignment w:val="bottom"/>
        <w:rPr>
          <w:rFonts w:ascii="宋体" w:hAnsi="宋体" w:cs="宋体"/>
          <w:color w:val="auto"/>
          <w:sz w:val="21"/>
          <w:szCs w:val="21"/>
          <w:highlight w:val="none"/>
          <w:u w:val="single"/>
        </w:rPr>
      </w:pPr>
      <w:r>
        <w:rPr>
          <w:rFonts w:hint="eastAsia" w:ascii="宋体" w:hAnsi="宋体" w:cs="宋体"/>
          <w:color w:val="auto"/>
          <w:sz w:val="21"/>
          <w:szCs w:val="21"/>
          <w:highlight w:val="none"/>
        </w:rPr>
        <w:t>乙方：</w:t>
      </w:r>
      <w:r>
        <w:rPr>
          <w:rFonts w:hint="eastAsia" w:ascii="宋体" w:hAnsi="宋体" w:cs="宋体"/>
          <w:color w:val="auto"/>
          <w:sz w:val="21"/>
          <w:szCs w:val="21"/>
          <w:highlight w:val="none"/>
          <w:u w:val="single"/>
        </w:rPr>
        <w:t xml:space="preserve">                            </w:t>
      </w:r>
    </w:p>
    <w:p>
      <w:pPr>
        <w:tabs>
          <w:tab w:val="left" w:pos="567"/>
        </w:tabs>
        <w:autoSpaceDE w:val="0"/>
        <w:autoSpaceDN w:val="0"/>
        <w:adjustRightInd w:val="0"/>
        <w:spacing w:line="360" w:lineRule="auto"/>
        <w:ind w:firstLine="420" w:firstLineChars="200"/>
        <w:contextualSpacing/>
        <w:textAlignment w:val="bottom"/>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single"/>
        </w:rPr>
        <w:t xml:space="preserve">                          </w:t>
      </w:r>
    </w:p>
    <w:p>
      <w:pPr>
        <w:tabs>
          <w:tab w:val="left" w:pos="567"/>
        </w:tabs>
        <w:autoSpaceDE w:val="0"/>
        <w:autoSpaceDN w:val="0"/>
        <w:adjustRightInd w:val="0"/>
        <w:spacing w:line="360" w:lineRule="auto"/>
        <w:ind w:firstLine="420" w:firstLineChars="200"/>
        <w:contextualSpacing/>
        <w:textAlignment w:val="bottom"/>
        <w:rPr>
          <w:rFonts w:ascii="宋体" w:hAnsi="宋体" w:cs="宋体"/>
          <w:color w:val="auto"/>
          <w:sz w:val="21"/>
          <w:szCs w:val="21"/>
          <w:highlight w:val="none"/>
          <w:u w:val="single"/>
        </w:rPr>
      </w:pPr>
      <w:r>
        <w:rPr>
          <w:rFonts w:hint="eastAsia" w:ascii="宋体" w:hAnsi="宋体" w:cs="宋体"/>
          <w:color w:val="auto"/>
          <w:sz w:val="21"/>
          <w:szCs w:val="21"/>
          <w:highlight w:val="none"/>
        </w:rPr>
        <w:t>法定代表人：</w:t>
      </w:r>
      <w:r>
        <w:rPr>
          <w:rFonts w:hint="eastAsia" w:ascii="宋体" w:hAnsi="宋体" w:cs="宋体"/>
          <w:color w:val="auto"/>
          <w:sz w:val="21"/>
          <w:szCs w:val="21"/>
          <w:highlight w:val="none"/>
          <w:u w:val="single"/>
        </w:rPr>
        <w:t xml:space="preserve">                              </w:t>
      </w:r>
    </w:p>
    <w:p>
      <w:pPr>
        <w:tabs>
          <w:tab w:val="left" w:pos="567"/>
        </w:tabs>
        <w:autoSpaceDE w:val="0"/>
        <w:autoSpaceDN w:val="0"/>
        <w:adjustRightInd w:val="0"/>
        <w:spacing w:line="360" w:lineRule="auto"/>
        <w:ind w:firstLine="420" w:firstLineChars="200"/>
        <w:contextualSpacing/>
        <w:textAlignment w:val="bottom"/>
        <w:rPr>
          <w:rFonts w:ascii="宋体" w:hAnsi="宋体" w:cs="宋体"/>
          <w:color w:val="auto"/>
          <w:sz w:val="21"/>
          <w:szCs w:val="21"/>
          <w:highlight w:val="none"/>
          <w:u w:val="single"/>
        </w:rPr>
      </w:pP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single"/>
        </w:rPr>
        <w:t xml:space="preserve">                          </w:t>
      </w:r>
    </w:p>
    <w:p>
      <w:pPr>
        <w:tabs>
          <w:tab w:val="left" w:pos="567"/>
        </w:tabs>
        <w:autoSpaceDE w:val="0"/>
        <w:autoSpaceDN w:val="0"/>
        <w:adjustRightInd w:val="0"/>
        <w:spacing w:line="360" w:lineRule="auto"/>
        <w:ind w:firstLine="420" w:firstLineChars="200"/>
        <w:contextualSpacing/>
        <w:textAlignment w:val="bottom"/>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tabs>
          <w:tab w:val="left" w:pos="567"/>
        </w:tabs>
        <w:autoSpaceDE w:val="0"/>
        <w:autoSpaceDN w:val="0"/>
        <w:adjustRightInd w:val="0"/>
        <w:spacing w:line="360" w:lineRule="auto"/>
        <w:ind w:firstLine="420" w:firstLineChars="200"/>
        <w:contextualSpacing/>
        <w:textAlignment w:val="bottom"/>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 xml:space="preserve">    </w:t>
      </w:r>
    </w:p>
    <w:p>
      <w:pPr>
        <w:tabs>
          <w:tab w:val="left" w:pos="567"/>
        </w:tabs>
        <w:autoSpaceDE w:val="0"/>
        <w:autoSpaceDN w:val="0"/>
        <w:adjustRightInd w:val="0"/>
        <w:spacing w:line="360" w:lineRule="auto"/>
        <w:ind w:firstLine="420" w:firstLineChars="200"/>
        <w:contextualSpacing/>
        <w:textAlignment w:val="bottom"/>
        <w:rPr>
          <w:rFonts w:ascii="宋体" w:hAnsi="宋体" w:cs="宋体"/>
          <w:color w:val="auto"/>
          <w:sz w:val="21"/>
          <w:szCs w:val="21"/>
          <w:highlight w:val="none"/>
        </w:rPr>
      </w:pPr>
    </w:p>
    <w:p>
      <w:pPr>
        <w:tabs>
          <w:tab w:val="left" w:pos="567"/>
        </w:tabs>
        <w:autoSpaceDE w:val="0"/>
        <w:autoSpaceDN w:val="0"/>
        <w:adjustRightInd w:val="0"/>
        <w:spacing w:line="360" w:lineRule="auto"/>
        <w:ind w:firstLine="420" w:firstLineChars="200"/>
        <w:contextualSpacing/>
        <w:textAlignment w:val="bottom"/>
        <w:rPr>
          <w:rFonts w:ascii="宋体" w:hAnsi="宋体" w:cs="宋体"/>
          <w:color w:val="auto"/>
          <w:sz w:val="21"/>
          <w:szCs w:val="21"/>
          <w:highlight w:val="none"/>
        </w:rPr>
      </w:pPr>
      <w:r>
        <w:rPr>
          <w:rFonts w:hint="eastAsia" w:ascii="宋体" w:hAnsi="宋体" w:cs="宋体"/>
          <w:color w:val="auto"/>
          <w:sz w:val="21"/>
          <w:szCs w:val="21"/>
          <w:highlight w:val="none"/>
        </w:rPr>
        <w:t>根据《中华人民共和国民法典》及其他相关法律法规，甲、乙双方就乙方为</w:t>
      </w:r>
      <w:r>
        <w:rPr>
          <w:rFonts w:hint="eastAsia" w:ascii="宋体" w:hAnsi="宋体" w:cs="宋体"/>
          <w:color w:val="auto"/>
          <w:sz w:val="21"/>
          <w:szCs w:val="21"/>
          <w:highlight w:val="none"/>
          <w:u w:val="single"/>
        </w:rPr>
        <w:t>广州白云国际机场一号航站楼公共直饮水机提质升级</w:t>
      </w:r>
      <w:r>
        <w:rPr>
          <w:rFonts w:hint="eastAsia" w:ascii="宋体" w:hAnsi="宋体" w:cs="宋体"/>
          <w:color w:val="auto"/>
          <w:sz w:val="21"/>
          <w:szCs w:val="21"/>
          <w:highlight w:val="none"/>
        </w:rPr>
        <w:t>项目而向甲方提供相关服务，经甲乙双方协商一致，签订本合同，共同遵守如下条款：</w:t>
      </w:r>
      <w:bookmarkStart w:id="2" w:name="_Toc127839455"/>
      <w:bookmarkStart w:id="3" w:name="_Toc244074187"/>
      <w:bookmarkStart w:id="4" w:name="_Toc171092019"/>
      <w:bookmarkStart w:id="5" w:name="_Toc451159847"/>
      <w:bookmarkStart w:id="6" w:name="_Toc163576040"/>
      <w:bookmarkStart w:id="7" w:name="_Toc171074569"/>
      <w:bookmarkStart w:id="8" w:name="_Toc164786123"/>
      <w:bookmarkStart w:id="9" w:name="_Toc68928315"/>
      <w:bookmarkStart w:id="10" w:name="_Toc128369550"/>
      <w:bookmarkStart w:id="11" w:name="_Toc127844712"/>
      <w:bookmarkStart w:id="12" w:name="_Toc436923916"/>
      <w:bookmarkStart w:id="13" w:name="_Toc210298452"/>
      <w:bookmarkStart w:id="14" w:name="_Toc260047744"/>
      <w:bookmarkStart w:id="15" w:name="_Toc451352788"/>
      <w:bookmarkStart w:id="16" w:name="_Toc212437047"/>
      <w:bookmarkStart w:id="17" w:name="_Toc171074262"/>
      <w:bookmarkStart w:id="18" w:name="_Toc206993430"/>
      <w:bookmarkStart w:id="19" w:name="_Toc169600608"/>
      <w:bookmarkStart w:id="20" w:name="_Toc186258408"/>
    </w:p>
    <w:p>
      <w:pPr>
        <w:pStyle w:val="26"/>
        <w:autoSpaceDE w:val="0"/>
        <w:adjustRightInd w:val="0"/>
        <w:spacing w:line="360" w:lineRule="auto"/>
        <w:ind w:firstLine="482"/>
        <w:contextualSpacing/>
        <w:rPr>
          <w:b/>
          <w:color w:val="auto"/>
          <w:szCs w:val="21"/>
          <w:highlight w:val="none"/>
        </w:rPr>
      </w:pPr>
      <w:r>
        <w:rPr>
          <w:rFonts w:hint="eastAsia"/>
          <w:b/>
          <w:color w:val="auto"/>
          <w:szCs w:val="21"/>
          <w:highlight w:val="none"/>
        </w:rPr>
        <w:t>1.合作内容及方式</w:t>
      </w:r>
    </w:p>
    <w:p>
      <w:pPr>
        <w:pStyle w:val="26"/>
        <w:autoSpaceDE w:val="0"/>
        <w:adjustRightInd w:val="0"/>
        <w:spacing w:line="360" w:lineRule="auto"/>
        <w:contextualSpacing/>
        <w:rPr>
          <w:color w:val="auto"/>
          <w:sz w:val="21"/>
          <w:szCs w:val="21"/>
          <w:highlight w:val="none"/>
          <w:u w:val="single"/>
        </w:rPr>
      </w:pPr>
      <w:r>
        <w:rPr>
          <w:rFonts w:hint="eastAsia"/>
          <w:color w:val="auto"/>
          <w:sz w:val="21"/>
          <w:szCs w:val="21"/>
          <w:highlight w:val="none"/>
        </w:rPr>
        <w:t>1.1合作名称</w:t>
      </w:r>
      <w:r>
        <w:rPr>
          <w:color w:val="auto"/>
          <w:sz w:val="21"/>
          <w:szCs w:val="21"/>
          <w:highlight w:val="none"/>
        </w:rPr>
        <w:t>:</w:t>
      </w:r>
      <w:r>
        <w:rPr>
          <w:rFonts w:hint="eastAsia"/>
          <w:color w:val="auto"/>
          <w:sz w:val="21"/>
          <w:szCs w:val="21"/>
          <w:highlight w:val="none"/>
          <w:u w:val="single"/>
        </w:rPr>
        <w:t xml:space="preserve"> 广州白云国际机场一号航站楼公共直饮水机提质升级项目                                                   </w:t>
      </w:r>
    </w:p>
    <w:p>
      <w:pPr>
        <w:pStyle w:val="26"/>
        <w:tabs>
          <w:tab w:val="left" w:pos="426"/>
        </w:tabs>
        <w:autoSpaceDE w:val="0"/>
        <w:adjustRightInd w:val="0"/>
        <w:spacing w:line="360" w:lineRule="auto"/>
        <w:contextualSpacing/>
        <w:rPr>
          <w:color w:val="auto"/>
          <w:sz w:val="21"/>
          <w:szCs w:val="21"/>
          <w:highlight w:val="none"/>
          <w:u w:val="single"/>
        </w:rPr>
      </w:pPr>
      <w:r>
        <w:rPr>
          <w:rFonts w:hint="eastAsia"/>
          <w:color w:val="auto"/>
          <w:sz w:val="21"/>
          <w:szCs w:val="21"/>
          <w:highlight w:val="none"/>
        </w:rPr>
        <w:t>1.2合作范围：</w:t>
      </w:r>
      <w:r>
        <w:rPr>
          <w:rFonts w:hint="eastAsia"/>
          <w:color w:val="auto"/>
          <w:sz w:val="21"/>
          <w:szCs w:val="21"/>
          <w:highlight w:val="none"/>
          <w:u w:val="single"/>
        </w:rPr>
        <w:t xml:space="preserve">广州白云国际机场一号航站楼                                                           </w:t>
      </w:r>
    </w:p>
    <w:p>
      <w:pPr>
        <w:pStyle w:val="26"/>
        <w:tabs>
          <w:tab w:val="left" w:pos="426"/>
        </w:tabs>
        <w:autoSpaceDE w:val="0"/>
        <w:adjustRightInd w:val="0"/>
        <w:spacing w:line="360" w:lineRule="auto"/>
        <w:contextualSpacing/>
        <w:rPr>
          <w:color w:val="auto"/>
          <w:szCs w:val="21"/>
          <w:highlight w:val="none"/>
          <w:u w:val="single"/>
        </w:rPr>
      </w:pPr>
      <w:r>
        <w:rPr>
          <w:rFonts w:hint="eastAsia"/>
          <w:color w:val="auto"/>
          <w:sz w:val="21"/>
          <w:szCs w:val="21"/>
          <w:highlight w:val="none"/>
        </w:rPr>
        <w:t>1.3合作内容：</w:t>
      </w:r>
      <w:r>
        <w:rPr>
          <w:rFonts w:hint="eastAsia"/>
          <w:color w:val="auto"/>
          <w:sz w:val="21"/>
          <w:szCs w:val="21"/>
          <w:highlight w:val="none"/>
          <w:u w:val="single"/>
        </w:rPr>
        <w:t>广州白云国际机场一号航站楼楼内公共直饮水机共162台（含15台备用设备），并提供合同期内设备的日常维修、保养、零配件更换、调试、水质检测等服务。（具体点位见附件</w:t>
      </w:r>
      <w:r>
        <w:rPr>
          <w:rFonts w:hint="eastAsia"/>
          <w:color w:val="auto"/>
          <w:sz w:val="21"/>
          <w:szCs w:val="21"/>
          <w:highlight w:val="none"/>
          <w:u w:val="single"/>
          <w:lang w:val="en-US" w:eastAsia="zh-CN"/>
        </w:rPr>
        <w:t>1</w:t>
      </w:r>
      <w:r>
        <w:rPr>
          <w:rFonts w:hint="eastAsia"/>
          <w:color w:val="auto"/>
          <w:sz w:val="21"/>
          <w:szCs w:val="21"/>
          <w:highlight w:val="none"/>
          <w:u w:val="single"/>
        </w:rPr>
        <w:t>）</w:t>
      </w:r>
      <w:r>
        <w:rPr>
          <w:rFonts w:hint="eastAsia"/>
          <w:color w:val="auto"/>
          <w:szCs w:val="21"/>
          <w:highlight w:val="none"/>
        </w:rPr>
        <w:t xml:space="preserve"> </w:t>
      </w:r>
    </w:p>
    <w:p>
      <w:pPr>
        <w:pStyle w:val="26"/>
        <w:tabs>
          <w:tab w:val="left" w:pos="567"/>
        </w:tabs>
        <w:autoSpaceDE w:val="0"/>
        <w:adjustRightInd w:val="0"/>
        <w:spacing w:line="360" w:lineRule="auto"/>
        <w:ind w:firstLine="482"/>
        <w:contextualSpacing/>
        <w:rPr>
          <w:b/>
          <w:color w:val="auto"/>
          <w:szCs w:val="21"/>
          <w:highlight w:val="none"/>
        </w:rPr>
      </w:pPr>
      <w:r>
        <w:rPr>
          <w:rFonts w:hint="eastAsia"/>
          <w:b/>
          <w:color w:val="auto"/>
          <w:szCs w:val="21"/>
          <w:highlight w:val="none"/>
        </w:rPr>
        <w:t>2.合同期限</w:t>
      </w:r>
    </w:p>
    <w:p>
      <w:pPr>
        <w:tabs>
          <w:tab w:val="left" w:pos="360"/>
          <w:tab w:val="left" w:pos="540"/>
        </w:tabs>
        <w:spacing w:line="360" w:lineRule="auto"/>
        <w:ind w:firstLine="420" w:firstLineChars="200"/>
        <w:rPr>
          <w:rFonts w:ascii="宋体"/>
          <w:color w:val="auto"/>
          <w:szCs w:val="21"/>
          <w:highlight w:val="none"/>
        </w:rPr>
      </w:pPr>
      <w:r>
        <w:rPr>
          <w:rFonts w:hint="eastAsia" w:ascii="宋体" w:hAnsi="宋体"/>
          <w:color w:val="auto"/>
          <w:sz w:val="21"/>
          <w:szCs w:val="21"/>
          <w:highlight w:val="none"/>
        </w:rPr>
        <w:t>2.1本合同自</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日起至</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日止，共</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个月。</w:t>
      </w:r>
      <w:r>
        <w:rPr>
          <w:rFonts w:hint="eastAsia" w:ascii="宋体"/>
          <w:color w:val="auto"/>
          <w:szCs w:val="21"/>
          <w:highlight w:val="none"/>
        </w:rPr>
        <w:t xml:space="preserve"> </w:t>
      </w:r>
    </w:p>
    <w:p>
      <w:pPr>
        <w:tabs>
          <w:tab w:val="left" w:pos="840"/>
        </w:tabs>
        <w:spacing w:line="360" w:lineRule="auto"/>
        <w:ind w:firstLine="420" w:firstLineChars="200"/>
        <w:contextualSpacing/>
        <w:rPr>
          <w:rFonts w:hint="eastAsia" w:ascii="宋体" w:hAnsi="宋体"/>
          <w:color w:val="auto"/>
          <w:sz w:val="21"/>
          <w:szCs w:val="21"/>
          <w:highlight w:val="none"/>
          <w:lang w:eastAsia="zh-CN"/>
        </w:rPr>
      </w:pPr>
      <w:r>
        <w:rPr>
          <w:rFonts w:hint="eastAsia" w:ascii="宋体" w:hAnsi="宋体"/>
          <w:color w:val="auto"/>
          <w:sz w:val="21"/>
          <w:szCs w:val="21"/>
          <w:highlight w:val="none"/>
        </w:rPr>
        <w:t>2.2如出现航站楼流程改造等重大客观情况变化，</w:t>
      </w:r>
      <w:r>
        <w:rPr>
          <w:rFonts w:hint="eastAsia" w:ascii="宋体" w:hAnsi="宋体"/>
          <w:color w:val="auto"/>
          <w:sz w:val="21"/>
          <w:szCs w:val="21"/>
          <w:highlight w:val="none"/>
          <w:lang w:val="en-US" w:eastAsia="zh-CN"/>
        </w:rPr>
        <w:t>甲方</w:t>
      </w:r>
      <w:r>
        <w:rPr>
          <w:rFonts w:hint="eastAsia" w:ascii="宋体" w:hAnsi="宋体"/>
          <w:color w:val="auto"/>
          <w:sz w:val="21"/>
          <w:szCs w:val="21"/>
          <w:highlight w:val="none"/>
        </w:rPr>
        <w:t>可提前30天告知</w:t>
      </w:r>
      <w:r>
        <w:rPr>
          <w:rFonts w:hint="eastAsia" w:ascii="宋体" w:hAnsi="宋体"/>
          <w:color w:val="auto"/>
          <w:sz w:val="21"/>
          <w:szCs w:val="21"/>
          <w:highlight w:val="none"/>
          <w:lang w:val="en-US" w:eastAsia="zh-CN"/>
        </w:rPr>
        <w:t>乙方</w:t>
      </w:r>
      <w:r>
        <w:rPr>
          <w:rFonts w:hint="eastAsia" w:ascii="宋体" w:hAnsi="宋体"/>
          <w:color w:val="auto"/>
          <w:sz w:val="21"/>
          <w:szCs w:val="21"/>
          <w:highlight w:val="none"/>
        </w:rPr>
        <w:t>并有权终止协议；或经双方协商达成一致可以延期，双方订立补充协议。</w:t>
      </w:r>
    </w:p>
    <w:p>
      <w:pPr>
        <w:pStyle w:val="26"/>
        <w:autoSpaceDE w:val="0"/>
        <w:adjustRightInd w:val="0"/>
        <w:spacing w:line="360" w:lineRule="auto"/>
        <w:ind w:firstLine="482"/>
        <w:contextualSpacing/>
        <w:rPr>
          <w:b/>
          <w:color w:val="auto"/>
          <w:szCs w:val="21"/>
          <w:highlight w:val="none"/>
        </w:rPr>
      </w:pPr>
      <w:r>
        <w:rPr>
          <w:rFonts w:hint="eastAsia"/>
          <w:b/>
          <w:color w:val="auto"/>
          <w:szCs w:val="21"/>
          <w:highlight w:val="none"/>
        </w:rPr>
        <w:t>3.合作方式（包括但不限于技术标准、质量要求）</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3.1乙方应安排</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名驻场维护人员对本项目所投放产品进行日常巡视、检查、维护、维修，确保产品的正常使用。</w:t>
      </w:r>
    </w:p>
    <w:p>
      <w:pPr>
        <w:tabs>
          <w:tab w:val="left" w:pos="840"/>
        </w:tabs>
        <w:spacing w:line="360" w:lineRule="auto"/>
        <w:ind w:firstLine="420" w:firstLineChars="200"/>
        <w:contextualSpacing/>
        <w:rPr>
          <w:rFonts w:hint="eastAsia" w:ascii="宋体" w:hAnsi="宋体"/>
          <w:color w:val="auto"/>
          <w:sz w:val="21"/>
          <w:szCs w:val="21"/>
          <w:highlight w:val="none"/>
        </w:rPr>
      </w:pPr>
      <w:r>
        <w:rPr>
          <w:rFonts w:hint="eastAsia" w:ascii="宋体" w:hAnsi="宋体"/>
          <w:color w:val="auto"/>
          <w:sz w:val="21"/>
          <w:szCs w:val="21"/>
          <w:highlight w:val="none"/>
          <w:lang w:val="en-US" w:eastAsia="zh-CN"/>
        </w:rPr>
        <w:t xml:space="preserve">3.2 </w:t>
      </w:r>
      <w:r>
        <w:rPr>
          <w:rFonts w:hint="eastAsia" w:ascii="宋体" w:hAnsi="宋体"/>
          <w:color w:val="auto"/>
          <w:sz w:val="21"/>
          <w:szCs w:val="21"/>
          <w:highlight w:val="none"/>
        </w:rPr>
        <w:t>本项目实施过程中，甲方通过微信或电话通知，乙方应承诺服务响应时间为</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分钟内到达现场。无特殊情况</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分钟排除故障，并及时向甲方反馈故障维修信息。</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lang w:val="en-US" w:eastAsia="zh-CN"/>
        </w:rPr>
        <w:t xml:space="preserve">3.3 </w:t>
      </w:r>
      <w:r>
        <w:rPr>
          <w:rFonts w:hint="eastAsia" w:ascii="宋体" w:hAnsi="宋体"/>
          <w:color w:val="auto"/>
          <w:sz w:val="21"/>
          <w:szCs w:val="21"/>
          <w:highlight w:val="none"/>
        </w:rPr>
        <w:t>乙方应提供每</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月不少于1次具有合格资质检测机构的水质检测报告。</w:t>
      </w:r>
    </w:p>
    <w:p>
      <w:pPr>
        <w:tabs>
          <w:tab w:val="left" w:pos="840"/>
        </w:tabs>
        <w:spacing w:line="360" w:lineRule="auto"/>
        <w:ind w:firstLine="420" w:firstLineChars="200"/>
        <w:contextualSpacing/>
        <w:rPr>
          <w:rFonts w:hint="default" w:ascii="宋体" w:hAnsi="宋体" w:eastAsia="宋体"/>
          <w:color w:val="auto"/>
          <w:sz w:val="21"/>
          <w:szCs w:val="21"/>
          <w:highlight w:val="none"/>
          <w:lang w:val="en-US" w:eastAsia="zh-CN"/>
        </w:rPr>
      </w:pPr>
      <w:r>
        <w:rPr>
          <w:rFonts w:hint="eastAsia" w:ascii="宋体" w:hAnsi="宋体" w:cs="Times New Roman"/>
          <w:color w:val="auto"/>
          <w:sz w:val="21"/>
          <w:szCs w:val="21"/>
          <w:highlight w:val="none"/>
          <w:lang w:val="en-US" w:eastAsia="zh-CN"/>
        </w:rPr>
        <w:t xml:space="preserve">3.4 </w:t>
      </w:r>
      <w:r>
        <w:rPr>
          <w:rFonts w:hint="eastAsia" w:ascii="宋体" w:hAnsi="宋体" w:cs="Times New Roman"/>
          <w:color w:val="auto"/>
          <w:sz w:val="21"/>
          <w:szCs w:val="21"/>
          <w:highlight w:val="none"/>
        </w:rPr>
        <w:t>乙方应承诺</w:t>
      </w:r>
      <w:r>
        <w:rPr>
          <w:rFonts w:hint="eastAsia" w:ascii="宋体" w:hAnsi="宋体" w:cs="Times New Roman"/>
          <w:color w:val="auto"/>
          <w:sz w:val="21"/>
          <w:szCs w:val="21"/>
          <w:highlight w:val="none"/>
          <w:lang w:val="zh-CN" w:eastAsia="zh-CN"/>
        </w:rPr>
        <w:t>直饮水机的滤芯更换周期</w:t>
      </w:r>
      <w:r>
        <w:rPr>
          <w:rFonts w:hint="eastAsia" w:ascii="宋体" w:hAnsi="宋体" w:cs="Times New Roman"/>
          <w:color w:val="auto"/>
          <w:sz w:val="21"/>
          <w:szCs w:val="21"/>
          <w:highlight w:val="none"/>
          <w:lang w:val="en-US" w:eastAsia="zh-CN"/>
        </w:rPr>
        <w:t>是每</w:t>
      </w:r>
      <w:r>
        <w:rPr>
          <w:rFonts w:hint="eastAsia" w:ascii="宋体" w:hAnsi="宋体" w:cs="Times New Roman"/>
          <w:color w:val="auto"/>
          <w:sz w:val="21"/>
          <w:szCs w:val="21"/>
          <w:highlight w:val="none"/>
          <w:u w:val="single"/>
          <w:lang w:val="en-US" w:eastAsia="zh-CN"/>
        </w:rPr>
        <w:t xml:space="preserve">   </w:t>
      </w:r>
      <w:r>
        <w:rPr>
          <w:rFonts w:hint="eastAsia" w:ascii="宋体" w:hAnsi="宋体" w:cs="Times New Roman"/>
          <w:color w:val="auto"/>
          <w:sz w:val="21"/>
          <w:szCs w:val="21"/>
          <w:highlight w:val="none"/>
          <w:lang w:val="zh-CN" w:eastAsia="zh-CN"/>
        </w:rPr>
        <w:t>月一次。滤芯必须符合国家饮用水卫生安全要求，并确保过滤后水质达到检验检疫检测标准，能保证达到人体安全饮用的水质标准。</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乙方每月至少</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次对公共直饮水机进行全面检查,包括</w:t>
      </w:r>
      <w:r>
        <w:rPr>
          <w:rFonts w:hint="eastAsia"/>
          <w:color w:val="auto"/>
          <w:sz w:val="21"/>
          <w:szCs w:val="21"/>
          <w:highlight w:val="none"/>
        </w:rPr>
        <w:t>设备的日常维修、保养、零配件更换（用材用料方面须符合国家饮水机行业相关安全标准）等</w:t>
      </w:r>
      <w:r>
        <w:rPr>
          <w:rFonts w:hint="eastAsia" w:ascii="宋体" w:hAnsi="宋体"/>
          <w:color w:val="auto"/>
          <w:sz w:val="21"/>
          <w:szCs w:val="21"/>
          <w:highlight w:val="none"/>
        </w:rPr>
        <w:t>，确保饮水设备正常运行以及提供安全饮水服务。</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乙方应建立定期维保工作制度，并建立每台公共直饮水机的《维护保养记录台账》，并每月5日前提交维护保养记录，其中包括饮水机故障维修情况、滤芯更换等。</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乙方应制定符合机场要求的有关应急预案、制度、标准，并通过甲方审核后并严格按照有关应急预案、制度、标准执行。</w:t>
      </w:r>
    </w:p>
    <w:p>
      <w:pPr>
        <w:tabs>
          <w:tab w:val="left" w:pos="840"/>
        </w:tabs>
        <w:spacing w:line="360" w:lineRule="auto"/>
        <w:ind w:firstLine="420" w:firstLineChars="200"/>
        <w:contextualSpacing/>
        <w:rPr>
          <w:rFonts w:hint="eastAsia"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乙方负责本项目实施过程中，纸杯桶安装、维修、更换工作（含零部件更换）。</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乙方负责直饮水机机身的标识和相关温馨提示的制作、安装、更换工作。</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乙方负责直饮水机进水管安装：提供角阀、软管、接头及其安装、维护服务。</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乙方负责直饮水机排水管安装：提供排水管件、管道、管码及其安装、维护服务。</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3.1</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乙方可利用合作投入的设备进行品牌LOGO展示，投入设备的品牌LOGO尺寸需与市面上同型号设备的LOGO尺寸一致</w:t>
      </w:r>
      <w:r>
        <w:rPr>
          <w:rFonts w:hint="eastAsia" w:ascii="宋体" w:hAnsi="宋体"/>
          <w:color w:val="auto"/>
          <w:sz w:val="21"/>
          <w:szCs w:val="21"/>
          <w:highlight w:val="none"/>
          <w:lang w:eastAsia="zh-CN"/>
        </w:rPr>
        <w:t>，不得在原机身张贴二维码等其它任何</w:t>
      </w:r>
      <w:r>
        <w:rPr>
          <w:rFonts w:hint="eastAsia" w:ascii="宋体" w:hAnsi="宋体"/>
          <w:color w:val="auto"/>
          <w:sz w:val="21"/>
          <w:szCs w:val="21"/>
          <w:highlight w:val="none"/>
          <w:lang w:val="en-US" w:eastAsia="zh-CN"/>
        </w:rPr>
        <w:t>形式的</w:t>
      </w:r>
      <w:r>
        <w:rPr>
          <w:rFonts w:hint="eastAsia" w:ascii="宋体" w:hAnsi="宋体"/>
          <w:color w:val="auto"/>
          <w:sz w:val="21"/>
          <w:szCs w:val="21"/>
          <w:highlight w:val="none"/>
          <w:lang w:eastAsia="zh-CN"/>
        </w:rPr>
        <w:t>广告信息。</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3.1</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乙方使用本</w:t>
      </w:r>
      <w:r>
        <w:rPr>
          <w:rFonts w:hint="eastAsia" w:ascii="宋体" w:hAnsi="宋体"/>
          <w:color w:val="auto"/>
          <w:sz w:val="21"/>
          <w:szCs w:val="21"/>
          <w:highlight w:val="none"/>
          <w:lang w:val="en-US" w:eastAsia="zh-CN"/>
        </w:rPr>
        <w:t>项目其他</w:t>
      </w:r>
      <w:r>
        <w:rPr>
          <w:rFonts w:hint="eastAsia" w:ascii="宋体" w:hAnsi="宋体"/>
          <w:color w:val="auto"/>
          <w:sz w:val="21"/>
          <w:szCs w:val="21"/>
          <w:highlight w:val="none"/>
        </w:rPr>
        <w:t>场地</w:t>
      </w:r>
      <w:r>
        <w:rPr>
          <w:rFonts w:hint="eastAsia" w:ascii="宋体" w:hAnsi="宋体"/>
          <w:color w:val="auto"/>
          <w:sz w:val="21"/>
          <w:szCs w:val="21"/>
          <w:highlight w:val="none"/>
          <w:lang w:val="en-US" w:eastAsia="zh-CN"/>
        </w:rPr>
        <w:t>的</w:t>
      </w:r>
      <w:r>
        <w:rPr>
          <w:rFonts w:hint="eastAsia" w:ascii="宋体" w:hAnsi="宋体"/>
          <w:color w:val="auto"/>
          <w:sz w:val="21"/>
          <w:szCs w:val="21"/>
          <w:highlight w:val="none"/>
        </w:rPr>
        <w:t>行为均应得到甲方书面授权。</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3.1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根据一号航站楼总体规划，由乙方提供本项目的规划、设计和建造方案。</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3.1</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依据审定后的方案，由乙方对本项目场地的工程进行建设和施工。</w:t>
      </w:r>
    </w:p>
    <w:p>
      <w:pPr>
        <w:tabs>
          <w:tab w:val="left" w:pos="840"/>
        </w:tabs>
        <w:spacing w:line="360" w:lineRule="auto"/>
        <w:ind w:firstLine="482" w:firstLineChars="200"/>
        <w:contextualSpacing/>
        <w:rPr>
          <w:rFonts w:ascii="宋体" w:hAnsi="宋体"/>
          <w:color w:val="auto"/>
          <w:szCs w:val="21"/>
          <w:highlight w:val="none"/>
        </w:rPr>
      </w:pPr>
      <w:r>
        <w:rPr>
          <w:rFonts w:hint="eastAsia" w:ascii="宋体" w:hAnsi="宋体" w:cs="宋体"/>
          <w:b/>
          <w:color w:val="auto"/>
          <w:szCs w:val="21"/>
          <w:highlight w:val="none"/>
        </w:rPr>
        <w:t>4．履约保证金</w:t>
      </w:r>
    </w:p>
    <w:p>
      <w:pPr>
        <w:tabs>
          <w:tab w:val="left" w:pos="840"/>
        </w:tabs>
        <w:spacing w:line="360" w:lineRule="auto"/>
        <w:ind w:firstLine="420" w:firstLineChars="200"/>
        <w:contextualSpacing/>
        <w:rPr>
          <w:rFonts w:hint="eastAsia" w:ascii="宋体" w:hAnsi="宋体"/>
          <w:color w:val="auto"/>
          <w:sz w:val="21"/>
          <w:szCs w:val="21"/>
          <w:highlight w:val="none"/>
          <w:lang w:val="en-US" w:eastAsia="zh-CN"/>
        </w:rPr>
      </w:pPr>
      <w:r>
        <w:rPr>
          <w:rFonts w:hint="eastAsia" w:ascii="宋体" w:hAnsi="宋体"/>
          <w:color w:val="auto"/>
          <w:sz w:val="21"/>
          <w:szCs w:val="21"/>
          <w:highlight w:val="none"/>
        </w:rPr>
        <w:t>4.1 乙方须在本合同签署后30个自然日内，一次性交纳履约保证金</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元(人民币</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或提供经甲方认可的银行等额履约保函，保函期限须与合同履行期限一致。如为现金，通过银行转账支付。甲方在收到乙方支付的履约保证金或履约保函后，5个工作日内向乙方提供收据或凭证。</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4.2 在乙方不能履行其在本合同项下任何一项义务的情况下，造成违约责任，甲方有权用履约保证金补偿其任何直接损失。</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4.3 履约保证金有效期直到本合同期限届满或终止时止。</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4.4 在本合同期限届满或终止时，乙方无违约行为并已全部履行合同义务，甲方在合同届满或终止之日起20个工作日内将履约保证金无息全额退还乙方，同时乙方将甲方开具的保证金收据原件退回。</w:t>
      </w:r>
    </w:p>
    <w:p>
      <w:pPr>
        <w:pStyle w:val="27"/>
        <w:ind w:firstLine="410"/>
        <w:rPr>
          <w:rFonts w:hAnsi="宋体"/>
          <w:color w:val="auto"/>
          <w:sz w:val="21"/>
          <w:szCs w:val="21"/>
          <w:highlight w:val="none"/>
          <w:u w:val="single"/>
        </w:rPr>
      </w:pPr>
      <w:r>
        <w:rPr>
          <w:rFonts w:hint="eastAsia" w:hAnsi="宋体"/>
          <w:color w:val="auto"/>
          <w:sz w:val="21"/>
          <w:szCs w:val="21"/>
          <w:highlight w:val="none"/>
          <w:u w:val="single"/>
        </w:rPr>
        <w:t>甲方收取履约保证金银行账户信息:</w:t>
      </w:r>
    </w:p>
    <w:p>
      <w:pPr>
        <w:pStyle w:val="27"/>
        <w:ind w:firstLine="410"/>
        <w:rPr>
          <w:rFonts w:hAnsi="宋体"/>
          <w:color w:val="auto"/>
          <w:sz w:val="21"/>
          <w:szCs w:val="21"/>
          <w:highlight w:val="none"/>
          <w:u w:val="single"/>
        </w:rPr>
      </w:pPr>
      <w:r>
        <w:rPr>
          <w:rFonts w:hint="eastAsia" w:hAnsi="宋体"/>
          <w:color w:val="auto"/>
          <w:sz w:val="21"/>
          <w:szCs w:val="21"/>
          <w:highlight w:val="none"/>
          <w:u w:val="single"/>
        </w:rPr>
        <w:t>账户名称：广州白云国际机场股份有限公司一号航站楼管理分公司</w:t>
      </w:r>
    </w:p>
    <w:p>
      <w:pPr>
        <w:pStyle w:val="27"/>
        <w:ind w:firstLine="410"/>
        <w:rPr>
          <w:rFonts w:hAnsi="宋体"/>
          <w:color w:val="auto"/>
          <w:sz w:val="21"/>
          <w:szCs w:val="21"/>
          <w:highlight w:val="none"/>
          <w:u w:val="single"/>
        </w:rPr>
      </w:pPr>
      <w:r>
        <w:rPr>
          <w:rFonts w:hint="eastAsia" w:hAnsi="宋体"/>
          <w:color w:val="auto"/>
          <w:sz w:val="21"/>
          <w:szCs w:val="21"/>
          <w:highlight w:val="none"/>
          <w:u w:val="single"/>
        </w:rPr>
        <w:t xml:space="preserve">公司账号 ：9550880214633800177   </w:t>
      </w:r>
    </w:p>
    <w:p>
      <w:pPr>
        <w:pStyle w:val="27"/>
        <w:ind w:firstLine="410"/>
        <w:rPr>
          <w:rFonts w:hAnsi="宋体"/>
          <w:color w:val="auto"/>
          <w:sz w:val="21"/>
          <w:szCs w:val="21"/>
          <w:highlight w:val="none"/>
          <w:u w:val="single"/>
        </w:rPr>
      </w:pPr>
      <w:r>
        <w:rPr>
          <w:rFonts w:hint="eastAsia" w:hAnsi="宋体"/>
          <w:color w:val="auto"/>
          <w:sz w:val="21"/>
          <w:szCs w:val="21"/>
          <w:highlight w:val="none"/>
          <w:u w:val="single"/>
        </w:rPr>
        <w:t xml:space="preserve">开户银行 ：广发银行股份有限公司广州新机场支行 </w:t>
      </w:r>
    </w:p>
    <w:p>
      <w:pPr>
        <w:tabs>
          <w:tab w:val="left" w:pos="840"/>
        </w:tabs>
        <w:spacing w:line="360" w:lineRule="auto"/>
        <w:ind w:firstLine="482" w:firstLineChars="200"/>
        <w:contextualSpacing/>
        <w:rPr>
          <w:rFonts w:ascii="宋体" w:hAnsi="宋体" w:cs="宋体"/>
          <w:b/>
          <w:color w:val="auto"/>
          <w:szCs w:val="21"/>
          <w:highlight w:val="none"/>
        </w:rPr>
      </w:pPr>
      <w:r>
        <w:rPr>
          <w:rFonts w:hint="eastAsia" w:ascii="宋体" w:hAnsi="宋体" w:cs="宋体"/>
          <w:b/>
          <w:color w:val="auto"/>
          <w:szCs w:val="21"/>
          <w:highlight w:val="none"/>
        </w:rPr>
        <w:t>6.进场要求</w:t>
      </w:r>
    </w:p>
    <w:tbl>
      <w:tblPr>
        <w:tblStyle w:val="19"/>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0"/>
        <w:gridCol w:w="289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计划安装日期</w:t>
            </w: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位置</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暂定安装数量（台）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Merge w:val="restart"/>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中标书发出后5个自然日内</w:t>
            </w: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主楼</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Merge w:val="continue"/>
            <w:vAlign w:val="center"/>
          </w:tcPr>
          <w:p>
            <w:pPr>
              <w:adjustRightInd w:val="0"/>
              <w:snapToGrid w:val="0"/>
              <w:jc w:val="center"/>
              <w:rPr>
                <w:rFonts w:ascii="宋体" w:hAnsi="宋体" w:cs="宋体"/>
                <w:color w:val="auto"/>
                <w:sz w:val="21"/>
                <w:szCs w:val="21"/>
                <w:highlight w:val="none"/>
              </w:rPr>
            </w:pP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西一</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Merge w:val="continue"/>
            <w:vAlign w:val="center"/>
          </w:tcPr>
          <w:p>
            <w:pPr>
              <w:adjustRightInd w:val="0"/>
              <w:snapToGrid w:val="0"/>
              <w:jc w:val="center"/>
              <w:rPr>
                <w:rFonts w:ascii="宋体" w:hAnsi="宋体" w:cs="宋体"/>
                <w:color w:val="auto"/>
                <w:sz w:val="21"/>
                <w:szCs w:val="21"/>
                <w:highlight w:val="none"/>
              </w:rPr>
            </w:pP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西二</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Merge w:val="continue"/>
            <w:vAlign w:val="center"/>
          </w:tcPr>
          <w:p>
            <w:pPr>
              <w:adjustRightInd w:val="0"/>
              <w:snapToGrid w:val="0"/>
              <w:jc w:val="center"/>
              <w:rPr>
                <w:rFonts w:ascii="宋体" w:hAnsi="宋体" w:cs="宋体"/>
                <w:color w:val="auto"/>
                <w:sz w:val="21"/>
                <w:szCs w:val="21"/>
                <w:highlight w:val="none"/>
              </w:rPr>
            </w:pP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西三</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Merge w:val="restart"/>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中标书发出后10个自然日内</w:t>
            </w: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东一</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Merge w:val="continue"/>
            <w:vAlign w:val="center"/>
          </w:tcPr>
          <w:p>
            <w:pPr>
              <w:adjustRightInd w:val="0"/>
              <w:snapToGrid w:val="0"/>
              <w:jc w:val="center"/>
              <w:rPr>
                <w:rFonts w:ascii="宋体" w:hAnsi="宋体" w:cs="宋体"/>
                <w:color w:val="auto"/>
                <w:sz w:val="21"/>
                <w:szCs w:val="21"/>
                <w:highlight w:val="none"/>
              </w:rPr>
            </w:pP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东三</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Merge w:val="continue"/>
            <w:vAlign w:val="center"/>
          </w:tcPr>
          <w:p>
            <w:pPr>
              <w:adjustRightInd w:val="0"/>
              <w:snapToGrid w:val="0"/>
              <w:jc w:val="center"/>
              <w:rPr>
                <w:rFonts w:ascii="宋体" w:hAnsi="宋体" w:cs="宋体"/>
                <w:color w:val="auto"/>
                <w:sz w:val="21"/>
                <w:szCs w:val="21"/>
                <w:highlight w:val="none"/>
              </w:rPr>
            </w:pP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各指廊外场员工专用</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Merge w:val="restart"/>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中标书发出后20个自然日内</w:t>
            </w: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三关专用</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0" w:type="dxa"/>
            <w:vMerge w:val="continue"/>
            <w:vAlign w:val="center"/>
          </w:tcPr>
          <w:p>
            <w:pPr>
              <w:adjustRightInd w:val="0"/>
              <w:snapToGrid w:val="0"/>
              <w:jc w:val="center"/>
              <w:rPr>
                <w:rFonts w:ascii="宋体" w:hAnsi="宋体" w:cs="宋体"/>
                <w:color w:val="auto"/>
                <w:sz w:val="21"/>
                <w:szCs w:val="21"/>
                <w:highlight w:val="none"/>
              </w:rPr>
            </w:pPr>
          </w:p>
        </w:tc>
        <w:tc>
          <w:tcPr>
            <w:tcW w:w="289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东二</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20" w:type="dxa"/>
            <w:gridSpan w:val="2"/>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合计</w:t>
            </w:r>
          </w:p>
        </w:tc>
        <w:tc>
          <w:tcPr>
            <w:tcW w:w="2040" w:type="dxa"/>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147</w:t>
            </w:r>
          </w:p>
        </w:tc>
      </w:tr>
    </w:tbl>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6.1乙方应在甲方发出开工通知后20个自然日内完成所有点位的公共直饮水机的安装并投入使用。非乙方原因导致的无法按时完成情况，需提前与甲方协商一致并约定新的完成时间。</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6.2 施工计划和组织安排需合理，施工方案需经甲方审核同意方可实施。进入航站楼的施工人员需符合机场作业要求。</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6.3 在乙方进驻前及履约过程中，甲方有权根据服务需求要求乙方修改公共直饮水机安装实施方案。</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6.4 在乙方进驻前及履约过程中，甲方有权根据服务需求和场地实际情况调整点位和公共直饮水机数量规划，乙方需满足甲方调整需求。</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6.5乙方产品完成安装后，需以书面形式向甲方提出申请并得到批准后方可投入使用。</w:t>
      </w:r>
    </w:p>
    <w:p>
      <w:pPr>
        <w:tabs>
          <w:tab w:val="left" w:pos="840"/>
        </w:tabs>
        <w:spacing w:line="360" w:lineRule="auto"/>
        <w:ind w:firstLine="482" w:firstLineChars="200"/>
        <w:contextualSpacing/>
        <w:rPr>
          <w:rFonts w:ascii="宋体" w:hAnsi="宋体"/>
          <w:color w:val="auto"/>
          <w:szCs w:val="21"/>
          <w:highlight w:val="none"/>
        </w:rPr>
      </w:pPr>
      <w:r>
        <w:rPr>
          <w:rFonts w:hint="eastAsia" w:ascii="宋体" w:hAnsi="宋体" w:cs="宋体"/>
          <w:b/>
          <w:color w:val="auto"/>
          <w:szCs w:val="21"/>
          <w:highlight w:val="none"/>
        </w:rPr>
        <w:t>7.分包与转包</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7.1本合同项目服务禁止转包，乙方不得将本合同项目全部服务工作转由第三方承担。否则视为乙方根本违约，甲方有权单方书面解除本合同。</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7.2 未经甲方事先书面同意，乙方不得分包，将本合同项目部分服务工作转由第三方承担。否则视为乙方根本违约，甲方有权单方书面解除本合同。</w:t>
      </w:r>
    </w:p>
    <w:p>
      <w:pPr>
        <w:pStyle w:val="27"/>
        <w:spacing w:line="360" w:lineRule="auto"/>
        <w:ind w:firstLine="420" w:firstLineChars="200"/>
        <w:rPr>
          <w:rFonts w:hAnsi="宋体"/>
          <w:color w:val="auto"/>
          <w:sz w:val="21"/>
          <w:szCs w:val="21"/>
          <w:highlight w:val="none"/>
          <w:u w:val="single"/>
        </w:rPr>
      </w:pPr>
      <w:r>
        <w:rPr>
          <w:rFonts w:hint="eastAsia" w:hAnsi="宋体"/>
          <w:color w:val="auto"/>
          <w:kern w:val="2"/>
          <w:sz w:val="21"/>
          <w:szCs w:val="21"/>
          <w:highlight w:val="none"/>
        </w:rPr>
        <w:t>7.3 乙方自行承担分包风险，对任何经甲方书面同意的第三方分包人的行为（包括但不限于违反本合同约定的行为、违法的行为以及其他行为）承担本合同约定的全部责任。</w:t>
      </w:r>
    </w:p>
    <w:p>
      <w:pPr>
        <w:tabs>
          <w:tab w:val="left" w:pos="840"/>
        </w:tabs>
        <w:spacing w:line="360" w:lineRule="auto"/>
        <w:ind w:firstLine="482" w:firstLineChars="200"/>
        <w:contextualSpacing/>
        <w:rPr>
          <w:rFonts w:ascii="宋体" w:hAnsi="宋体" w:cs="宋体"/>
          <w:b/>
          <w:color w:val="auto"/>
          <w:szCs w:val="21"/>
          <w:highlight w:val="none"/>
        </w:rPr>
      </w:pPr>
      <w:r>
        <w:rPr>
          <w:rFonts w:hint="eastAsia" w:ascii="宋体" w:hAnsi="宋体" w:cs="宋体"/>
          <w:b/>
          <w:color w:val="auto"/>
          <w:szCs w:val="21"/>
          <w:highlight w:val="none"/>
        </w:rPr>
        <w:t>8.权利和义务</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8.1甲方的权利和义务</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8.1.1甲方有权对乙方的安装、维护工作进行监督、指导、修正和考核，并保存乙方每次提供维护的结果。</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8.1.2甲方应协助乙方相关人员办理控制区通行证件。</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8.1.3甲方有权要求乙方赔偿因乙方违约造成的损失。</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8.1.4甲方</w:t>
      </w:r>
      <w:r>
        <w:rPr>
          <w:rFonts w:hint="eastAsia" w:ascii="宋体" w:hAnsi="宋体"/>
          <w:color w:val="auto"/>
          <w:sz w:val="21"/>
          <w:szCs w:val="21"/>
          <w:highlight w:val="none"/>
          <w:lang w:val="en-US" w:eastAsia="zh-CN"/>
        </w:rPr>
        <w:t>应</w:t>
      </w:r>
      <w:r>
        <w:rPr>
          <w:rFonts w:hint="eastAsia" w:ascii="宋体" w:hAnsi="宋体"/>
          <w:color w:val="auto"/>
          <w:sz w:val="21"/>
          <w:szCs w:val="21"/>
          <w:highlight w:val="none"/>
        </w:rPr>
        <w:t>向乙方提供</w:t>
      </w:r>
      <w:r>
        <w:rPr>
          <w:rFonts w:hint="eastAsia" w:ascii="宋体" w:hAnsi="宋体"/>
          <w:color w:val="auto"/>
          <w:sz w:val="21"/>
          <w:szCs w:val="21"/>
          <w:highlight w:val="none"/>
          <w:lang w:val="en-US" w:eastAsia="zh-CN"/>
        </w:rPr>
        <w:t>备品备件的临时存储点位，具体房间编号为</w:t>
      </w:r>
      <w:r>
        <w:rPr>
          <w:rFonts w:hint="eastAsia" w:ascii="宋体" w:hAnsi="宋体"/>
          <w:color w:val="auto"/>
          <w:sz w:val="21"/>
          <w:szCs w:val="21"/>
          <w:highlight w:val="none"/>
          <w:u w:val="single"/>
          <w:lang w:val="en-US" w:eastAsia="zh-CN"/>
        </w:rPr>
        <w:t xml:space="preserve">  B2256，A1999-1 </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u w:val="single"/>
          <w:lang w:val="en-US" w:eastAsia="zh-CN"/>
        </w:rPr>
        <w:t xml:space="preserve">4.94,4 </w:t>
      </w:r>
      <w:r>
        <w:rPr>
          <w:rFonts w:hint="eastAsia" w:ascii="宋体" w:hAnsi="宋体" w:eastAsia="宋体" w:cs="宋体"/>
          <w:color w:val="auto"/>
          <w:sz w:val="21"/>
          <w:szCs w:val="21"/>
          <w:highlight w:val="none"/>
          <w:lang w:val="en-US" w:eastAsia="zh-CN"/>
        </w:rPr>
        <w:t>㎡</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rPr>
        <w:t>。</w:t>
      </w:r>
    </w:p>
    <w:p>
      <w:pPr>
        <w:pStyle w:val="9"/>
        <w:ind w:firstLine="420" w:firstLineChars="200"/>
        <w:rPr>
          <w:rFonts w:ascii="宋体" w:hAnsi="宋体"/>
          <w:color w:val="auto"/>
          <w:sz w:val="21"/>
          <w:szCs w:val="21"/>
          <w:highlight w:val="none"/>
        </w:rPr>
      </w:pPr>
      <w:r>
        <w:rPr>
          <w:rFonts w:hint="eastAsia" w:ascii="宋体" w:hAnsi="宋体"/>
          <w:color w:val="auto"/>
          <w:sz w:val="21"/>
          <w:szCs w:val="21"/>
          <w:highlight w:val="none"/>
        </w:rPr>
        <w:t>8.1.5甲方为乙方日常运营服务提供必要的支持，协助乙方维护人员及物资进场。</w:t>
      </w:r>
    </w:p>
    <w:p>
      <w:pPr>
        <w:pStyle w:val="9"/>
        <w:ind w:firstLine="420" w:firstLineChars="200"/>
        <w:rPr>
          <w:rFonts w:ascii="宋体" w:hAnsi="宋体"/>
          <w:color w:val="auto"/>
          <w:sz w:val="21"/>
          <w:szCs w:val="21"/>
          <w:highlight w:val="none"/>
        </w:rPr>
      </w:pPr>
      <w:r>
        <w:rPr>
          <w:rFonts w:hint="eastAsia" w:ascii="宋体" w:hAnsi="宋体"/>
          <w:color w:val="auto"/>
          <w:sz w:val="21"/>
          <w:szCs w:val="21"/>
          <w:highlight w:val="none"/>
        </w:rPr>
        <w:t>8.1.6甲方负责直饮水机的日常保洁及四害消杀工作。</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8.1.7甲方有权根据服务需求、机场规划及场地实际情况向乙方提出饮水机点位和摆放数量的调整要求。</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8.1.8 本项目启用后，甲方应承担水费、电费、场地使用费、场地管理费及与场地相关的费用，原则上乙方不得再就本次项目合作的相关费用向甲方提出任何主张，但由于非因乙方原因导致的特殊情况下需要额外产生费用的，由甲、乙双方协商签订书面补充协议确定具体费用。</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8.2乙方的权利和义务</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8.2.1乙方</w:t>
      </w:r>
      <w:r>
        <w:rPr>
          <w:rFonts w:hint="eastAsia" w:ascii="宋体" w:hAnsi="宋体"/>
          <w:color w:val="auto"/>
          <w:sz w:val="21"/>
          <w:szCs w:val="21"/>
          <w:highlight w:val="none"/>
          <w:lang w:val="en-US" w:eastAsia="zh-CN"/>
        </w:rPr>
        <w:t>应提供全新的</w:t>
      </w:r>
      <w:r>
        <w:rPr>
          <w:rFonts w:hint="eastAsia" w:ascii="宋体" w:hAnsi="宋体"/>
          <w:color w:val="auto"/>
          <w:sz w:val="21"/>
          <w:szCs w:val="21"/>
          <w:highlight w:val="none"/>
        </w:rPr>
        <w:t>直饮水机须按照本合同约定产品型号投放使用，一年后经甲方批准可对产品进行升级换代。</w:t>
      </w:r>
    </w:p>
    <w:p>
      <w:pPr>
        <w:tabs>
          <w:tab w:val="left" w:pos="840"/>
        </w:tabs>
        <w:spacing w:line="360" w:lineRule="auto"/>
        <w:ind w:firstLine="420" w:firstLineChars="200"/>
        <w:contextualSpacing/>
        <w:rPr>
          <w:rFonts w:ascii="宋体" w:hAnsi="宋体"/>
          <w:bCs/>
          <w:color w:val="auto"/>
          <w:sz w:val="21"/>
          <w:szCs w:val="21"/>
          <w:highlight w:val="none"/>
        </w:rPr>
      </w:pPr>
      <w:r>
        <w:rPr>
          <w:rFonts w:hint="eastAsia" w:ascii="宋体" w:hAnsi="宋体"/>
          <w:color w:val="auto"/>
          <w:sz w:val="21"/>
          <w:szCs w:val="21"/>
          <w:highlight w:val="none"/>
        </w:rPr>
        <w:t>8.2.2乙方应对所投放直饮水机产品及相关设施设备进行投保，并对参与运营、施工的工作人员投保第三者责任保</w:t>
      </w:r>
      <w:r>
        <w:rPr>
          <w:rFonts w:hint="eastAsia" w:ascii="宋体" w:hAnsi="宋体"/>
          <w:bCs/>
          <w:color w:val="auto"/>
          <w:sz w:val="21"/>
          <w:szCs w:val="21"/>
          <w:highlight w:val="none"/>
        </w:rPr>
        <w:t>险。如发生设备原因或其他乙方责任原因造成的人身伤害及财产损失，其医疗、抚恤、赔偿等费用以及理赔事宜由乙方负责。</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8.2.3乙方应按照本合同的规定完成本合同的公共直饮水机水质检验并及时向甲方提供检验结果。</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8.2.4乙方须服从白云机场一号航站楼安全、服务、卫生、经营及其他各项管理制度和相关规定，并配合甲方及地方监督部门的监督检查工作，服从甲方监管。</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8.2.5乙方应全面实际地履行本合同约定的各项合同义务，任何未按合同的约定履行或未适当履行的行为，应视为违约，并承担相应的违约责任。</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8.2.6乙方工作人员不得有推销行为，不得拉拢顾客，不得对旅客造成骚扰影响。</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8.2.7因不可抗力导致合同不能全部或部分履行，乙方同其他各方协商解决。</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8.2.8乙方应积极配合甲方对其工作的检查、监督和考核。</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8.2.9乙方须自行办理航站楼隔离区人员、物料、通行的相关证件。</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8.2.10乙方免费为白云机场提供和安装直饮水机，负责直饮水机设备的日常维护、维修、保养、安全和消防设施投入以及饮水点位设施的物耗补给，以确保各项设施设备正常运作及维护专区良好展示形象。上述相关费用由乙方自行承担。</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8.2.11乙方须指定</w:t>
      </w:r>
      <w:r>
        <w:rPr>
          <w:rFonts w:hint="eastAsia" w:ascii="宋体" w:hAnsi="宋体"/>
          <w:color w:val="auto"/>
          <w:sz w:val="21"/>
          <w:szCs w:val="21"/>
          <w:highlight w:val="none"/>
          <w:u w:val="single"/>
          <w:lang w:val="en-US" w:eastAsia="zh-CN"/>
        </w:rPr>
        <w:t xml:space="preserve"> 1 </w:t>
      </w:r>
      <w:r>
        <w:rPr>
          <w:rFonts w:hint="eastAsia" w:ascii="宋体" w:hAnsi="宋体"/>
          <w:color w:val="auto"/>
          <w:sz w:val="21"/>
          <w:szCs w:val="21"/>
          <w:highlight w:val="none"/>
        </w:rPr>
        <w:t xml:space="preserve">名工作人员作为项目负责人，负责主持现场工作和与甲方沟通对接，并全权处理协调机场项目中的一切事宜。  </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8.2.1</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乙方须确保产品来源合法，确保无专利、知识产权等纠纷问题。</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8.2.1</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未经甲方批准，乙方不得擅自变更直饮水机摆放的位置、数量和型号。</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8.2.1</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对于因设备原因及其他乙方责任原因造成的投诉（包括抱怨及</w:t>
      </w:r>
      <w:r>
        <w:rPr>
          <w:rFonts w:hint="eastAsia" w:ascii="宋体" w:hAnsi="宋体"/>
          <w:color w:val="auto"/>
          <w:sz w:val="21"/>
          <w:szCs w:val="21"/>
          <w:highlight w:val="none"/>
          <w:lang w:val="en-US" w:eastAsia="zh-CN"/>
        </w:rPr>
        <w:t>有</w:t>
      </w:r>
      <w:r>
        <w:rPr>
          <w:rFonts w:hint="eastAsia" w:ascii="宋体" w:hAnsi="宋体"/>
          <w:color w:val="auto"/>
          <w:sz w:val="21"/>
          <w:szCs w:val="21"/>
          <w:highlight w:val="none"/>
        </w:rPr>
        <w:t>效投诉），乙方应及时妥善解决投诉事件，并承担由此带来的责任。甲方有权对此要求乙方递交书面说明和整改方案，乙方须按要求执行。乙方应指定专人或专业团队负责处理客户投诉。</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8.2.1</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乙方应确保甲方免受由乙方与客户间的纠纷争议、服务问题、经营问题等带来的任何影响，</w:t>
      </w:r>
      <w:r>
        <w:rPr>
          <w:rFonts w:hint="eastAsia" w:ascii="宋体" w:hAnsi="宋体"/>
          <w:color w:val="auto"/>
          <w:sz w:val="21"/>
          <w:szCs w:val="21"/>
          <w:highlight w:val="none"/>
          <w:lang w:val="en-US" w:eastAsia="zh-CN"/>
        </w:rPr>
        <w:t>甲方</w:t>
      </w:r>
      <w:r>
        <w:rPr>
          <w:rFonts w:hint="eastAsia" w:ascii="宋体" w:hAnsi="宋体"/>
          <w:color w:val="auto"/>
          <w:sz w:val="21"/>
          <w:szCs w:val="21"/>
          <w:highlight w:val="none"/>
        </w:rPr>
        <w:t>不承担由此造成的一切责任和损失，且该义务不因合同的终止而解除。</w:t>
      </w:r>
    </w:p>
    <w:p>
      <w:pPr>
        <w:tabs>
          <w:tab w:val="left" w:pos="840"/>
        </w:tabs>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8.2.1</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乙方须自行购置公众责任险用于降低项目运营风险。乙方购置保险之后应向甲方备案，并向甲方提供相应的合同复印件等证明文件。</w:t>
      </w:r>
    </w:p>
    <w:p>
      <w:pPr>
        <w:adjustRightInd w:val="0"/>
        <w:spacing w:line="360" w:lineRule="auto"/>
        <w:ind w:firstLine="482" w:firstLineChars="200"/>
        <w:contextualSpacing/>
        <w:rPr>
          <w:rFonts w:ascii="宋体" w:hAnsi="宋体"/>
          <w:b/>
          <w:bCs/>
          <w:color w:val="auto"/>
          <w:szCs w:val="21"/>
          <w:highlight w:val="none"/>
        </w:rPr>
      </w:pPr>
      <w:r>
        <w:rPr>
          <w:rFonts w:hint="eastAsia" w:ascii="宋体" w:hAnsi="宋体"/>
          <w:b/>
          <w:bCs/>
          <w:color w:val="auto"/>
          <w:szCs w:val="21"/>
          <w:highlight w:val="none"/>
        </w:rPr>
        <w:t>9．保密</w:t>
      </w:r>
    </w:p>
    <w:p>
      <w:pPr>
        <w:adjustRightInd w:val="0"/>
        <w:spacing w:line="360" w:lineRule="auto"/>
        <w:ind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9.1合同双方对于本项目均负有保密义务，任何一方对外透露相关信息均需征得对方书面同意。</w:t>
      </w:r>
    </w:p>
    <w:p>
      <w:pPr>
        <w:adjustRightInd w:val="0"/>
        <w:spacing w:line="360" w:lineRule="auto"/>
        <w:ind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9.2在本合同执行过程中，一方应对其在服务期间获悉的另一方的资料、信息、数据等所有信息予以保密，不得违反保密义务或违反对方有关保守商业秘密的要求，披露、使用或者允许他人使用其所掌握的对方商业秘密。</w:t>
      </w:r>
    </w:p>
    <w:p>
      <w:pPr>
        <w:adjustRightInd w:val="0"/>
        <w:spacing w:line="360" w:lineRule="auto"/>
        <w:ind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9.3如乙方中途退出本项目或本项目在未完成前终止，在甲方书面要求下，乙方应尽快将其或其雇员所占有的保密资料的有形表述及其复印件归还给甲方或由其自行予以销毁，立即删除保密资料的电子文件，并且不得保留副本。</w:t>
      </w:r>
    </w:p>
    <w:p>
      <w:pPr>
        <w:adjustRightInd w:val="0"/>
        <w:spacing w:line="360" w:lineRule="auto"/>
        <w:ind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9.4保密资料被归还、销毁或删除后，乙方应持续履行本协议规定的保密义务，直至保密事项成为公开信息时终止。</w:t>
      </w:r>
    </w:p>
    <w:p>
      <w:pPr>
        <w:adjustRightInd w:val="0"/>
        <w:spacing w:line="360" w:lineRule="auto"/>
        <w:ind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9.5一方违反保密条款约定的，守约方有权追究违约方的违约责任，违约方应向守约方支付人民币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万元作为保密违约金。如该违约金不足以覆盖</w:t>
      </w:r>
      <w:r>
        <w:rPr>
          <w:rFonts w:hint="eastAsia" w:ascii="宋体" w:hAnsi="宋体" w:cs="宋体"/>
          <w:color w:val="auto"/>
          <w:sz w:val="21"/>
          <w:szCs w:val="21"/>
          <w:highlight w:val="none"/>
          <w:lang w:val="en-US" w:eastAsia="zh-CN"/>
        </w:rPr>
        <w:t>甲</w:t>
      </w:r>
      <w:r>
        <w:rPr>
          <w:rFonts w:hint="eastAsia" w:ascii="宋体" w:hAnsi="宋体" w:cs="宋体"/>
          <w:color w:val="auto"/>
          <w:sz w:val="21"/>
          <w:szCs w:val="21"/>
          <w:highlight w:val="none"/>
        </w:rPr>
        <w:t>方实际损失的，乙方仍应承担补充赔偿责任。如违约方因泄露保密信息获得其他收益的，应当将有关收益一并赔偿给守约方。</w:t>
      </w:r>
    </w:p>
    <w:p>
      <w:pPr>
        <w:adjustRightInd w:val="0"/>
        <w:spacing w:line="360" w:lineRule="auto"/>
        <w:ind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9.6保密条款为本协议的独立条款，不因协议性质的变化而发生改变。不论本协议是否变更、中止或终止，本条款均具法律效力。</w:t>
      </w:r>
    </w:p>
    <w:p>
      <w:pPr>
        <w:spacing w:line="360" w:lineRule="auto"/>
        <w:ind w:firstLine="482" w:firstLineChars="200"/>
        <w:contextualSpacing/>
        <w:rPr>
          <w:rFonts w:ascii="宋体" w:hAnsi="宋体"/>
          <w:color w:val="auto"/>
          <w:szCs w:val="21"/>
          <w:highlight w:val="none"/>
        </w:rPr>
      </w:pPr>
      <w:r>
        <w:rPr>
          <w:rFonts w:hint="eastAsia" w:ascii="宋体" w:hAnsi="宋体" w:cs="宋体"/>
          <w:b/>
          <w:bCs/>
          <w:color w:val="auto"/>
          <w:szCs w:val="21"/>
          <w:highlight w:val="none"/>
        </w:rPr>
        <w:t>10.</w:t>
      </w:r>
      <w:r>
        <w:rPr>
          <w:rFonts w:hint="eastAsia" w:ascii="宋体" w:hAnsi="宋体"/>
          <w:b/>
          <w:bCs/>
          <w:color w:val="auto"/>
          <w:szCs w:val="21"/>
          <w:highlight w:val="none"/>
        </w:rPr>
        <w:t>知识产权</w:t>
      </w:r>
    </w:p>
    <w:p>
      <w:pPr>
        <w:adjustRightInd w:val="0"/>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10.1乙方应保证甲方在中华人民共和国使用该合同项下的货物（服务）或货物（服务）的任何一部分时，免受第三方提出的侵犯其专利权、商标权或其他知识产权的主张、索赔或诉讼的伤害。</w:t>
      </w:r>
    </w:p>
    <w:p>
      <w:pPr>
        <w:adjustRightInd w:val="0"/>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10.2</w:t>
      </w:r>
      <w:r>
        <w:rPr>
          <w:rFonts w:hint="eastAsia" w:ascii="宋体" w:hAnsi="宋体"/>
          <w:color w:val="auto"/>
          <w:spacing w:val="-7"/>
          <w:sz w:val="21"/>
          <w:szCs w:val="21"/>
          <w:highlight w:val="none"/>
        </w:rPr>
        <w:t>如果甲方收到任何第三方有关知识产权的主张、索赔或诉讼，乙方在收到甲方通知后，</w:t>
      </w:r>
      <w:r>
        <w:rPr>
          <w:rFonts w:hint="eastAsia" w:ascii="宋体" w:hAnsi="宋体"/>
          <w:color w:val="auto"/>
          <w:sz w:val="21"/>
          <w:szCs w:val="21"/>
          <w:highlight w:val="none"/>
        </w:rPr>
        <w:t>应以甲方名义处理与第三方的索赔或诉讼，并承担因此产生的费用以及给甲方造成的损失。</w:t>
      </w:r>
    </w:p>
    <w:p>
      <w:pPr>
        <w:adjustRightInd w:val="0"/>
        <w:spacing w:line="360" w:lineRule="auto"/>
        <w:ind w:firstLine="420" w:firstLineChars="200"/>
        <w:contextualSpacing/>
        <w:rPr>
          <w:rFonts w:ascii="宋体" w:hAnsi="宋体"/>
          <w:color w:val="auto"/>
          <w:sz w:val="21"/>
          <w:szCs w:val="21"/>
          <w:highlight w:val="none"/>
        </w:rPr>
      </w:pPr>
      <w:r>
        <w:rPr>
          <w:rFonts w:hint="eastAsia" w:ascii="宋体" w:hAnsi="宋体"/>
          <w:color w:val="auto"/>
          <w:sz w:val="21"/>
          <w:szCs w:val="21"/>
          <w:highlight w:val="none"/>
        </w:rPr>
        <w:t>10.3乙方为执行本合同而提供的技术资料、软件的使用权归甲方所有。</w:t>
      </w:r>
    </w:p>
    <w:p>
      <w:pPr>
        <w:adjustRightInd w:val="0"/>
        <w:spacing w:line="360" w:lineRule="auto"/>
        <w:ind w:firstLine="482" w:firstLineChars="200"/>
        <w:contextualSpacing/>
        <w:rPr>
          <w:rFonts w:ascii="宋体" w:hAnsi="宋体"/>
          <w:b/>
          <w:bCs/>
          <w:color w:val="auto"/>
          <w:szCs w:val="21"/>
          <w:highlight w:val="none"/>
        </w:rPr>
      </w:pPr>
      <w:r>
        <w:rPr>
          <w:rFonts w:hint="eastAsia" w:ascii="宋体" w:hAnsi="宋体"/>
          <w:b/>
          <w:bCs/>
          <w:color w:val="auto"/>
          <w:szCs w:val="21"/>
          <w:highlight w:val="none"/>
        </w:rPr>
        <w:t>11．免责条款</w:t>
      </w:r>
    </w:p>
    <w:p>
      <w:pPr>
        <w:adjustRightInd w:val="0"/>
        <w:spacing w:line="360" w:lineRule="auto"/>
        <w:ind w:firstLine="392" w:firstLineChars="200"/>
        <w:contextualSpacing/>
        <w:rPr>
          <w:rFonts w:ascii="宋体" w:hAnsi="宋体"/>
          <w:color w:val="auto"/>
          <w:spacing w:val="-7"/>
          <w:sz w:val="21"/>
          <w:szCs w:val="21"/>
          <w:highlight w:val="none"/>
        </w:rPr>
      </w:pPr>
      <w:r>
        <w:rPr>
          <w:rFonts w:hint="eastAsia" w:ascii="宋体" w:hAnsi="宋体"/>
          <w:color w:val="auto"/>
          <w:spacing w:val="-7"/>
          <w:sz w:val="21"/>
          <w:szCs w:val="21"/>
          <w:highlight w:val="none"/>
        </w:rPr>
        <w:t>11.1由于一般公认的不可抗力的原因造成不可意料的事故而不能及时供应按合同规定的货物时，乙方或其中一方应立即以书面形式通告甲方，证明事故的存在。</w:t>
      </w:r>
    </w:p>
    <w:p>
      <w:pPr>
        <w:adjustRightInd w:val="0"/>
        <w:spacing w:line="360" w:lineRule="auto"/>
        <w:ind w:firstLine="392" w:firstLineChars="200"/>
        <w:contextualSpacing/>
        <w:rPr>
          <w:rFonts w:ascii="宋体" w:hAnsi="宋体"/>
          <w:color w:val="auto"/>
          <w:spacing w:val="-7"/>
          <w:sz w:val="21"/>
          <w:szCs w:val="21"/>
          <w:highlight w:val="none"/>
        </w:rPr>
      </w:pPr>
      <w:r>
        <w:rPr>
          <w:rFonts w:hint="eastAsia" w:ascii="宋体" w:hAnsi="宋体"/>
          <w:color w:val="auto"/>
          <w:spacing w:val="-7"/>
          <w:sz w:val="21"/>
          <w:szCs w:val="21"/>
          <w:highlight w:val="none"/>
        </w:rPr>
        <w:t>11.2如因国家政策性调整、行业监管需要、政府管理因素或其他不能预见、不能避免并不能克服的客观情况影响合同正常履行的，乙方或其中一方应当无条件配合甲方管理工作，妥善协商解决利益损失事宜。</w:t>
      </w:r>
    </w:p>
    <w:p>
      <w:pPr>
        <w:adjustRightInd w:val="0"/>
        <w:spacing w:line="360" w:lineRule="auto"/>
        <w:ind w:firstLine="392" w:firstLineChars="200"/>
        <w:contextualSpacing/>
        <w:rPr>
          <w:rFonts w:ascii="宋体" w:hAnsi="宋体"/>
          <w:color w:val="auto"/>
          <w:spacing w:val="-7"/>
          <w:sz w:val="21"/>
          <w:szCs w:val="21"/>
          <w:highlight w:val="none"/>
        </w:rPr>
      </w:pPr>
      <w:r>
        <w:rPr>
          <w:rFonts w:hint="eastAsia" w:ascii="宋体" w:hAnsi="宋体"/>
          <w:color w:val="auto"/>
          <w:spacing w:val="-7"/>
          <w:sz w:val="21"/>
          <w:szCs w:val="21"/>
          <w:highlight w:val="none"/>
        </w:rPr>
        <w:t>11.3如因甲方关于场地流程改造需要，整体性或部分性改造导致本合同涉及的全部或部分项目相关场地灭失时，本合同即告终止。甲方不承担任何违约赔偿责任，但应按照成本原则酌情向乙方提供补偿方案。</w:t>
      </w:r>
    </w:p>
    <w:p>
      <w:pPr>
        <w:adjustRightInd w:val="0"/>
        <w:spacing w:line="360" w:lineRule="auto"/>
        <w:ind w:firstLine="392" w:firstLineChars="200"/>
        <w:contextualSpacing/>
        <w:rPr>
          <w:rFonts w:ascii="宋体" w:hAnsi="宋体"/>
          <w:color w:val="auto"/>
          <w:szCs w:val="21"/>
          <w:highlight w:val="none"/>
        </w:rPr>
      </w:pPr>
      <w:r>
        <w:rPr>
          <w:rFonts w:hint="eastAsia" w:ascii="宋体" w:hAnsi="宋体"/>
          <w:color w:val="auto"/>
          <w:spacing w:val="-7"/>
          <w:sz w:val="21"/>
          <w:szCs w:val="21"/>
          <w:highlight w:val="none"/>
        </w:rPr>
        <w:t>11.4因上述原因导致的合同无法继续履行的，本合同自行终止；因上述原因导致的合同继续履行困难或继续履行需要付出巨大代价的，由甲、乙双方共同协商，书面确定是否继续履行本合同，双方决定继续履行本合同的应对合同条款予以修改或另行签订书面补充协议。</w:t>
      </w:r>
    </w:p>
    <w:p>
      <w:pPr>
        <w:adjustRightInd w:val="0"/>
        <w:spacing w:line="360" w:lineRule="auto"/>
        <w:ind w:firstLine="482" w:firstLineChars="200"/>
        <w:contextualSpacing/>
        <w:rPr>
          <w:rFonts w:ascii="宋体" w:hAnsi="宋体"/>
          <w:b/>
          <w:color w:val="auto"/>
          <w:szCs w:val="21"/>
          <w:highlight w:val="none"/>
        </w:rPr>
      </w:pPr>
      <w:r>
        <w:rPr>
          <w:rFonts w:hint="eastAsia" w:ascii="宋体" w:hAnsi="宋体"/>
          <w:b/>
          <w:color w:val="auto"/>
          <w:szCs w:val="21"/>
          <w:highlight w:val="none"/>
        </w:rPr>
        <w:t>12.违约责任</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12.1乙方在合同期内存在损坏甲方的设备、设施、场地或者不符合甲方管理要求等其他行为，且需赔偿甲方损失或者依约需对乙方进行</w:t>
      </w:r>
      <w:r>
        <w:rPr>
          <w:rFonts w:hint="eastAsia" w:cs="Times New Roman"/>
          <w:color w:val="auto"/>
          <w:spacing w:val="-7"/>
          <w:sz w:val="21"/>
          <w:szCs w:val="21"/>
          <w:highlight w:val="none"/>
          <w:lang w:val="en-US" w:eastAsia="zh-CN"/>
        </w:rPr>
        <w:t>考核扣罚</w:t>
      </w:r>
      <w:r>
        <w:rPr>
          <w:rFonts w:hint="eastAsia" w:cs="Times New Roman"/>
          <w:color w:val="auto"/>
          <w:spacing w:val="-7"/>
          <w:sz w:val="21"/>
          <w:szCs w:val="21"/>
          <w:highlight w:val="none"/>
        </w:rPr>
        <w:t>。</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12.</w:t>
      </w:r>
      <w:r>
        <w:rPr>
          <w:rFonts w:hint="eastAsia" w:cs="Times New Roman"/>
          <w:color w:val="auto"/>
          <w:spacing w:val="-7"/>
          <w:sz w:val="21"/>
          <w:szCs w:val="21"/>
          <w:highlight w:val="none"/>
          <w:lang w:val="en-US" w:eastAsia="zh-CN"/>
        </w:rPr>
        <w:t>2</w:t>
      </w:r>
      <w:r>
        <w:rPr>
          <w:rFonts w:hint="eastAsia" w:cs="Times New Roman"/>
          <w:color w:val="auto"/>
          <w:spacing w:val="-7"/>
          <w:sz w:val="21"/>
          <w:szCs w:val="21"/>
          <w:highlight w:val="none"/>
        </w:rPr>
        <w:t>乙方应保证饮水设备出水水质符合相关行业标准；因乙方责任原因造成水质不达标的，每次每台考核扣罚</w:t>
      </w:r>
      <w:r>
        <w:rPr>
          <w:rFonts w:hint="eastAsia" w:cs="Times New Roman"/>
          <w:color w:val="auto"/>
          <w:spacing w:val="-7"/>
          <w:sz w:val="21"/>
          <w:szCs w:val="21"/>
          <w:highlight w:val="none"/>
          <w:lang w:val="en-US" w:eastAsia="zh-CN"/>
        </w:rPr>
        <w:t>5</w:t>
      </w:r>
      <w:r>
        <w:rPr>
          <w:rFonts w:hint="eastAsia" w:cs="Times New Roman"/>
          <w:color w:val="auto"/>
          <w:spacing w:val="-7"/>
          <w:sz w:val="21"/>
          <w:szCs w:val="21"/>
          <w:highlight w:val="none"/>
        </w:rPr>
        <w:t>00 元。</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12.</w:t>
      </w:r>
      <w:r>
        <w:rPr>
          <w:rFonts w:hint="eastAsia" w:cs="Times New Roman"/>
          <w:color w:val="auto"/>
          <w:spacing w:val="-7"/>
          <w:sz w:val="21"/>
          <w:szCs w:val="21"/>
          <w:highlight w:val="none"/>
          <w:lang w:val="en-US" w:eastAsia="zh-CN"/>
        </w:rPr>
        <w:t>3</w:t>
      </w:r>
      <w:r>
        <w:rPr>
          <w:rFonts w:hint="eastAsia" w:cs="Times New Roman"/>
          <w:color w:val="auto"/>
          <w:spacing w:val="-7"/>
          <w:sz w:val="21"/>
          <w:szCs w:val="21"/>
          <w:highlight w:val="none"/>
        </w:rPr>
        <w:t>乙方接到甲方维护通知后，未按7.2.10条的规定时间到达现场处理，每次考核扣罚200 元；连续三次未按规定处理的，甲方有权单方终止协议。</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12.</w:t>
      </w:r>
      <w:r>
        <w:rPr>
          <w:rFonts w:hint="eastAsia" w:cs="Times New Roman"/>
          <w:color w:val="auto"/>
          <w:spacing w:val="-7"/>
          <w:sz w:val="21"/>
          <w:szCs w:val="21"/>
          <w:highlight w:val="none"/>
          <w:lang w:val="en-US" w:eastAsia="zh-CN"/>
        </w:rPr>
        <w:t>4</w:t>
      </w:r>
      <w:r>
        <w:rPr>
          <w:rFonts w:hint="eastAsia" w:cs="Times New Roman"/>
          <w:color w:val="auto"/>
          <w:spacing w:val="-7"/>
          <w:sz w:val="21"/>
          <w:szCs w:val="21"/>
          <w:highlight w:val="none"/>
        </w:rPr>
        <w:t>乙方应按要求两个月更换一次滤芯，因乙方未按要求更换，每次每台考核扣罚200元。</w:t>
      </w:r>
    </w:p>
    <w:p>
      <w:pPr>
        <w:pStyle w:val="26"/>
        <w:autoSpaceDE w:val="0"/>
        <w:adjustRightInd w:val="0"/>
        <w:spacing w:line="360" w:lineRule="auto"/>
        <w:ind w:firstLine="392"/>
        <w:contextualSpacing/>
        <w:rPr>
          <w:rFonts w:hint="eastAsia" w:cs="Times New Roman"/>
          <w:color w:val="auto"/>
          <w:spacing w:val="-7"/>
          <w:sz w:val="21"/>
          <w:szCs w:val="21"/>
          <w:highlight w:val="none"/>
        </w:rPr>
      </w:pPr>
      <w:r>
        <w:rPr>
          <w:rFonts w:hint="eastAsia" w:cs="Times New Roman"/>
          <w:color w:val="auto"/>
          <w:spacing w:val="-7"/>
          <w:sz w:val="21"/>
          <w:szCs w:val="21"/>
          <w:highlight w:val="none"/>
        </w:rPr>
        <w:t>12.</w:t>
      </w:r>
      <w:r>
        <w:rPr>
          <w:rFonts w:hint="eastAsia" w:cs="Times New Roman"/>
          <w:color w:val="auto"/>
          <w:spacing w:val="-7"/>
          <w:sz w:val="21"/>
          <w:szCs w:val="21"/>
          <w:highlight w:val="none"/>
          <w:lang w:val="en-US" w:eastAsia="zh-CN"/>
        </w:rPr>
        <w:t>5</w:t>
      </w:r>
      <w:r>
        <w:rPr>
          <w:rFonts w:hint="eastAsia" w:cs="Times New Roman"/>
          <w:color w:val="auto"/>
          <w:spacing w:val="-7"/>
          <w:sz w:val="21"/>
          <w:szCs w:val="21"/>
          <w:highlight w:val="none"/>
        </w:rPr>
        <w:t xml:space="preserve"> 如出现航班大面积延误、公共卫生事件、停水停电等特殊情况造成的突发事件，应按照甲方统一要求</w:t>
      </w:r>
      <w:r>
        <w:rPr>
          <w:rFonts w:hint="eastAsia" w:cs="Times New Roman"/>
          <w:color w:val="auto"/>
          <w:spacing w:val="-7"/>
          <w:sz w:val="21"/>
          <w:szCs w:val="21"/>
          <w:highlight w:val="none"/>
          <w:lang w:val="en-US" w:eastAsia="zh-CN"/>
        </w:rPr>
        <w:t>的响应时间</w:t>
      </w:r>
      <w:r>
        <w:rPr>
          <w:rFonts w:hint="eastAsia" w:cs="Times New Roman"/>
          <w:color w:val="auto"/>
          <w:spacing w:val="-7"/>
          <w:sz w:val="21"/>
          <w:szCs w:val="21"/>
          <w:highlight w:val="none"/>
        </w:rPr>
        <w:t>和配备维保人员。因乙方责任原因未按要求处理，每次考核扣罚500元。</w:t>
      </w:r>
    </w:p>
    <w:p>
      <w:pPr>
        <w:pStyle w:val="26"/>
        <w:autoSpaceDE w:val="0"/>
        <w:adjustRightInd w:val="0"/>
        <w:spacing w:line="360" w:lineRule="auto"/>
        <w:ind w:firstLine="392"/>
        <w:contextualSpacing/>
        <w:rPr>
          <w:rFonts w:hint="default" w:eastAsia="宋体" w:cs="Times New Roman"/>
          <w:color w:val="auto"/>
          <w:spacing w:val="-7"/>
          <w:sz w:val="21"/>
          <w:szCs w:val="21"/>
          <w:highlight w:val="none"/>
          <w:lang w:val="en-US" w:eastAsia="zh-CN"/>
        </w:rPr>
      </w:pPr>
      <w:r>
        <w:rPr>
          <w:rFonts w:hint="eastAsia" w:cs="Times New Roman"/>
          <w:color w:val="auto"/>
          <w:spacing w:val="-7"/>
          <w:sz w:val="21"/>
          <w:szCs w:val="21"/>
          <w:highlight w:val="none"/>
          <w:lang w:val="en-US" w:eastAsia="zh-CN"/>
        </w:rPr>
        <w:t>12.6 乙方责任原因造成旅客有效投诉超过3次，且未按甲方要求完成整改，甲方有权对乙方进行考核扣罚500元。</w:t>
      </w:r>
    </w:p>
    <w:p>
      <w:pPr>
        <w:pStyle w:val="26"/>
        <w:autoSpaceDE w:val="0"/>
        <w:adjustRightInd w:val="0"/>
        <w:spacing w:line="360" w:lineRule="auto"/>
        <w:ind w:firstLine="392"/>
        <w:contextualSpacing/>
        <w:rPr>
          <w:rFonts w:hint="eastAsia" w:cs="Times New Roman"/>
          <w:color w:val="auto"/>
          <w:spacing w:val="-7"/>
          <w:sz w:val="21"/>
          <w:szCs w:val="21"/>
          <w:highlight w:val="none"/>
        </w:rPr>
      </w:pPr>
      <w:r>
        <w:rPr>
          <w:rFonts w:hint="eastAsia" w:cs="Times New Roman"/>
          <w:color w:val="auto"/>
          <w:spacing w:val="-7"/>
          <w:sz w:val="21"/>
          <w:szCs w:val="21"/>
          <w:highlight w:val="none"/>
          <w:lang w:val="en-US" w:eastAsia="zh-CN"/>
        </w:rPr>
        <w:t>12.7 甲方根据考核约定开具考核扣罚通知书，并经双方确认。乙方收到甲方考核扣罚通知书后30天内完成支付。</w:t>
      </w:r>
    </w:p>
    <w:p>
      <w:pPr>
        <w:pStyle w:val="26"/>
        <w:autoSpaceDE w:val="0"/>
        <w:adjustRightInd w:val="0"/>
        <w:spacing w:line="360" w:lineRule="auto"/>
        <w:ind w:firstLine="482"/>
        <w:contextualSpacing/>
        <w:rPr>
          <w:b/>
          <w:color w:val="auto"/>
          <w:szCs w:val="21"/>
          <w:highlight w:val="none"/>
        </w:rPr>
      </w:pPr>
      <w:r>
        <w:rPr>
          <w:rFonts w:hint="eastAsia"/>
          <w:b/>
          <w:color w:val="auto"/>
          <w:szCs w:val="21"/>
          <w:highlight w:val="none"/>
        </w:rPr>
        <w:t>13．争议解决方式</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13.1因合同所发生一切争议，甲、乙双方先协商解决；协商不成的，按以下第 （1） 种方式解决：</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(1)依法向甲方所在地有管辖权的广州市白云区人民法院诉讼解决。</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(2)提请广州仲裁委员会按照该会仲裁规则进行仲裁，仲裁裁决是终局的，对双方均有约束力。</w:t>
      </w:r>
    </w:p>
    <w:p>
      <w:pPr>
        <w:pStyle w:val="26"/>
        <w:autoSpaceDE w:val="0"/>
        <w:adjustRightInd w:val="0"/>
        <w:spacing w:line="360" w:lineRule="auto"/>
        <w:ind w:firstLine="392"/>
        <w:contextualSpacing/>
        <w:rPr>
          <w:b/>
          <w:color w:val="auto"/>
          <w:szCs w:val="21"/>
          <w:highlight w:val="none"/>
        </w:rPr>
      </w:pPr>
      <w:r>
        <w:rPr>
          <w:rFonts w:hint="eastAsia" w:cs="Times New Roman"/>
          <w:color w:val="auto"/>
          <w:spacing w:val="-7"/>
          <w:sz w:val="21"/>
          <w:szCs w:val="21"/>
          <w:highlight w:val="none"/>
        </w:rPr>
        <w:t>13.2争议事项的解决适用中华人民共和国法律法规。一方因本合同纠纷产生的费用（包括但不限于律师费用、交通费用等）由另一败诉方承担。</w:t>
      </w:r>
    </w:p>
    <w:p>
      <w:pPr>
        <w:adjustRightInd w:val="0"/>
        <w:spacing w:line="360" w:lineRule="auto"/>
        <w:ind w:firstLine="482" w:firstLineChars="200"/>
        <w:contextualSpacing/>
        <w:rPr>
          <w:rFonts w:ascii="宋体" w:hAnsi="宋体"/>
          <w:b/>
          <w:bCs/>
          <w:color w:val="auto"/>
          <w:szCs w:val="21"/>
          <w:highlight w:val="none"/>
        </w:rPr>
      </w:pPr>
      <w:r>
        <w:rPr>
          <w:rFonts w:hint="eastAsia" w:ascii="宋体" w:hAnsi="宋体"/>
          <w:b/>
          <w:bCs/>
          <w:color w:val="auto"/>
          <w:szCs w:val="21"/>
          <w:highlight w:val="none"/>
        </w:rPr>
        <w:t>14．合同生效、变更、失效和终止</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14.1合同经双方法定代表人或其授权代表签字并加盖合同专用章之日。</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14.2乙方或其中一方若涉及11.1、11.4条例，经甲方指正并拒不整改的，甲方有权单方终止协议。</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14.3甲方有权根据政策及上级机关的要求，提前30 个工作日书面通知乙方，双方协商一致后变更或提前终止本合同。</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14.4如因国家政策性调整或其他不能预见、不能避免并不能克服的客观情况影响合同正常履行，双方应协商解决。</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14.5在履行合同过程中，如果乙方遇到不能按时提供服务的情况，应及时以书面形式将不能按时提供服务的理由、可能延误的时间同时通知甲方。甲方在收到通知后，应对情况进行分析，决定是否修改合同、酌情延长服务时间或终止合同；同时保留按上条规定对乙方进行制裁的权力。</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14.6因一方原因，合同无法继续履行时，应及时通知对方，办理合同终止协议，并由责任方赔偿对方由此造成的经济损失。</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14.7如果合同中的任一方严重违反合同条款，则另一方可终止合同，并及时通知对方。</w:t>
      </w:r>
    </w:p>
    <w:p>
      <w:pPr>
        <w:adjustRightInd w:val="0"/>
        <w:spacing w:line="360" w:lineRule="auto"/>
        <w:ind w:firstLine="482" w:firstLineChars="200"/>
        <w:contextualSpacing/>
        <w:rPr>
          <w:rFonts w:ascii="宋体" w:hAnsi="宋体"/>
          <w:b/>
          <w:bCs/>
          <w:color w:val="auto"/>
          <w:szCs w:val="21"/>
          <w:highlight w:val="none"/>
        </w:rPr>
      </w:pPr>
      <w:r>
        <w:rPr>
          <w:rFonts w:hint="eastAsia" w:ascii="宋体" w:hAnsi="宋体"/>
          <w:b/>
          <w:bCs/>
          <w:color w:val="auto"/>
          <w:szCs w:val="21"/>
          <w:highlight w:val="none"/>
        </w:rPr>
        <w:t>15．其他约定</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15.1本合同之所有附件均为合同的有效组成部分，与本合同具有同等法律效力。</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15.2在执行本合同的过程中，所有经双方签署确认的文件（包括会议纪要、补充协议）即成为本合同的有效组成部分，其生效日期为双方签字盖章或确认之日期。</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 xml:space="preserve">15.3乙方在合同履行，项目实施、运行阶段，有下列情形之一的，列入不予合作对象名单： </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1.不按</w:t>
      </w:r>
      <w:r>
        <w:rPr>
          <w:rFonts w:hint="eastAsia" w:cs="Times New Roman"/>
          <w:color w:val="auto"/>
          <w:spacing w:val="-7"/>
          <w:sz w:val="21"/>
          <w:szCs w:val="21"/>
          <w:highlight w:val="none"/>
          <w:lang w:val="en-US" w:eastAsia="zh-CN"/>
        </w:rPr>
        <w:t>参评</w:t>
      </w:r>
      <w:r>
        <w:rPr>
          <w:rFonts w:hint="eastAsia" w:cs="Times New Roman"/>
          <w:color w:val="auto"/>
          <w:spacing w:val="-7"/>
          <w:sz w:val="21"/>
          <w:szCs w:val="21"/>
          <w:highlight w:val="none"/>
        </w:rPr>
        <w:t>文件承诺的条件与甲方签订合同，或在合同签订中存在欺诈情形，违反</w:t>
      </w:r>
      <w:r>
        <w:rPr>
          <w:rFonts w:hint="eastAsia" w:cs="Times New Roman"/>
          <w:color w:val="auto"/>
          <w:spacing w:val="-7"/>
          <w:sz w:val="21"/>
          <w:szCs w:val="21"/>
          <w:highlight w:val="none"/>
          <w:lang w:val="en-US" w:eastAsia="zh-CN"/>
        </w:rPr>
        <w:t>参评</w:t>
      </w:r>
      <w:r>
        <w:rPr>
          <w:rFonts w:hint="eastAsia" w:cs="Times New Roman"/>
          <w:color w:val="auto"/>
          <w:spacing w:val="-7"/>
          <w:sz w:val="21"/>
          <w:szCs w:val="21"/>
          <w:highlight w:val="none"/>
        </w:rPr>
        <w:t>文件规定，对甲方或关联公司不利；</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2.违反合同约定，将承揽项目转包或违法分包给他人；</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3.因乙方责任原因连续发生不安全事件、事故或造成恶劣不良影响；</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4.使用的设备、材料以次充好或提供与合同不符的假冒伪劣产品等降低质量情形或造成不良影响；</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5.因环保、噪音问题造成社会恶劣影响；</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6.拖欠农民工工资，造成恶劣影响的，或发生上访维稳事件，或导致甲方或关联公司垫付农民工工资；</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lang w:val="en-US" w:eastAsia="zh-CN"/>
        </w:rPr>
        <w:t>7</w:t>
      </w:r>
      <w:r>
        <w:rPr>
          <w:rFonts w:hint="eastAsia" w:cs="Times New Roman"/>
          <w:color w:val="auto"/>
          <w:spacing w:val="-7"/>
          <w:sz w:val="21"/>
          <w:szCs w:val="21"/>
          <w:highlight w:val="none"/>
        </w:rPr>
        <w:t>.拒绝履行合同主要条款，造成合同无法正常履约；</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lang w:val="en-US" w:eastAsia="zh-CN"/>
        </w:rPr>
        <w:t>8</w:t>
      </w:r>
      <w:r>
        <w:rPr>
          <w:rFonts w:hint="eastAsia" w:cs="Times New Roman"/>
          <w:color w:val="auto"/>
          <w:spacing w:val="-7"/>
          <w:sz w:val="21"/>
          <w:szCs w:val="21"/>
          <w:highlight w:val="none"/>
        </w:rPr>
        <w:t>.因严重违约被甲方依法单方解除合同；</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lang w:val="en-US" w:eastAsia="zh-CN"/>
        </w:rPr>
        <w:t>9</w:t>
      </w:r>
      <w:r>
        <w:rPr>
          <w:rFonts w:hint="eastAsia" w:cs="Times New Roman"/>
          <w:color w:val="auto"/>
          <w:spacing w:val="-7"/>
          <w:sz w:val="21"/>
          <w:szCs w:val="21"/>
          <w:highlight w:val="none"/>
        </w:rPr>
        <w:t>.存在向甲方或关联公司相关工作人员行贿等不廉洁情形。</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15.4本合同一式</w:t>
      </w:r>
      <w:r>
        <w:rPr>
          <w:rFonts w:hint="eastAsia" w:cs="Times New Roman"/>
          <w:color w:val="auto"/>
          <w:spacing w:val="-7"/>
          <w:sz w:val="21"/>
          <w:szCs w:val="21"/>
          <w:highlight w:val="none"/>
          <w:u w:val="single"/>
        </w:rPr>
        <w:t xml:space="preserve"> </w:t>
      </w:r>
      <w:r>
        <w:rPr>
          <w:rFonts w:hint="eastAsia" w:cs="Times New Roman"/>
          <w:color w:val="auto"/>
          <w:spacing w:val="-7"/>
          <w:sz w:val="21"/>
          <w:szCs w:val="21"/>
          <w:highlight w:val="none"/>
          <w:u w:val="single"/>
          <w:lang w:val="en-US" w:eastAsia="zh-CN"/>
        </w:rPr>
        <w:t>柒</w:t>
      </w:r>
      <w:r>
        <w:rPr>
          <w:rFonts w:hint="eastAsia" w:cs="Times New Roman"/>
          <w:color w:val="auto"/>
          <w:spacing w:val="-7"/>
          <w:sz w:val="21"/>
          <w:szCs w:val="21"/>
          <w:highlight w:val="none"/>
          <w:u w:val="single"/>
        </w:rPr>
        <w:t xml:space="preserve"> </w:t>
      </w:r>
      <w:r>
        <w:rPr>
          <w:rFonts w:hint="eastAsia" w:cs="Times New Roman"/>
          <w:color w:val="auto"/>
          <w:spacing w:val="-7"/>
          <w:sz w:val="21"/>
          <w:szCs w:val="21"/>
          <w:highlight w:val="none"/>
        </w:rPr>
        <w:t>份，甲方持</w:t>
      </w:r>
      <w:r>
        <w:rPr>
          <w:rFonts w:hint="eastAsia" w:cs="Times New Roman"/>
          <w:color w:val="auto"/>
          <w:spacing w:val="-7"/>
          <w:sz w:val="21"/>
          <w:szCs w:val="21"/>
          <w:highlight w:val="none"/>
          <w:u w:val="single"/>
        </w:rPr>
        <w:t xml:space="preserve"> 肆 </w:t>
      </w:r>
      <w:r>
        <w:rPr>
          <w:rFonts w:hint="eastAsia" w:cs="Times New Roman"/>
          <w:color w:val="auto"/>
          <w:spacing w:val="-7"/>
          <w:sz w:val="21"/>
          <w:szCs w:val="21"/>
          <w:highlight w:val="none"/>
        </w:rPr>
        <w:t>份，乙方持</w:t>
      </w:r>
      <w:r>
        <w:rPr>
          <w:rFonts w:hint="eastAsia" w:cs="Times New Roman"/>
          <w:color w:val="auto"/>
          <w:spacing w:val="-7"/>
          <w:sz w:val="21"/>
          <w:szCs w:val="21"/>
          <w:highlight w:val="none"/>
          <w:u w:val="single"/>
        </w:rPr>
        <w:t xml:space="preserve"> 叁 </w:t>
      </w:r>
      <w:r>
        <w:rPr>
          <w:rFonts w:hint="eastAsia" w:cs="Times New Roman"/>
          <w:color w:val="auto"/>
          <w:spacing w:val="-7"/>
          <w:sz w:val="21"/>
          <w:szCs w:val="21"/>
          <w:highlight w:val="none"/>
        </w:rPr>
        <w:t>份，均具有同等法律效力。</w:t>
      </w:r>
    </w:p>
    <w:p>
      <w:pPr>
        <w:adjustRightInd w:val="0"/>
        <w:spacing w:line="360" w:lineRule="auto"/>
        <w:ind w:firstLine="482" w:firstLineChars="200"/>
        <w:contextualSpacing/>
        <w:rPr>
          <w:rFonts w:ascii="宋体" w:hAnsi="宋体"/>
          <w:b/>
          <w:bCs/>
          <w:color w:val="auto"/>
          <w:szCs w:val="21"/>
          <w:highlight w:val="none"/>
        </w:rPr>
      </w:pPr>
      <w:r>
        <w:rPr>
          <w:rFonts w:hint="eastAsia" w:ascii="宋体" w:hAnsi="宋体"/>
          <w:b/>
          <w:bCs/>
          <w:color w:val="auto"/>
          <w:szCs w:val="21"/>
          <w:highlight w:val="none"/>
        </w:rPr>
        <w:t>16．合同附件</w:t>
      </w:r>
    </w:p>
    <w:p>
      <w:pPr>
        <w:pStyle w:val="26"/>
        <w:autoSpaceDE w:val="0"/>
        <w:adjustRightInd w:val="0"/>
        <w:spacing w:line="360" w:lineRule="auto"/>
        <w:ind w:firstLine="392"/>
        <w:contextualSpacing/>
        <w:rPr>
          <w:rFonts w:hint="eastAsia" w:cs="Times New Roman"/>
          <w:color w:val="auto"/>
          <w:spacing w:val="-7"/>
          <w:sz w:val="21"/>
          <w:szCs w:val="21"/>
          <w:highlight w:val="none"/>
        </w:rPr>
      </w:pPr>
      <w:r>
        <w:rPr>
          <w:rFonts w:hint="eastAsia" w:cs="Times New Roman"/>
          <w:color w:val="auto"/>
          <w:spacing w:val="-7"/>
          <w:sz w:val="21"/>
          <w:szCs w:val="21"/>
          <w:highlight w:val="none"/>
        </w:rPr>
        <w:t>附件1：公共直饮水机更换的点位和数量</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rPr>
        <w:t>附件2：廉洁承诺书</w:t>
      </w:r>
    </w:p>
    <w:p>
      <w:pPr>
        <w:pStyle w:val="26"/>
        <w:autoSpaceDE w:val="0"/>
        <w:adjustRightInd w:val="0"/>
        <w:spacing w:line="360" w:lineRule="auto"/>
        <w:ind w:firstLine="392"/>
        <w:contextualSpacing/>
        <w:rPr>
          <w:rFonts w:cs="Times New Roman"/>
          <w:color w:val="auto"/>
          <w:spacing w:val="-7"/>
          <w:sz w:val="21"/>
          <w:szCs w:val="21"/>
          <w:highlight w:val="none"/>
        </w:rPr>
      </w:pPr>
      <w:r>
        <w:rPr>
          <w:rFonts w:hint="eastAsia" w:cs="Times New Roman"/>
          <w:color w:val="auto"/>
          <w:spacing w:val="-7"/>
          <w:sz w:val="21"/>
          <w:szCs w:val="21"/>
          <w:highlight w:val="none"/>
          <w:lang w:val="en-US" w:eastAsia="zh-CN"/>
        </w:rPr>
        <w:t>附件3：</w:t>
      </w:r>
      <w:r>
        <w:rPr>
          <w:rFonts w:hint="eastAsia" w:cs="Times New Roman"/>
          <w:color w:val="auto"/>
          <w:spacing w:val="-7"/>
          <w:sz w:val="21"/>
          <w:szCs w:val="21"/>
          <w:highlight w:val="none"/>
        </w:rPr>
        <w:t>安全生产管理协议及安全考核办法</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26"/>
        <w:autoSpaceDE w:val="0"/>
        <w:adjustRightInd w:val="0"/>
        <w:spacing w:line="360" w:lineRule="auto"/>
        <w:ind w:firstLine="392"/>
        <w:contextualSpacing/>
        <w:rPr>
          <w:rFonts w:cs="Times New Roman"/>
          <w:color w:val="auto"/>
          <w:spacing w:val="-7"/>
          <w:sz w:val="21"/>
          <w:szCs w:val="21"/>
          <w:highlight w:val="none"/>
        </w:rPr>
      </w:pPr>
    </w:p>
    <w:p>
      <w:pPr>
        <w:pStyle w:val="7"/>
        <w:ind w:left="480"/>
        <w:rPr>
          <w:rFonts w:ascii="宋体" w:hAnsi="宋体" w:cs="宋体"/>
          <w:bCs/>
          <w:color w:val="auto"/>
          <w:sz w:val="21"/>
          <w:szCs w:val="21"/>
          <w:highlight w:val="none"/>
        </w:rPr>
      </w:pPr>
    </w:p>
    <w:tbl>
      <w:tblPr>
        <w:tblStyle w:val="19"/>
        <w:tblW w:w="8522" w:type="dxa"/>
        <w:tblInd w:w="0" w:type="dxa"/>
        <w:tblLayout w:type="fixed"/>
        <w:tblCellMar>
          <w:top w:w="0" w:type="dxa"/>
          <w:left w:w="108" w:type="dxa"/>
          <w:bottom w:w="0" w:type="dxa"/>
          <w:right w:w="108" w:type="dxa"/>
        </w:tblCellMar>
      </w:tblPr>
      <w:tblGrid>
        <w:gridCol w:w="4428"/>
        <w:gridCol w:w="4094"/>
      </w:tblGrid>
      <w:tr>
        <w:tblPrEx>
          <w:tblCellMar>
            <w:top w:w="0" w:type="dxa"/>
            <w:left w:w="108" w:type="dxa"/>
            <w:bottom w:w="0" w:type="dxa"/>
            <w:right w:w="108" w:type="dxa"/>
          </w:tblCellMar>
        </w:tblPrEx>
        <w:tc>
          <w:tcPr>
            <w:tcW w:w="4428" w:type="dxa"/>
          </w:tcPr>
          <w:p>
            <w:pPr>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甲方：</w:t>
            </w:r>
          </w:p>
          <w:p>
            <w:pPr>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（盖章）</w:t>
            </w:r>
          </w:p>
          <w:p>
            <w:pPr>
              <w:adjustRightInd w:val="0"/>
              <w:snapToGrid w:val="0"/>
              <w:spacing w:line="360" w:lineRule="auto"/>
              <w:rPr>
                <w:rFonts w:ascii="宋体" w:hAnsi="宋体" w:cs="宋体"/>
                <w:color w:val="auto"/>
                <w:sz w:val="21"/>
                <w:szCs w:val="21"/>
                <w:highlight w:val="none"/>
              </w:rPr>
            </w:pPr>
          </w:p>
          <w:p>
            <w:pPr>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法定代表人或负责人或</w:t>
            </w:r>
          </w:p>
          <w:p>
            <w:pPr>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授权委托人签字：</w:t>
            </w:r>
          </w:p>
          <w:p>
            <w:pPr>
              <w:adjustRightInd w:val="0"/>
              <w:snapToGrid w:val="0"/>
              <w:spacing w:line="360" w:lineRule="auto"/>
              <w:rPr>
                <w:rFonts w:ascii="宋体" w:hAnsi="宋体" w:cs="宋体"/>
                <w:color w:val="auto"/>
                <w:sz w:val="21"/>
                <w:szCs w:val="21"/>
                <w:highlight w:val="none"/>
              </w:rPr>
            </w:pPr>
          </w:p>
          <w:p>
            <w:pPr>
              <w:adjustRightInd w:val="0"/>
              <w:snapToGrid w:val="0"/>
              <w:spacing w:line="360" w:lineRule="auto"/>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签署日期：   年    月    日</w:t>
            </w:r>
          </w:p>
        </w:tc>
        <w:tc>
          <w:tcPr>
            <w:tcW w:w="4094" w:type="dxa"/>
          </w:tcPr>
          <w:tbl>
            <w:tblPr>
              <w:tblStyle w:val="19"/>
              <w:tblW w:w="4277" w:type="dxa"/>
              <w:tblInd w:w="63" w:type="dxa"/>
              <w:tblLayout w:type="fixed"/>
              <w:tblCellMar>
                <w:top w:w="0" w:type="dxa"/>
                <w:left w:w="108" w:type="dxa"/>
                <w:bottom w:w="0" w:type="dxa"/>
                <w:right w:w="108" w:type="dxa"/>
              </w:tblCellMar>
            </w:tblPr>
            <w:tblGrid>
              <w:gridCol w:w="4277"/>
            </w:tblGrid>
            <w:tr>
              <w:tblPrEx>
                <w:tblCellMar>
                  <w:top w:w="0" w:type="dxa"/>
                  <w:left w:w="108" w:type="dxa"/>
                  <w:bottom w:w="0" w:type="dxa"/>
                  <w:right w:w="108" w:type="dxa"/>
                </w:tblCellMar>
              </w:tblPrEx>
              <w:trPr>
                <w:trHeight w:val="2615" w:hRule="atLeast"/>
              </w:trPr>
              <w:tc>
                <w:tcPr>
                  <w:tcW w:w="4277" w:type="dxa"/>
                </w:tcPr>
                <w:p>
                  <w:pPr>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乙方：</w:t>
                  </w:r>
                </w:p>
                <w:p>
                  <w:pPr>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（盖章）</w:t>
                  </w:r>
                </w:p>
                <w:p>
                  <w:pPr>
                    <w:adjustRightInd w:val="0"/>
                    <w:snapToGrid w:val="0"/>
                    <w:spacing w:line="360" w:lineRule="auto"/>
                    <w:rPr>
                      <w:rFonts w:ascii="宋体" w:hAnsi="宋体" w:cs="宋体"/>
                      <w:color w:val="auto"/>
                      <w:sz w:val="21"/>
                      <w:szCs w:val="21"/>
                      <w:highlight w:val="none"/>
                    </w:rPr>
                  </w:pPr>
                </w:p>
                <w:p>
                  <w:pPr>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法定代表人或负责人或</w:t>
                  </w:r>
                </w:p>
                <w:p>
                  <w:pPr>
                    <w:adjustRightInd w:val="0"/>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授权委托人签字：</w:t>
                  </w:r>
                </w:p>
                <w:p>
                  <w:pPr>
                    <w:adjustRightInd w:val="0"/>
                    <w:snapToGrid w:val="0"/>
                    <w:spacing w:line="360" w:lineRule="auto"/>
                    <w:rPr>
                      <w:rFonts w:ascii="宋体" w:hAnsi="宋体" w:cs="宋体"/>
                      <w:color w:val="auto"/>
                      <w:sz w:val="21"/>
                      <w:szCs w:val="21"/>
                      <w:highlight w:val="none"/>
                    </w:rPr>
                  </w:pPr>
                </w:p>
                <w:p>
                  <w:pPr>
                    <w:adjustRightInd w:val="0"/>
                    <w:snapToGrid w:val="0"/>
                    <w:spacing w:line="360" w:lineRule="auto"/>
                    <w:ind w:right="456" w:firstLine="99" w:firstLineChars="50"/>
                    <w:rPr>
                      <w:rFonts w:ascii="宋体" w:hAnsi="宋体" w:cs="宋体"/>
                      <w:color w:val="auto"/>
                      <w:spacing w:val="-6"/>
                      <w:sz w:val="21"/>
                      <w:szCs w:val="21"/>
                      <w:highlight w:val="none"/>
                    </w:rPr>
                  </w:pPr>
                  <w:r>
                    <w:rPr>
                      <w:rFonts w:hint="eastAsia" w:ascii="宋体" w:hAnsi="宋体" w:cs="宋体"/>
                      <w:color w:val="auto"/>
                      <w:spacing w:val="-6"/>
                      <w:sz w:val="21"/>
                      <w:szCs w:val="21"/>
                      <w:highlight w:val="none"/>
                    </w:rPr>
                    <w:t>签署日期：    年    月    日</w:t>
                  </w:r>
                </w:p>
              </w:tc>
            </w:tr>
          </w:tbl>
          <w:p>
            <w:pPr>
              <w:adjustRightInd w:val="0"/>
              <w:snapToGrid w:val="0"/>
              <w:spacing w:line="360" w:lineRule="auto"/>
              <w:rPr>
                <w:rFonts w:ascii="宋体" w:hAnsi="宋体" w:cs="宋体"/>
                <w:color w:val="auto"/>
                <w:spacing w:val="-6"/>
                <w:sz w:val="21"/>
                <w:szCs w:val="21"/>
                <w:highlight w:val="none"/>
              </w:rPr>
            </w:pPr>
          </w:p>
        </w:tc>
      </w:tr>
    </w:tbl>
    <w:p>
      <w:pPr>
        <w:pStyle w:val="28"/>
        <w:spacing w:line="411" w:lineRule="atLeast"/>
        <w:rPr>
          <w:rFonts w:ascii="Times New Roman" w:hAnsi="宋体"/>
          <w:b/>
          <w:bCs/>
          <w:color w:val="auto"/>
          <w:kern w:val="2"/>
          <w:sz w:val="28"/>
          <w:szCs w:val="21"/>
          <w:highlight w:val="none"/>
        </w:rPr>
      </w:pPr>
    </w:p>
    <w:p>
      <w:pPr>
        <w:pStyle w:val="28"/>
        <w:spacing w:line="411" w:lineRule="atLeast"/>
        <w:rPr>
          <w:rFonts w:ascii="Times New Roman" w:hAnsi="宋体"/>
          <w:b/>
          <w:bCs/>
          <w:color w:val="auto"/>
          <w:kern w:val="2"/>
          <w:sz w:val="28"/>
          <w:szCs w:val="21"/>
          <w:highlight w:val="none"/>
        </w:rPr>
      </w:pPr>
    </w:p>
    <w:p>
      <w:pPr>
        <w:pStyle w:val="28"/>
        <w:spacing w:line="411" w:lineRule="atLeast"/>
        <w:rPr>
          <w:rFonts w:ascii="Times New Roman" w:hAnsi="宋体"/>
          <w:b/>
          <w:bCs/>
          <w:color w:val="auto"/>
          <w:kern w:val="2"/>
          <w:sz w:val="28"/>
          <w:szCs w:val="21"/>
          <w:highlight w:val="none"/>
        </w:rPr>
      </w:pPr>
    </w:p>
    <w:p>
      <w:pPr>
        <w:pStyle w:val="28"/>
        <w:spacing w:line="411" w:lineRule="atLeast"/>
        <w:rPr>
          <w:rFonts w:ascii="Times New Roman" w:hAnsi="宋体"/>
          <w:b/>
          <w:bCs/>
          <w:color w:val="auto"/>
          <w:kern w:val="2"/>
          <w:sz w:val="28"/>
          <w:szCs w:val="21"/>
          <w:highlight w:val="none"/>
        </w:rPr>
      </w:pPr>
    </w:p>
    <w:p>
      <w:pPr>
        <w:pStyle w:val="28"/>
        <w:spacing w:line="411" w:lineRule="atLeast"/>
        <w:rPr>
          <w:rFonts w:ascii="Times New Roman" w:hAnsi="宋体"/>
          <w:b/>
          <w:bCs/>
          <w:color w:val="auto"/>
          <w:kern w:val="2"/>
          <w:sz w:val="28"/>
          <w:szCs w:val="21"/>
          <w:highlight w:val="none"/>
        </w:rPr>
      </w:pPr>
    </w:p>
    <w:p>
      <w:pPr>
        <w:pStyle w:val="28"/>
        <w:spacing w:line="411" w:lineRule="atLeast"/>
        <w:rPr>
          <w:rFonts w:ascii="Times New Roman" w:hAnsi="宋体"/>
          <w:b/>
          <w:bCs/>
          <w:color w:val="auto"/>
          <w:kern w:val="2"/>
          <w:sz w:val="28"/>
          <w:szCs w:val="21"/>
          <w:highlight w:val="none"/>
        </w:rPr>
      </w:pPr>
    </w:p>
    <w:p>
      <w:pPr>
        <w:pStyle w:val="28"/>
        <w:spacing w:line="411" w:lineRule="atLeast"/>
        <w:rPr>
          <w:rFonts w:ascii="Times New Roman" w:hAnsi="宋体"/>
          <w:b/>
          <w:bCs/>
          <w:color w:val="auto"/>
          <w:kern w:val="2"/>
          <w:sz w:val="28"/>
          <w:szCs w:val="21"/>
          <w:highlight w:val="none"/>
        </w:rPr>
      </w:pPr>
    </w:p>
    <w:p>
      <w:pPr>
        <w:pStyle w:val="28"/>
        <w:spacing w:line="411" w:lineRule="atLeast"/>
        <w:rPr>
          <w:rFonts w:ascii="Times New Roman" w:hAnsi="宋体"/>
          <w:b/>
          <w:bCs/>
          <w:color w:val="auto"/>
          <w:kern w:val="2"/>
          <w:sz w:val="28"/>
          <w:szCs w:val="21"/>
          <w:highlight w:val="none"/>
        </w:rPr>
      </w:pPr>
    </w:p>
    <w:p>
      <w:pPr>
        <w:pStyle w:val="28"/>
        <w:spacing w:line="411" w:lineRule="atLeast"/>
        <w:rPr>
          <w:rFonts w:ascii="Times New Roman" w:hAnsi="宋体"/>
          <w:b/>
          <w:bCs/>
          <w:color w:val="auto"/>
          <w:kern w:val="2"/>
          <w:sz w:val="28"/>
          <w:szCs w:val="21"/>
          <w:highlight w:val="none"/>
        </w:rPr>
      </w:pPr>
    </w:p>
    <w:p>
      <w:pPr>
        <w:pStyle w:val="28"/>
        <w:spacing w:line="411" w:lineRule="atLeast"/>
        <w:rPr>
          <w:rFonts w:ascii="Times New Roman" w:hAnsi="宋体"/>
          <w:b/>
          <w:bCs/>
          <w:color w:val="auto"/>
          <w:kern w:val="2"/>
          <w:sz w:val="28"/>
          <w:szCs w:val="21"/>
          <w:highlight w:val="none"/>
        </w:rPr>
      </w:pPr>
    </w:p>
    <w:p>
      <w:pPr>
        <w:pStyle w:val="28"/>
        <w:spacing w:line="411" w:lineRule="atLeast"/>
        <w:rPr>
          <w:rFonts w:ascii="Times New Roman" w:hAnsi="宋体"/>
          <w:b/>
          <w:bCs/>
          <w:color w:val="auto"/>
          <w:kern w:val="2"/>
          <w:sz w:val="28"/>
          <w:szCs w:val="21"/>
          <w:highlight w:val="none"/>
        </w:rPr>
      </w:pPr>
    </w:p>
    <w:p>
      <w:pPr>
        <w:pStyle w:val="28"/>
        <w:spacing w:line="411" w:lineRule="atLeast"/>
        <w:rPr>
          <w:rFonts w:ascii="Times New Roman" w:hAnsi="宋体"/>
          <w:b/>
          <w:bCs/>
          <w:color w:val="auto"/>
          <w:kern w:val="2"/>
          <w:sz w:val="28"/>
          <w:szCs w:val="21"/>
          <w:highlight w:val="none"/>
        </w:rPr>
      </w:pPr>
    </w:p>
    <w:p>
      <w:pPr>
        <w:pStyle w:val="28"/>
        <w:spacing w:line="411" w:lineRule="atLeast"/>
        <w:rPr>
          <w:rFonts w:ascii="Times New Roman" w:hAnsi="宋体"/>
          <w:b/>
          <w:bCs/>
          <w:color w:val="auto"/>
          <w:kern w:val="2"/>
          <w:sz w:val="28"/>
          <w:szCs w:val="21"/>
          <w:highlight w:val="none"/>
        </w:rPr>
      </w:pPr>
    </w:p>
    <w:p>
      <w:pPr>
        <w:pStyle w:val="28"/>
        <w:spacing w:line="411" w:lineRule="atLeast"/>
        <w:rPr>
          <w:rFonts w:ascii="Times New Roman" w:hAnsi="宋体"/>
          <w:b/>
          <w:bCs/>
          <w:color w:val="auto"/>
          <w:kern w:val="2"/>
          <w:sz w:val="28"/>
          <w:szCs w:val="21"/>
          <w:highlight w:val="none"/>
        </w:rPr>
      </w:pPr>
    </w:p>
    <w:p>
      <w:pPr>
        <w:pStyle w:val="28"/>
        <w:spacing w:line="411" w:lineRule="atLeast"/>
        <w:rPr>
          <w:rFonts w:ascii="Times New Roman" w:hAnsi="宋体"/>
          <w:b/>
          <w:bCs/>
          <w:color w:val="auto"/>
          <w:kern w:val="2"/>
          <w:sz w:val="28"/>
          <w:szCs w:val="21"/>
          <w:highlight w:val="none"/>
        </w:rPr>
      </w:pPr>
    </w:p>
    <w:p>
      <w:pPr>
        <w:pStyle w:val="28"/>
        <w:spacing w:line="411" w:lineRule="atLeast"/>
        <w:rPr>
          <w:rFonts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r>
        <w:rPr>
          <w:rFonts w:hint="eastAsia" w:ascii="Times New Roman" w:hAnsi="宋体"/>
          <w:b/>
          <w:bCs/>
          <w:color w:val="auto"/>
          <w:kern w:val="2"/>
          <w:sz w:val="28"/>
          <w:szCs w:val="21"/>
          <w:highlight w:val="none"/>
        </w:rPr>
        <w:t>附件1</w:t>
      </w: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公共直饮水机更换的点位和数量</w:t>
      </w:r>
    </w:p>
    <w:p>
      <w:pPr>
        <w:jc w:val="center"/>
        <w:rPr>
          <w:rFonts w:ascii="仿宋" w:hAnsi="仿宋" w:eastAsia="仿宋" w:cs="仿宋"/>
          <w:color w:val="auto"/>
          <w:sz w:val="32"/>
          <w:szCs w:val="32"/>
          <w:highlight w:val="none"/>
        </w:rPr>
      </w:pPr>
    </w:p>
    <w:tbl>
      <w:tblPr>
        <w:tblStyle w:val="19"/>
        <w:tblW w:w="8388" w:type="dxa"/>
        <w:jc w:val="center"/>
        <w:tblLayout w:type="fixed"/>
        <w:tblCellMar>
          <w:top w:w="0" w:type="dxa"/>
          <w:left w:w="108" w:type="dxa"/>
          <w:bottom w:w="0" w:type="dxa"/>
          <w:right w:w="108" w:type="dxa"/>
        </w:tblCellMar>
      </w:tblPr>
      <w:tblGrid>
        <w:gridCol w:w="820"/>
        <w:gridCol w:w="1255"/>
        <w:gridCol w:w="4322"/>
        <w:gridCol w:w="1023"/>
        <w:gridCol w:w="968"/>
      </w:tblGrid>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区域</w:t>
            </w: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实物安装地点</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数量（台）</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255"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w:t>
            </w:r>
          </w:p>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（33台）</w:t>
            </w: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主楼三层C岛旁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主楼三层E岛旁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主楼三层F岛旁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停用</w:t>
            </w: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主楼三层G岛旁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停用</w:t>
            </w: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主楼三层N岛旁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主楼一层20号门旁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主楼一层21号门旁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主楼一层28号门过夜旅客休息区</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主楼一层29号门航延区</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主楼一层彼得牛商铺旁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主楼一层瓷面商铺旁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主楼三层8号门旁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p>
        </w:tc>
        <w:tc>
          <w:tcPr>
            <w:tcW w:w="1255" w:type="dxa"/>
            <w:vMerge w:val="continue"/>
            <w:tcBorders>
              <w:left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主楼三层9号门旁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w:t>
            </w:r>
          </w:p>
        </w:tc>
        <w:tc>
          <w:tcPr>
            <w:tcW w:w="1255"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主楼负一层胶囊旅馆旁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w:t>
            </w:r>
          </w:p>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(26台)</w:t>
            </w: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东一连二层中转附近</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16</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东一指三层A109登机口旁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17</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东一指三层A101登机口旁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18</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东一指A103登机口旁下沉洗手间</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19</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东一指A111登机口旁下沉洗手间</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东一远机位A03登机口旁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东一到达1号转盘旁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东一到达E1出口旁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东一指一层外场A109桥附近</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东一指一层外场A102桥附近</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32"/>
                <w:szCs w:val="32"/>
                <w:highlight w:val="none"/>
              </w:rPr>
              <w:t>联检工作区</w:t>
            </w: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东二加建平台二层</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东一海关饭堂</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东一A1908边检办公室</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东一A2033边检办公室</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东一A2026边检办公室</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30</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东一A2021边检办公室</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东二 </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(13台)</w:t>
            </w: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东二指三层A115登机口旁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停用</w:t>
            </w: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东二指三层A116登机口旁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33</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东二指三层A114登机口旁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东二远机位A09登机口旁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35</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东二指二层A113到达口旁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36</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东二指一层外场</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东三</w:t>
            </w:r>
          </w:p>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(19台)</w:t>
            </w: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东三连三层AL-305洗手间旁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38</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东三连三层AL-306洗手间旁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39</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东三指三层A125登机口</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40</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东三指三层A131登机口</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东三远机位A17登机口旁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东三指二层A124到达口旁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东三到达A8门洗手间旁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东三指一层外场</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45</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w:t>
            </w:r>
          </w:p>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(18台)</w:t>
            </w: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西一指三层B213登机口旁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46</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西一指B211登机口旁下沉洗手间</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47</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西一指三层B208登机口旁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48</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西一指B201登机口旁下沉洗手间</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49</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西一远机位B03登机口旁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50</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西一连三层BL-302洗手间旁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西一指二楼B213到达口旁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西一指一层外场</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西二</w:t>
            </w:r>
          </w:p>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(15台)</w:t>
            </w: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西二指三层B216登机口旁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西二指B222登机口旁下沉洗手间</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55</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西二指三层B214登机口旁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56</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西二远机位B10登机口旁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57</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西二指二层B223到达口旁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58</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西二中转休息室（新增点位）</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59</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西二指一层外场</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60</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西三</w:t>
            </w:r>
          </w:p>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(23台)</w:t>
            </w: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西三连三层BL-304洗手间旁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西三连三层BL-305洗手间旁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西三指三层B224登机口旁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西三指三层B232登机口旁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西三远机位B13登机口旁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B901-909远机位</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西三指二层B235到达口旁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67</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西三指一层外场</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68</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西三到达B8门洗手间旁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69</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p>
        </w:tc>
        <w:tc>
          <w:tcPr>
            <w:tcW w:w="432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西一到达B4门旁</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40" w:hRule="atLeast"/>
          <w:jc w:val="center"/>
        </w:trPr>
        <w:tc>
          <w:tcPr>
            <w:tcW w:w="639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合计</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auto"/>
                <w:sz w:val="28"/>
                <w:szCs w:val="28"/>
                <w:highlight w:val="none"/>
              </w:rPr>
            </w:pPr>
          </w:p>
        </w:tc>
      </w:tr>
    </w:tbl>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ascii="Times New Roman" w:hAnsi="宋体"/>
          <w:b/>
          <w:bCs/>
          <w:color w:val="auto"/>
          <w:kern w:val="2"/>
          <w:sz w:val="28"/>
          <w:szCs w:val="21"/>
          <w:highlight w:val="none"/>
        </w:rPr>
      </w:pPr>
    </w:p>
    <w:p>
      <w:pPr>
        <w:pStyle w:val="28"/>
        <w:spacing w:line="411" w:lineRule="atLeast"/>
        <w:rPr>
          <w:rFonts w:hint="eastAsia" w:hAnsi="宋体" w:eastAsia="宋体"/>
          <w:b/>
          <w:bCs/>
          <w:color w:val="auto"/>
          <w:sz w:val="21"/>
          <w:szCs w:val="21"/>
          <w:highlight w:val="none"/>
          <w:lang w:eastAsia="zh-CN"/>
        </w:rPr>
      </w:pPr>
      <w:r>
        <w:rPr>
          <w:rFonts w:hint="eastAsia" w:ascii="Times New Roman" w:hAnsi="宋体"/>
          <w:b/>
          <w:bCs/>
          <w:color w:val="auto"/>
          <w:kern w:val="2"/>
          <w:sz w:val="28"/>
          <w:szCs w:val="21"/>
          <w:highlight w:val="none"/>
        </w:rPr>
        <w:t>附件</w:t>
      </w:r>
      <w:r>
        <w:rPr>
          <w:rFonts w:hint="eastAsia" w:ascii="Times New Roman" w:hAnsi="宋体"/>
          <w:b/>
          <w:bCs/>
          <w:color w:val="auto"/>
          <w:kern w:val="2"/>
          <w:sz w:val="28"/>
          <w:szCs w:val="21"/>
          <w:highlight w:val="none"/>
          <w:lang w:val="en-US" w:eastAsia="zh-CN"/>
        </w:rPr>
        <w:t>2</w:t>
      </w:r>
    </w:p>
    <w:p>
      <w:pPr>
        <w:pStyle w:val="7"/>
        <w:ind w:left="0" w:leftChars="0"/>
        <w:jc w:val="center"/>
        <w:outlineLvl w:val="0"/>
        <w:rPr>
          <w:rFonts w:ascii="宋体" w:hAnsi="宋体"/>
          <w:b/>
          <w:color w:val="auto"/>
          <w:sz w:val="44"/>
          <w:szCs w:val="44"/>
          <w:highlight w:val="none"/>
          <w:lang w:val="zh-CN"/>
        </w:rPr>
      </w:pPr>
      <w:r>
        <w:rPr>
          <w:rFonts w:hint="eastAsia" w:ascii="宋体" w:hAnsi="宋体"/>
          <w:b/>
          <w:color w:val="auto"/>
          <w:sz w:val="44"/>
          <w:szCs w:val="44"/>
          <w:highlight w:val="none"/>
          <w:lang w:val="zh-CN"/>
        </w:rPr>
        <w:t>广州白云国际机场廉洁协议</w:t>
      </w:r>
    </w:p>
    <w:p>
      <w:pPr>
        <w:rPr>
          <w:color w:val="auto"/>
          <w:sz w:val="28"/>
          <w:szCs w:val="28"/>
          <w:highlight w:val="none"/>
        </w:rPr>
      </w:pP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为保障双方在业务来往中的合法权益，降低交易成本，提高工作效率，保障各自经济利益，保持廉洁自律，促进廉洁从业，防止各种违法及不正当行为的发生，预防商业贿赂和不正当竞争，甲、乙双方就合作过程中员工职业操守等事宜订立本协议。</w:t>
      </w:r>
    </w:p>
    <w:p>
      <w:pPr>
        <w:adjustRightInd w:val="0"/>
        <w:snapToGrid w:val="0"/>
        <w:spacing w:line="360" w:lineRule="auto"/>
        <w:ind w:firstLine="480" w:firstLineChars="200"/>
        <w:outlineLvl w:val="0"/>
        <w:rPr>
          <w:rFonts w:ascii="宋体" w:hAnsi="宋体" w:cs="宋体"/>
          <w:color w:val="auto"/>
          <w:kern w:val="2"/>
          <w:highlight w:val="none"/>
        </w:rPr>
      </w:pPr>
      <w:r>
        <w:rPr>
          <w:rFonts w:hint="eastAsia" w:ascii="宋体" w:hAnsi="宋体" w:cs="宋体"/>
          <w:color w:val="auto"/>
          <w:kern w:val="2"/>
          <w:highlight w:val="none"/>
        </w:rPr>
        <w:t>1.本协议适用范围</w:t>
      </w: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甲乙双方一致确认，本协议效力适用于甲方与乙方（含分支机构等关联机构）的所有业务合作往来的全过程，包括但不限于招投标、网上竞价、综合评审、竞争性谈判、单一来源采购、直接采购等物资、服务采购环节及合同签订、履行环节等。</w:t>
      </w:r>
    </w:p>
    <w:p>
      <w:pPr>
        <w:adjustRightInd w:val="0"/>
        <w:snapToGrid w:val="0"/>
        <w:spacing w:line="360" w:lineRule="auto"/>
        <w:ind w:firstLine="480" w:firstLineChars="200"/>
        <w:outlineLvl w:val="0"/>
        <w:rPr>
          <w:rFonts w:ascii="宋体" w:hAnsi="宋体" w:cs="宋体"/>
          <w:color w:val="auto"/>
          <w:kern w:val="2"/>
          <w:highlight w:val="none"/>
        </w:rPr>
      </w:pPr>
      <w:r>
        <w:rPr>
          <w:rFonts w:hint="eastAsia" w:ascii="宋体" w:hAnsi="宋体" w:cs="宋体"/>
          <w:color w:val="auto"/>
          <w:kern w:val="2"/>
          <w:highlight w:val="none"/>
        </w:rPr>
        <w:t>2.本协议期限</w:t>
      </w: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本协议期限与主合同保持一致。</w:t>
      </w:r>
    </w:p>
    <w:p>
      <w:pPr>
        <w:adjustRightInd w:val="0"/>
        <w:snapToGrid w:val="0"/>
        <w:spacing w:line="360" w:lineRule="auto"/>
        <w:ind w:firstLine="480" w:firstLineChars="200"/>
        <w:outlineLvl w:val="0"/>
        <w:rPr>
          <w:rFonts w:ascii="宋体" w:hAnsi="宋体" w:cs="宋体"/>
          <w:color w:val="auto"/>
          <w:kern w:val="2"/>
          <w:highlight w:val="none"/>
        </w:rPr>
      </w:pPr>
      <w:r>
        <w:rPr>
          <w:rFonts w:hint="eastAsia" w:ascii="宋体" w:hAnsi="宋体" w:cs="宋体"/>
          <w:color w:val="auto"/>
          <w:kern w:val="2"/>
          <w:highlight w:val="none"/>
        </w:rPr>
        <w:t>3.双方职责</w:t>
      </w: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3.1 甲、乙双方应当自觉遵守国家关于廉洁从业的各项规定。双方应对各自工作人员开展廉洁教育，增强相关人员廉洁自律的意识。双方人员的业务活动应坚持公开、公平、公正的原则，不得损害国家和企业利益。</w:t>
      </w: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3.2 合同一方及其工作人员应当保持与合同相对方及其工作人员的正常业务交往，不得向对方工作人员及其亲属有以下任何一项行为：</w:t>
      </w: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3.2.1 支付回扣等好处费；</w:t>
      </w: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3.2.2 支付礼金、有价证券或贵重物品，或报销任何应由个人支付的费用；</w:t>
      </w: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3.2.3 为对方工作人员购置或者提供通讯工具、交通工具、家电、高档办公用品等物品；</w:t>
      </w: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3.2.4 邀请对方工作人员参加可能对其公正执行职务有影响的宴请、旅游或其它娱乐活动；</w:t>
      </w: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3.2.5 为对方工作人员提供住房装修、婚丧嫁娶、家属的工作安排或出国（出境）等提供方便或财物支持；</w:t>
      </w: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3.2.6 与对方工作人员就双方合作内容涉及的权利义务变更等进行私下商谈或者达成默契；</w:t>
      </w: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3.2.7 其它可能对对方工作人员公正执行职务有影响的不当行为。</w:t>
      </w: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3.3 合同一方及其工作人员在履约过程中应当廉洁自律，不得向对方的客户索取和收受财物、有价证券或其他好处。</w:t>
      </w: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3.4 乙方如发现甲方工作人员违反协议，收受对方好处或有其它不当行为的，应向甲方指定纪检监察部门举报。接受举报一方不得以任何借口对举报方进行报复。</w:t>
      </w: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甲方指定纪检监察部门接受举报的电话或邮箱：</w:t>
      </w:r>
      <w:r>
        <w:rPr>
          <w:rFonts w:hint="eastAsia" w:ascii="宋体" w:hAnsi="宋体" w:cs="宋体"/>
          <w:color w:val="auto"/>
          <w:kern w:val="2"/>
          <w:highlight w:val="none"/>
          <w:u w:val="single"/>
        </w:rPr>
        <w:t xml:space="preserve"> 020-36066057。</w:t>
      </w:r>
    </w:p>
    <w:p>
      <w:pPr>
        <w:adjustRightInd w:val="0"/>
        <w:snapToGrid w:val="0"/>
        <w:spacing w:line="360" w:lineRule="auto"/>
        <w:ind w:firstLine="480" w:firstLineChars="200"/>
        <w:outlineLvl w:val="0"/>
        <w:rPr>
          <w:rFonts w:ascii="宋体" w:hAnsi="宋体" w:cs="宋体"/>
          <w:color w:val="auto"/>
          <w:kern w:val="2"/>
          <w:highlight w:val="none"/>
        </w:rPr>
      </w:pPr>
      <w:r>
        <w:rPr>
          <w:rFonts w:hint="eastAsia" w:ascii="宋体" w:hAnsi="宋体" w:cs="宋体"/>
          <w:color w:val="auto"/>
          <w:kern w:val="2"/>
          <w:highlight w:val="none"/>
        </w:rPr>
        <w:t>4.违约责任</w:t>
      </w: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4.1 协议中任何一方因不履行本协议下约定内容导致的一切后果，应自行承担。</w:t>
      </w: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4.2 乙方存在违反廉洁协议约定情形的，甲方有权扣除乙方合同价款2%作为廉洁违约金。情节严重的，甲方有权单方面免责解除合同，并将乙方列入白云机场“不予合作对象名单”，保留追溯乙方非法获利、赔偿甲方损失的权利。</w:t>
      </w:r>
    </w:p>
    <w:p>
      <w:pPr>
        <w:adjustRightInd w:val="0"/>
        <w:snapToGrid w:val="0"/>
        <w:spacing w:line="360" w:lineRule="auto"/>
        <w:ind w:firstLine="480" w:firstLineChars="200"/>
        <w:outlineLvl w:val="0"/>
        <w:rPr>
          <w:rFonts w:ascii="宋体" w:hAnsi="宋体" w:cs="宋体"/>
          <w:color w:val="auto"/>
          <w:kern w:val="2"/>
          <w:highlight w:val="none"/>
        </w:rPr>
      </w:pPr>
      <w:r>
        <w:rPr>
          <w:rFonts w:hint="eastAsia" w:ascii="宋体" w:hAnsi="宋体" w:cs="宋体"/>
          <w:color w:val="auto"/>
          <w:kern w:val="2"/>
          <w:highlight w:val="none"/>
        </w:rPr>
        <w:t>5.其他事项</w:t>
      </w: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5.1 本廉洁协议作为甲方招标、采购文件的一部分，与主合同具有同等法律效力。</w:t>
      </w:r>
    </w:p>
    <w:p>
      <w:pPr>
        <w:adjustRightInd w:val="0"/>
        <w:snapToGrid w:val="0"/>
        <w:spacing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5.2 本廉洁协议一式</w:t>
      </w:r>
      <w:r>
        <w:rPr>
          <w:rFonts w:hint="eastAsia" w:ascii="宋体" w:hAnsi="宋体" w:cs="宋体"/>
          <w:color w:val="auto"/>
          <w:kern w:val="2"/>
          <w:highlight w:val="none"/>
          <w:u w:val="single"/>
        </w:rPr>
        <w:t xml:space="preserve"> 陆 </w:t>
      </w:r>
      <w:r>
        <w:rPr>
          <w:rFonts w:hint="eastAsia" w:ascii="宋体" w:hAnsi="宋体" w:cs="宋体"/>
          <w:color w:val="auto"/>
          <w:kern w:val="2"/>
          <w:highlight w:val="none"/>
        </w:rPr>
        <w:t>份，甲方持</w:t>
      </w:r>
      <w:r>
        <w:rPr>
          <w:rFonts w:hint="eastAsia" w:ascii="宋体" w:hAnsi="宋体" w:cs="宋体"/>
          <w:color w:val="auto"/>
          <w:kern w:val="2"/>
          <w:highlight w:val="none"/>
          <w:u w:val="single"/>
        </w:rPr>
        <w:t xml:space="preserve"> 肆 </w:t>
      </w:r>
      <w:r>
        <w:rPr>
          <w:rFonts w:hint="eastAsia" w:ascii="宋体" w:hAnsi="宋体" w:cs="宋体"/>
          <w:color w:val="auto"/>
          <w:kern w:val="2"/>
          <w:highlight w:val="none"/>
        </w:rPr>
        <w:t>份，乙方持</w:t>
      </w:r>
      <w:r>
        <w:rPr>
          <w:rFonts w:hint="eastAsia" w:ascii="宋体" w:hAnsi="宋体" w:cs="宋体"/>
          <w:color w:val="auto"/>
          <w:kern w:val="2"/>
          <w:highlight w:val="none"/>
          <w:u w:val="single"/>
        </w:rPr>
        <w:t xml:space="preserve"> 贰 </w:t>
      </w:r>
      <w:r>
        <w:rPr>
          <w:rFonts w:hint="eastAsia" w:ascii="宋体" w:hAnsi="宋体" w:cs="宋体"/>
          <w:color w:val="auto"/>
          <w:kern w:val="2"/>
          <w:highlight w:val="none"/>
        </w:rPr>
        <w:t>份。</w:t>
      </w:r>
    </w:p>
    <w:p>
      <w:pPr>
        <w:pStyle w:val="7"/>
        <w:ind w:left="480"/>
        <w:rPr>
          <w:rFonts w:ascii="宋体" w:hAnsi="宋体" w:cs="宋体"/>
          <w:color w:val="auto"/>
          <w:kern w:val="2"/>
          <w:highlight w:val="none"/>
        </w:rPr>
      </w:pPr>
    </w:p>
    <w:p>
      <w:pPr>
        <w:spacing w:line="460" w:lineRule="exact"/>
        <w:rPr>
          <w:rFonts w:ascii="仿宋_GB2312" w:hAnsi="宋体" w:eastAsia="仿宋_GB2312" w:cs="微软雅黑"/>
          <w:b/>
          <w:color w:val="auto"/>
          <w:sz w:val="32"/>
          <w:szCs w:val="32"/>
          <w:highlight w:val="none"/>
        </w:rPr>
      </w:pPr>
    </w:p>
    <w:p>
      <w:pPr>
        <w:spacing w:line="460" w:lineRule="exact"/>
        <w:rPr>
          <w:rFonts w:ascii="仿宋_GB2312" w:hAnsi="宋体" w:eastAsia="仿宋_GB2312" w:cs="微软雅黑"/>
          <w:b/>
          <w:color w:val="auto"/>
          <w:sz w:val="32"/>
          <w:szCs w:val="32"/>
          <w:highlight w:val="none"/>
        </w:rPr>
      </w:pPr>
    </w:p>
    <w:p>
      <w:pPr>
        <w:spacing w:line="460" w:lineRule="exact"/>
        <w:rPr>
          <w:rFonts w:ascii="仿宋_GB2312" w:hAnsi="宋体" w:eastAsia="仿宋_GB2312" w:cs="微软雅黑"/>
          <w:b/>
          <w:color w:val="auto"/>
          <w:sz w:val="32"/>
          <w:szCs w:val="32"/>
          <w:highlight w:val="none"/>
        </w:rPr>
      </w:pPr>
    </w:p>
    <w:p>
      <w:pPr>
        <w:spacing w:line="460" w:lineRule="exact"/>
        <w:rPr>
          <w:rFonts w:ascii="仿宋_GB2312" w:hAnsi="宋体" w:eastAsia="仿宋_GB2312" w:cs="微软雅黑"/>
          <w:b/>
          <w:color w:val="auto"/>
          <w:sz w:val="32"/>
          <w:szCs w:val="32"/>
          <w:highlight w:val="none"/>
        </w:rPr>
      </w:pPr>
    </w:p>
    <w:p>
      <w:pPr>
        <w:spacing w:line="460" w:lineRule="exact"/>
        <w:rPr>
          <w:rFonts w:ascii="仿宋_GB2312" w:hAnsi="宋体" w:eastAsia="仿宋_GB2312" w:cs="微软雅黑"/>
          <w:b/>
          <w:color w:val="auto"/>
          <w:sz w:val="32"/>
          <w:szCs w:val="32"/>
          <w:highlight w:val="none"/>
        </w:rPr>
      </w:pPr>
    </w:p>
    <w:p>
      <w:pPr>
        <w:spacing w:line="460" w:lineRule="exact"/>
        <w:rPr>
          <w:rFonts w:ascii="仿宋_GB2312" w:hAnsi="宋体" w:eastAsia="仿宋_GB2312" w:cs="微软雅黑"/>
          <w:b/>
          <w:color w:val="auto"/>
          <w:sz w:val="32"/>
          <w:szCs w:val="32"/>
          <w:highlight w:val="none"/>
        </w:rPr>
      </w:pPr>
    </w:p>
    <w:p>
      <w:pPr>
        <w:spacing w:line="460" w:lineRule="exact"/>
        <w:rPr>
          <w:rFonts w:ascii="仿宋_GB2312" w:hAnsi="宋体" w:eastAsia="仿宋_GB2312" w:cs="微软雅黑"/>
          <w:b/>
          <w:color w:val="auto"/>
          <w:sz w:val="32"/>
          <w:szCs w:val="32"/>
          <w:highlight w:val="none"/>
        </w:rPr>
      </w:pPr>
    </w:p>
    <w:p>
      <w:pPr>
        <w:spacing w:line="460" w:lineRule="exact"/>
        <w:rPr>
          <w:rFonts w:ascii="仿宋_GB2312" w:hAnsi="宋体" w:eastAsia="仿宋_GB2312" w:cs="微软雅黑"/>
          <w:b/>
          <w:color w:val="auto"/>
          <w:sz w:val="32"/>
          <w:szCs w:val="32"/>
          <w:highlight w:val="none"/>
        </w:rPr>
      </w:pPr>
    </w:p>
    <w:p>
      <w:pPr>
        <w:spacing w:line="460" w:lineRule="exact"/>
        <w:rPr>
          <w:rFonts w:ascii="仿宋_GB2312" w:hAnsi="宋体" w:eastAsia="仿宋_GB2312" w:cs="微软雅黑"/>
          <w:b/>
          <w:color w:val="auto"/>
          <w:sz w:val="32"/>
          <w:szCs w:val="32"/>
          <w:highlight w:val="none"/>
        </w:rPr>
      </w:pPr>
    </w:p>
    <w:p>
      <w:pPr>
        <w:spacing w:line="460" w:lineRule="exact"/>
        <w:rPr>
          <w:rFonts w:ascii="仿宋_GB2312" w:hAnsi="宋体" w:eastAsia="仿宋_GB2312" w:cs="微软雅黑"/>
          <w:b/>
          <w:color w:val="auto"/>
          <w:sz w:val="32"/>
          <w:szCs w:val="32"/>
          <w:highlight w:val="none"/>
        </w:rPr>
      </w:pPr>
    </w:p>
    <w:p>
      <w:pPr>
        <w:spacing w:line="460" w:lineRule="exact"/>
        <w:rPr>
          <w:rFonts w:hint="eastAsia" w:ascii="仿宋_GB2312" w:hAnsi="宋体" w:eastAsia="仿宋_GB2312" w:cs="微软雅黑"/>
          <w:b/>
          <w:color w:val="auto"/>
          <w:sz w:val="32"/>
          <w:szCs w:val="32"/>
          <w:highlight w:val="none"/>
          <w:lang w:eastAsia="zh-CN"/>
        </w:rPr>
      </w:pPr>
      <w:r>
        <w:rPr>
          <w:rFonts w:hint="eastAsia" w:ascii="仿宋_GB2312" w:hAnsi="宋体" w:eastAsia="仿宋_GB2312" w:cs="微软雅黑"/>
          <w:b/>
          <w:color w:val="auto"/>
          <w:sz w:val="32"/>
          <w:szCs w:val="32"/>
          <w:highlight w:val="none"/>
        </w:rPr>
        <w:t>附件</w:t>
      </w:r>
      <w:r>
        <w:rPr>
          <w:rFonts w:hint="eastAsia" w:ascii="仿宋_GB2312" w:hAnsi="宋体" w:eastAsia="仿宋_GB2312" w:cs="微软雅黑"/>
          <w:b/>
          <w:color w:val="auto"/>
          <w:sz w:val="32"/>
          <w:szCs w:val="32"/>
          <w:highlight w:val="none"/>
          <w:lang w:val="en-US" w:eastAsia="zh-CN"/>
        </w:rPr>
        <w:t>3</w:t>
      </w:r>
    </w:p>
    <w:p>
      <w:pPr>
        <w:spacing w:line="600" w:lineRule="exact"/>
        <w:jc w:val="center"/>
        <w:rPr>
          <w:rFonts w:ascii="宋体" w:hAnsi="宋体"/>
          <w:b/>
          <w:color w:val="auto"/>
          <w:sz w:val="44"/>
          <w:szCs w:val="44"/>
          <w:highlight w:val="none"/>
        </w:rPr>
      </w:pPr>
      <w:r>
        <w:rPr>
          <w:rFonts w:hint="eastAsia" w:ascii="宋体" w:hAnsi="宋体"/>
          <w:b/>
          <w:color w:val="auto"/>
          <w:sz w:val="44"/>
          <w:szCs w:val="44"/>
          <w:highlight w:val="none"/>
        </w:rPr>
        <w:t>广州白云国际机场一号航站楼</w:t>
      </w:r>
    </w:p>
    <w:p>
      <w:pPr>
        <w:spacing w:line="600" w:lineRule="exact"/>
        <w:jc w:val="center"/>
        <w:rPr>
          <w:rFonts w:ascii="宋体" w:hAnsi="宋体"/>
          <w:b/>
          <w:color w:val="auto"/>
          <w:sz w:val="44"/>
          <w:szCs w:val="44"/>
          <w:highlight w:val="none"/>
        </w:rPr>
      </w:pPr>
      <w:r>
        <w:rPr>
          <w:rFonts w:hint="eastAsia" w:ascii="宋体" w:hAnsi="宋体" w:cs="微软雅黑"/>
          <w:b/>
          <w:color w:val="auto"/>
          <w:sz w:val="44"/>
          <w:szCs w:val="44"/>
          <w:highlight w:val="none"/>
        </w:rPr>
        <w:t>安全生产管理协议及安全考核办法</w:t>
      </w:r>
    </w:p>
    <w:p>
      <w:pPr>
        <w:spacing w:line="460" w:lineRule="exact"/>
        <w:ind w:firstLine="431" w:firstLineChars="196"/>
        <w:jc w:val="center"/>
        <w:rPr>
          <w:rFonts w:ascii="宋体" w:hAnsi="宋体"/>
          <w:color w:val="auto"/>
          <w:sz w:val="22"/>
          <w:highlight w:val="none"/>
        </w:rPr>
      </w:pPr>
    </w:p>
    <w:p>
      <w:pPr>
        <w:spacing w:line="460" w:lineRule="exact"/>
        <w:ind w:firstLine="470" w:firstLineChars="196"/>
        <w:rPr>
          <w:rFonts w:ascii="宋体" w:hAnsi="宋体"/>
          <w:color w:val="auto"/>
          <w:highlight w:val="none"/>
        </w:rPr>
      </w:pPr>
      <w:r>
        <w:rPr>
          <w:rFonts w:hint="eastAsia" w:ascii="宋体" w:hAnsi="宋体"/>
          <w:color w:val="auto"/>
          <w:highlight w:val="none"/>
        </w:rPr>
        <w:t>为加强一号航站楼辖区的安全管理，确保一号航站楼辖区安全运行，明确甲、乙双方的权利、责任和义务，经甲、乙双方协商，达成以下协议：</w:t>
      </w:r>
    </w:p>
    <w:p>
      <w:pPr>
        <w:spacing w:line="460" w:lineRule="exact"/>
        <w:ind w:firstLine="402" w:firstLineChars="200"/>
        <w:rPr>
          <w:rFonts w:ascii="宋体" w:hAnsi="宋体"/>
          <w:b/>
          <w:bCs/>
          <w:color w:val="auto"/>
          <w:sz w:val="20"/>
          <w:szCs w:val="20"/>
          <w:highlight w:val="none"/>
        </w:rPr>
      </w:pPr>
    </w:p>
    <w:p>
      <w:pPr>
        <w:spacing w:line="4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一、本协议用语的定义</w:t>
      </w:r>
    </w:p>
    <w:p>
      <w:pPr>
        <w:spacing w:line="460" w:lineRule="exact"/>
        <w:ind w:firstLine="480" w:firstLineChars="200"/>
        <w:rPr>
          <w:rFonts w:ascii="宋体" w:hAnsi="宋体"/>
          <w:color w:val="auto"/>
          <w:highlight w:val="none"/>
        </w:rPr>
      </w:pPr>
      <w:r>
        <w:rPr>
          <w:rFonts w:hint="eastAsia" w:ascii="宋体" w:hAnsi="宋体"/>
          <w:color w:val="auto"/>
          <w:highlight w:val="none"/>
        </w:rPr>
        <w:t>（一）生产安全事故，是指符合《生产安全事故报告和调查处理条例》（国务院令第</w:t>
      </w:r>
      <w:r>
        <w:rPr>
          <w:rFonts w:ascii="宋体" w:hAnsi="宋体"/>
          <w:color w:val="auto"/>
          <w:highlight w:val="none"/>
        </w:rPr>
        <w:t>493</w:t>
      </w:r>
      <w:r>
        <w:rPr>
          <w:rFonts w:hint="eastAsia" w:ascii="宋体" w:hAnsi="宋体"/>
          <w:color w:val="auto"/>
          <w:highlight w:val="none"/>
        </w:rPr>
        <w:t>号）及行业主管部门规章、标准的事故，分为特别重大事故、重大事故、较大事故和一般事故。</w:t>
      </w:r>
    </w:p>
    <w:p>
      <w:pPr>
        <w:spacing w:line="460" w:lineRule="exact"/>
        <w:ind w:firstLine="480" w:firstLineChars="200"/>
        <w:rPr>
          <w:rFonts w:ascii="宋体" w:hAnsi="宋体"/>
          <w:color w:val="auto"/>
          <w:highlight w:val="none"/>
        </w:rPr>
      </w:pPr>
      <w:r>
        <w:rPr>
          <w:rFonts w:hint="eastAsia" w:ascii="宋体" w:hAnsi="宋体"/>
          <w:color w:val="auto"/>
          <w:highlight w:val="none"/>
        </w:rPr>
        <w:t>（二）恶劣社会影响事件，是指给社会秩序、企业形象等造成严重损害，或引发、诱发群体性事件和大规模上访，引起中央、国家部委关注，或有大规模负面报道或互联网大面积转发、评论。</w:t>
      </w:r>
    </w:p>
    <w:p>
      <w:pPr>
        <w:pStyle w:val="11"/>
        <w:spacing w:line="460" w:lineRule="exact"/>
        <w:ind w:firstLine="480"/>
        <w:rPr>
          <w:rFonts w:cs="黑体"/>
          <w:color w:val="auto"/>
          <w:kern w:val="2"/>
          <w:highlight w:val="none"/>
        </w:rPr>
      </w:pPr>
      <w:r>
        <w:rPr>
          <w:rFonts w:hint="eastAsia" w:hAnsi="宋体" w:eastAsia="宋体"/>
          <w:color w:val="auto"/>
          <w:sz w:val="24"/>
          <w:szCs w:val="24"/>
          <w:highlight w:val="none"/>
          <w:lang w:val="en-US"/>
        </w:rPr>
        <w:t>（三）不安全事件，主要包括生产经营、运行保障活动中发生的航空、航空地面、空防、消防、交通、公共卫生、员工工伤伤亡、治安、综合治理等安全事故、事故征候、严重差错和一般差错不安全事件。</w:t>
      </w:r>
    </w:p>
    <w:p>
      <w:pPr>
        <w:spacing w:line="460" w:lineRule="exact"/>
        <w:ind w:firstLine="480" w:firstLineChars="200"/>
        <w:rPr>
          <w:rFonts w:ascii="宋体" w:hAnsi="宋体"/>
          <w:color w:val="auto"/>
          <w:highlight w:val="none"/>
        </w:rPr>
      </w:pPr>
      <w:r>
        <w:rPr>
          <w:rFonts w:hint="eastAsia" w:ascii="宋体" w:hAnsi="宋体"/>
          <w:color w:val="auto"/>
          <w:highlight w:val="none"/>
        </w:rPr>
        <w:t>事故征候，是指虽不构成事故但严重影响或可能严重影响安全的事件。</w:t>
      </w:r>
    </w:p>
    <w:p>
      <w:pPr>
        <w:spacing w:line="460" w:lineRule="exact"/>
        <w:ind w:firstLine="480" w:firstLineChars="200"/>
        <w:rPr>
          <w:rFonts w:ascii="宋体" w:hAnsi="宋体"/>
          <w:color w:val="auto"/>
          <w:highlight w:val="none"/>
        </w:rPr>
      </w:pPr>
      <w:r>
        <w:rPr>
          <w:rFonts w:hint="eastAsia" w:ascii="宋体" w:hAnsi="宋体"/>
          <w:color w:val="auto"/>
          <w:highlight w:val="none"/>
        </w:rPr>
        <w:t>严重差错，是指未构成事故征候但在一定程度上影响安全的事件。</w:t>
      </w:r>
    </w:p>
    <w:p>
      <w:pPr>
        <w:spacing w:line="460" w:lineRule="exact"/>
        <w:ind w:firstLine="480" w:firstLineChars="200"/>
        <w:rPr>
          <w:rFonts w:ascii="宋体" w:hAnsi="宋体"/>
          <w:color w:val="auto"/>
          <w:highlight w:val="none"/>
        </w:rPr>
      </w:pPr>
      <w:r>
        <w:rPr>
          <w:rFonts w:hint="eastAsia" w:ascii="宋体" w:hAnsi="宋体"/>
          <w:color w:val="auto"/>
          <w:highlight w:val="none"/>
        </w:rPr>
        <w:t>一般差错，是指未构成严重差错的事件。</w:t>
      </w:r>
    </w:p>
    <w:p>
      <w:pPr>
        <w:spacing w:line="460" w:lineRule="exact"/>
        <w:ind w:firstLine="480" w:firstLineChars="200"/>
        <w:rPr>
          <w:rFonts w:ascii="宋体" w:hAnsi="宋体"/>
          <w:color w:val="auto"/>
          <w:highlight w:val="none"/>
        </w:rPr>
      </w:pPr>
      <w:r>
        <w:rPr>
          <w:rFonts w:hint="eastAsia" w:ascii="宋体" w:hAnsi="宋体"/>
          <w:color w:val="auto"/>
          <w:highlight w:val="none"/>
        </w:rPr>
        <w:t>（四）安全隐患，是指生产经营违法安全生产法律、法规、规章、标准、规程和安全生产管理制度的规定，或者因其他因素在生产运行中存在可能导致事故发生的物的危险状态、人的不安全行为和管理等的缺陷和问题。</w:t>
      </w:r>
    </w:p>
    <w:p>
      <w:pPr>
        <w:spacing w:line="460" w:lineRule="exact"/>
        <w:ind w:firstLine="480" w:firstLineChars="200"/>
        <w:rPr>
          <w:rFonts w:ascii="宋体" w:hAnsi="宋体"/>
          <w:color w:val="auto"/>
          <w:highlight w:val="none"/>
        </w:rPr>
      </w:pPr>
      <w:r>
        <w:rPr>
          <w:rFonts w:hint="eastAsia" w:ascii="宋体" w:hAnsi="宋体"/>
          <w:color w:val="auto"/>
          <w:highlight w:val="none"/>
        </w:rPr>
        <w:t>（五）外包业务，是指企业将日常经营中部分非核心或辅助性的业务委托给本企业以外的专业服务机构或其它经济组织（以下简称承包单位）完成的经营行为。</w:t>
      </w:r>
    </w:p>
    <w:p>
      <w:pPr>
        <w:spacing w:line="460" w:lineRule="exact"/>
        <w:ind w:firstLine="562" w:firstLineChars="200"/>
        <w:rPr>
          <w:rFonts w:ascii="宋体" w:hAnsi="宋体"/>
          <w:b/>
          <w:bCs/>
          <w:color w:val="auto"/>
          <w:sz w:val="28"/>
          <w:szCs w:val="28"/>
          <w:highlight w:val="none"/>
        </w:rPr>
      </w:pPr>
    </w:p>
    <w:p>
      <w:pPr>
        <w:spacing w:line="4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二、本协议的适用范围</w:t>
      </w:r>
    </w:p>
    <w:p>
      <w:pPr>
        <w:spacing w:line="460" w:lineRule="exact"/>
        <w:ind w:firstLine="470" w:firstLineChars="196"/>
        <w:rPr>
          <w:rFonts w:ascii="宋体" w:hAnsi="宋体"/>
          <w:color w:val="auto"/>
          <w:highlight w:val="none"/>
        </w:rPr>
      </w:pPr>
      <w:r>
        <w:rPr>
          <w:rFonts w:hint="eastAsia" w:ascii="宋体" w:hAnsi="宋体"/>
          <w:color w:val="auto"/>
          <w:highlight w:val="none"/>
        </w:rPr>
        <w:t>（一）本协议适用于与甲方签署合同或协议的承包单位；</w:t>
      </w:r>
    </w:p>
    <w:p>
      <w:pPr>
        <w:spacing w:line="460" w:lineRule="exact"/>
        <w:ind w:firstLine="470" w:firstLineChars="196"/>
        <w:rPr>
          <w:rFonts w:ascii="宋体" w:hAnsi="宋体"/>
          <w:color w:val="auto"/>
          <w:highlight w:val="none"/>
        </w:rPr>
      </w:pPr>
      <w:r>
        <w:rPr>
          <w:rFonts w:hint="eastAsia" w:ascii="宋体" w:hAnsi="宋体"/>
          <w:color w:val="auto"/>
          <w:highlight w:val="none"/>
        </w:rPr>
        <w:t xml:space="preserve">（二）本协议系甲、乙双方签署合同或协议的附件，除甲、乙双方以书面形式对本协议进行解除的情形外，本协议的效力与甲乙双方签订的主合同效力一致。 </w:t>
      </w:r>
      <w:r>
        <w:rPr>
          <w:rFonts w:ascii="宋体" w:hAnsi="宋体"/>
          <w:color w:val="auto"/>
          <w:highlight w:val="none"/>
        </w:rPr>
        <w:t xml:space="preserve"> </w:t>
      </w:r>
    </w:p>
    <w:p>
      <w:pPr>
        <w:spacing w:line="460" w:lineRule="exact"/>
        <w:ind w:firstLine="562" w:firstLineChars="200"/>
        <w:rPr>
          <w:rFonts w:ascii="宋体" w:hAnsi="宋体"/>
          <w:b/>
          <w:bCs/>
          <w:color w:val="auto"/>
          <w:sz w:val="28"/>
          <w:szCs w:val="28"/>
          <w:highlight w:val="none"/>
        </w:rPr>
      </w:pPr>
    </w:p>
    <w:p>
      <w:pPr>
        <w:spacing w:line="4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三、甲方的责任和义务</w:t>
      </w:r>
    </w:p>
    <w:p>
      <w:pPr>
        <w:spacing w:line="460" w:lineRule="exact"/>
        <w:ind w:firstLine="480" w:firstLineChars="200"/>
        <w:rPr>
          <w:rFonts w:ascii="宋体" w:hAnsi="宋体"/>
          <w:color w:val="auto"/>
          <w:highlight w:val="none"/>
        </w:rPr>
      </w:pPr>
      <w:r>
        <w:rPr>
          <w:rFonts w:hint="eastAsia" w:ascii="宋体" w:hAnsi="宋体"/>
          <w:color w:val="auto"/>
          <w:highlight w:val="none"/>
        </w:rPr>
        <w:t>甲方作为广州白云国际机场股份有限公司（机场管理机构）授权的广州白云国际机场一号航站楼（以下简称“一号航站楼”）管理主体，履行</w:t>
      </w:r>
      <w:r>
        <w:rPr>
          <w:rFonts w:ascii="宋体" w:hAnsi="宋体"/>
          <w:color w:val="auto"/>
          <w:highlight w:val="none"/>
        </w:rPr>
        <w:t>业主职责，</w:t>
      </w:r>
      <w:r>
        <w:rPr>
          <w:rFonts w:hint="eastAsia" w:ascii="宋体" w:hAnsi="宋体"/>
          <w:color w:val="auto"/>
          <w:highlight w:val="none"/>
        </w:rPr>
        <w:t>依照《中华人民共和国安全生产法》等国家、行业、地方政府有关安全生产法律、法规、规章、标准和程序，以及广州白云国际机场</w:t>
      </w:r>
      <w:r>
        <w:rPr>
          <w:rFonts w:ascii="宋体" w:hAnsi="宋体"/>
          <w:color w:val="auto"/>
          <w:highlight w:val="none"/>
        </w:rPr>
        <w:t>有关安全管理制度、规定</w:t>
      </w:r>
      <w:r>
        <w:rPr>
          <w:rFonts w:hint="eastAsia" w:ascii="宋体" w:hAnsi="宋体"/>
          <w:color w:val="auto"/>
          <w:highlight w:val="none"/>
        </w:rPr>
        <w:t>，对一号航站楼生产、经营、服务、</w:t>
      </w:r>
      <w:r>
        <w:rPr>
          <w:rFonts w:ascii="宋体" w:hAnsi="宋体"/>
          <w:color w:val="auto"/>
          <w:highlight w:val="none"/>
        </w:rPr>
        <w:t>保障</w:t>
      </w:r>
      <w:r>
        <w:rPr>
          <w:rFonts w:hint="eastAsia" w:ascii="宋体" w:hAnsi="宋体"/>
          <w:color w:val="auto"/>
          <w:highlight w:val="none"/>
        </w:rPr>
        <w:t>等单位实施安全监管，对一号航站楼生产、经营、服务、</w:t>
      </w:r>
      <w:r>
        <w:rPr>
          <w:rFonts w:ascii="宋体" w:hAnsi="宋体"/>
          <w:color w:val="auto"/>
          <w:highlight w:val="none"/>
        </w:rPr>
        <w:t>保障</w:t>
      </w:r>
      <w:r>
        <w:rPr>
          <w:rFonts w:hint="eastAsia" w:ascii="宋体" w:hAnsi="宋体"/>
          <w:color w:val="auto"/>
          <w:highlight w:val="none"/>
        </w:rPr>
        <w:t>等活动承担安全监管责任。</w:t>
      </w:r>
    </w:p>
    <w:p>
      <w:pPr>
        <w:spacing w:line="460" w:lineRule="exact"/>
        <w:ind w:firstLine="482" w:firstLineChars="200"/>
        <w:rPr>
          <w:rFonts w:ascii="宋体" w:hAnsi="宋体"/>
          <w:b/>
          <w:bCs/>
          <w:color w:val="auto"/>
          <w:highlight w:val="none"/>
        </w:rPr>
      </w:pPr>
      <w:r>
        <w:rPr>
          <w:rFonts w:hint="eastAsia" w:ascii="宋体" w:hAnsi="宋体"/>
          <w:b/>
          <w:bCs/>
          <w:color w:val="auto"/>
          <w:highlight w:val="none"/>
        </w:rPr>
        <w:t>（一）甲方的责任和义务</w:t>
      </w:r>
    </w:p>
    <w:p>
      <w:pPr>
        <w:tabs>
          <w:tab w:val="left" w:pos="1276"/>
        </w:tabs>
        <w:spacing w:line="460" w:lineRule="exact"/>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甲方依照安全生产法律、法规和机场管理机构、一号航站楼及甲方相关管理规章和标准实施安全监管。</w:t>
      </w:r>
    </w:p>
    <w:p>
      <w:pPr>
        <w:tabs>
          <w:tab w:val="left" w:pos="1276"/>
        </w:tabs>
        <w:spacing w:line="460" w:lineRule="exact"/>
        <w:ind w:firstLine="48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甲方对乙方的生产、经营、服务、</w:t>
      </w:r>
      <w:r>
        <w:rPr>
          <w:rFonts w:ascii="宋体" w:hAnsi="宋体"/>
          <w:color w:val="auto"/>
          <w:highlight w:val="none"/>
        </w:rPr>
        <w:t>保障</w:t>
      </w:r>
      <w:r>
        <w:rPr>
          <w:rFonts w:hint="eastAsia" w:ascii="宋体" w:hAnsi="宋体"/>
          <w:color w:val="auto"/>
          <w:highlight w:val="none"/>
        </w:rPr>
        <w:t>等活动实施安全监管，对乙方的安全运行实施持续监督、专项管控，履行监管职责，监督乙方安全动态，对重点时段、重要部位、关键环节实施重点监管。</w:t>
      </w:r>
    </w:p>
    <w:p>
      <w:pPr>
        <w:tabs>
          <w:tab w:val="left" w:pos="1276"/>
        </w:tabs>
        <w:spacing w:line="460" w:lineRule="exact"/>
        <w:ind w:firstLine="48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甲方应建立和完善监管机制，规范监管行为，确保监管行为的合法性，严肃处理违规监管的部门和工作人员。</w:t>
      </w:r>
    </w:p>
    <w:p>
      <w:pPr>
        <w:tabs>
          <w:tab w:val="left" w:pos="1276"/>
        </w:tabs>
        <w:spacing w:line="460" w:lineRule="exact"/>
        <w:ind w:firstLine="480" w:firstLineChars="200"/>
        <w:rPr>
          <w:rFonts w:ascii="宋体" w:hAnsi="宋体"/>
          <w:color w:val="auto"/>
          <w:highlight w:val="none"/>
        </w:rPr>
      </w:pPr>
      <w:r>
        <w:rPr>
          <w:rFonts w:hint="eastAsia" w:ascii="宋体" w:hAnsi="宋体"/>
          <w:color w:val="auto"/>
          <w:highlight w:val="none"/>
        </w:rPr>
        <w:t>4</w:t>
      </w:r>
      <w:r>
        <w:rPr>
          <w:rFonts w:ascii="宋体" w:hAnsi="宋体"/>
          <w:color w:val="auto"/>
          <w:highlight w:val="none"/>
        </w:rPr>
        <w:t>.</w:t>
      </w:r>
      <w:r>
        <w:rPr>
          <w:rFonts w:hint="eastAsia" w:ascii="宋体" w:hAnsi="宋体"/>
          <w:color w:val="auto"/>
          <w:highlight w:val="none"/>
        </w:rPr>
        <w:t>甲方对乙方发生的突出安全问题和重大安全隐患，采取情况通报、下发《安全隐患整改通知单》、《安全警示》、安全</w:t>
      </w:r>
      <w:r>
        <w:rPr>
          <w:rFonts w:ascii="宋体" w:hAnsi="宋体"/>
          <w:color w:val="auto"/>
          <w:highlight w:val="none"/>
        </w:rPr>
        <w:t>约谈</w:t>
      </w:r>
      <w:r>
        <w:rPr>
          <w:rFonts w:hint="eastAsia" w:ascii="宋体" w:hAnsi="宋体"/>
          <w:color w:val="auto"/>
          <w:highlight w:val="none"/>
        </w:rPr>
        <w:t>、安全考核等措施，督促安全工作的落实。</w:t>
      </w:r>
    </w:p>
    <w:p>
      <w:pPr>
        <w:tabs>
          <w:tab w:val="left" w:pos="1276"/>
        </w:tabs>
        <w:spacing w:line="460" w:lineRule="exact"/>
        <w:ind w:firstLine="480" w:firstLineChars="200"/>
        <w:rPr>
          <w:rFonts w:ascii="宋体" w:hAnsi="宋体"/>
          <w:color w:val="auto"/>
          <w:highlight w:val="none"/>
        </w:rPr>
      </w:pPr>
      <w:r>
        <w:rPr>
          <w:rFonts w:hint="eastAsia" w:ascii="宋体" w:hAnsi="宋体"/>
          <w:color w:val="auto"/>
          <w:highlight w:val="none"/>
        </w:rPr>
        <w:t>5</w:t>
      </w:r>
      <w:r>
        <w:rPr>
          <w:rFonts w:ascii="宋体" w:hAnsi="宋体"/>
          <w:color w:val="auto"/>
          <w:highlight w:val="none"/>
        </w:rPr>
        <w:t>.</w:t>
      </w:r>
      <w:r>
        <w:rPr>
          <w:rFonts w:hint="eastAsia" w:ascii="宋体" w:hAnsi="宋体"/>
          <w:color w:val="auto"/>
          <w:highlight w:val="none"/>
        </w:rPr>
        <w:t>甲方对于乙方违约情形发生的，有权下发违约金缴纳/违约整改告知书，具体告知支付违约金数额、时间、方式以及整改内容。乙方应按告知书内容执行，拒不执行的或执行不全面的甲方依据</w:t>
      </w:r>
      <w:r>
        <w:rPr>
          <w:rFonts w:ascii="宋体" w:hAnsi="宋体"/>
          <w:color w:val="auto"/>
          <w:highlight w:val="none"/>
        </w:rPr>
        <w:t>协议规定执行考核、有权依据规定</w:t>
      </w:r>
      <w:r>
        <w:rPr>
          <w:rFonts w:hint="eastAsia" w:ascii="宋体" w:hAnsi="宋体"/>
          <w:color w:val="auto"/>
          <w:highlight w:val="none"/>
        </w:rPr>
        <w:t>免责解除与乙方签订的在本协议有效期内的所有业务合同。</w:t>
      </w:r>
    </w:p>
    <w:p>
      <w:pPr>
        <w:tabs>
          <w:tab w:val="left" w:pos="1276"/>
        </w:tabs>
        <w:spacing w:line="460" w:lineRule="exact"/>
        <w:ind w:firstLine="480" w:firstLineChars="200"/>
        <w:rPr>
          <w:rFonts w:ascii="宋体" w:hAnsi="宋体"/>
          <w:color w:val="auto"/>
          <w:highlight w:val="none"/>
        </w:rPr>
      </w:pPr>
      <w:r>
        <w:rPr>
          <w:rFonts w:hint="eastAsia" w:ascii="宋体" w:hAnsi="宋体"/>
          <w:color w:val="auto"/>
          <w:highlight w:val="none"/>
        </w:rPr>
        <w:t>6</w:t>
      </w:r>
      <w:r>
        <w:rPr>
          <w:rFonts w:ascii="宋体" w:hAnsi="宋体"/>
          <w:color w:val="auto"/>
          <w:highlight w:val="none"/>
        </w:rPr>
        <w:t>.</w:t>
      </w:r>
      <w:r>
        <w:rPr>
          <w:rFonts w:hint="eastAsia" w:ascii="宋体" w:hAnsi="宋体"/>
          <w:color w:val="auto"/>
          <w:highlight w:val="none"/>
        </w:rPr>
        <w:t>甲方有义务听取乙方提出的关于安全监管工作的意见和建议，定期开展座谈会或调研，改进、完善安全监管工作。</w:t>
      </w:r>
    </w:p>
    <w:p>
      <w:pPr>
        <w:spacing w:line="460" w:lineRule="exact"/>
        <w:ind w:firstLine="482" w:firstLineChars="200"/>
        <w:rPr>
          <w:rFonts w:ascii="宋体" w:hAnsi="宋体"/>
          <w:b/>
          <w:bCs/>
          <w:color w:val="auto"/>
          <w:highlight w:val="none"/>
        </w:rPr>
      </w:pPr>
      <w:r>
        <w:rPr>
          <w:rFonts w:hint="eastAsia" w:ascii="宋体" w:hAnsi="宋体"/>
          <w:b/>
          <w:bCs/>
          <w:color w:val="auto"/>
          <w:highlight w:val="none"/>
        </w:rPr>
        <w:t>（二）甲方的违约责任</w:t>
      </w:r>
    </w:p>
    <w:p>
      <w:pPr>
        <w:tabs>
          <w:tab w:val="left" w:pos="1620"/>
        </w:tabs>
        <w:spacing w:line="460" w:lineRule="exact"/>
        <w:ind w:firstLine="480" w:firstLineChars="200"/>
        <w:rPr>
          <w:rFonts w:ascii="宋体" w:hAnsi="宋体"/>
          <w:color w:val="auto"/>
          <w:highlight w:val="none"/>
        </w:rPr>
      </w:pPr>
      <w:r>
        <w:rPr>
          <w:rFonts w:hint="eastAsia" w:ascii="宋体" w:hAnsi="宋体"/>
          <w:color w:val="auto"/>
          <w:highlight w:val="none"/>
        </w:rPr>
        <w:t>甲方违反本协议未履行或未完全履行安全管理的责任和义务，对乙方安全生产造成损失或影响的，甲方应立即予以改进，确保责任和义务履行到位，并视对乙方造成损失或影响的程度，给予乙方相应的补偿。</w:t>
      </w:r>
    </w:p>
    <w:p>
      <w:pPr>
        <w:spacing w:line="4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四、乙方的责任和义务</w:t>
      </w:r>
    </w:p>
    <w:p>
      <w:pPr>
        <w:spacing w:line="460" w:lineRule="exact"/>
        <w:ind w:firstLine="480" w:firstLineChars="200"/>
        <w:rPr>
          <w:rFonts w:ascii="宋体" w:hAnsi="宋体"/>
          <w:color w:val="auto"/>
          <w:highlight w:val="none"/>
        </w:rPr>
      </w:pPr>
      <w:r>
        <w:rPr>
          <w:rFonts w:hint="eastAsia" w:ascii="宋体" w:hAnsi="宋体"/>
          <w:color w:val="auto"/>
          <w:highlight w:val="none"/>
        </w:rPr>
        <w:t>乙方作为与甲方有合同、协议关系的相对人，在甲方的监管下依法依章开展生产、经营、服务、</w:t>
      </w:r>
      <w:r>
        <w:rPr>
          <w:rFonts w:ascii="宋体" w:hAnsi="宋体"/>
          <w:color w:val="auto"/>
          <w:highlight w:val="none"/>
        </w:rPr>
        <w:t>保障</w:t>
      </w:r>
      <w:r>
        <w:rPr>
          <w:rFonts w:hint="eastAsia" w:ascii="宋体" w:hAnsi="宋体"/>
          <w:color w:val="auto"/>
          <w:highlight w:val="none"/>
        </w:rPr>
        <w:t>等活动，对本公司（单位）在一号航站楼及</w:t>
      </w:r>
      <w:r>
        <w:rPr>
          <w:rFonts w:ascii="宋体" w:hAnsi="宋体"/>
          <w:color w:val="auto"/>
          <w:highlight w:val="none"/>
        </w:rPr>
        <w:t>相关区域</w:t>
      </w:r>
      <w:r>
        <w:rPr>
          <w:rFonts w:hint="eastAsia" w:ascii="宋体" w:hAnsi="宋体"/>
          <w:color w:val="auto"/>
          <w:highlight w:val="none"/>
        </w:rPr>
        <w:t>（业务）的活动承担安全主体责任。</w:t>
      </w:r>
    </w:p>
    <w:p>
      <w:pPr>
        <w:spacing w:line="460" w:lineRule="exact"/>
        <w:ind w:firstLine="482" w:firstLineChars="200"/>
        <w:rPr>
          <w:rFonts w:ascii="宋体" w:hAnsi="宋体"/>
          <w:b/>
          <w:bCs/>
          <w:color w:val="auto"/>
          <w:highlight w:val="none"/>
        </w:rPr>
      </w:pPr>
      <w:r>
        <w:rPr>
          <w:rFonts w:hint="eastAsia" w:ascii="宋体" w:hAnsi="宋体"/>
          <w:b/>
          <w:bCs/>
          <w:color w:val="auto"/>
          <w:highlight w:val="none"/>
        </w:rPr>
        <w:t>（一）乙方的责任和义务</w:t>
      </w:r>
    </w:p>
    <w:p>
      <w:pPr>
        <w:spacing w:line="460" w:lineRule="exact"/>
        <w:ind w:firstLine="480" w:firstLineChars="200"/>
        <w:rPr>
          <w:rFonts w:ascii="宋体" w:hAnsi="宋体"/>
          <w:color w:val="auto"/>
          <w:highlight w:val="none"/>
        </w:rPr>
      </w:pPr>
      <w:r>
        <w:rPr>
          <w:rFonts w:hint="eastAsia" w:ascii="宋体" w:hAnsi="宋体"/>
          <w:color w:val="auto"/>
          <w:highlight w:val="none"/>
        </w:rPr>
        <w:t>乙方应承担的责任和义务，主要包括综合安全、消防安全、空防安全、安全培训教育、危险品管理、生产（作业）安全、安全隐患排查与整改</w:t>
      </w:r>
      <w:r>
        <w:rPr>
          <w:rFonts w:ascii="宋体" w:hAnsi="宋体"/>
          <w:color w:val="auto"/>
          <w:highlight w:val="none"/>
        </w:rPr>
        <w:t>7</w:t>
      </w:r>
      <w:r>
        <w:rPr>
          <w:rFonts w:hint="eastAsia" w:ascii="宋体" w:hAnsi="宋体"/>
          <w:color w:val="auto"/>
          <w:highlight w:val="none"/>
        </w:rPr>
        <w:t>个方面。具体如下：</w:t>
      </w:r>
    </w:p>
    <w:p>
      <w:pPr>
        <w:spacing w:line="460" w:lineRule="exact"/>
        <w:ind w:firstLine="482" w:firstLineChars="200"/>
        <w:rPr>
          <w:rFonts w:ascii="宋体" w:hAnsi="宋体"/>
          <w:b/>
          <w:bCs/>
          <w:color w:val="auto"/>
          <w:highlight w:val="none"/>
        </w:rPr>
      </w:pPr>
      <w:r>
        <w:rPr>
          <w:rFonts w:hint="eastAsia" w:ascii="宋体" w:hAnsi="宋体"/>
          <w:b/>
          <w:bCs/>
          <w:color w:val="auto"/>
          <w:highlight w:val="none"/>
        </w:rPr>
        <w:t>1</w:t>
      </w:r>
      <w:r>
        <w:rPr>
          <w:rFonts w:ascii="宋体" w:hAnsi="宋体"/>
          <w:b/>
          <w:bCs/>
          <w:color w:val="auto"/>
          <w:highlight w:val="none"/>
        </w:rPr>
        <w:t>.</w:t>
      </w:r>
      <w:r>
        <w:rPr>
          <w:rFonts w:hint="eastAsia" w:ascii="宋体" w:hAnsi="宋体"/>
          <w:b/>
          <w:bCs/>
          <w:color w:val="auto"/>
          <w:highlight w:val="none"/>
        </w:rPr>
        <w:t>综合安全</w:t>
      </w:r>
    </w:p>
    <w:p>
      <w:pPr>
        <w:spacing w:line="460" w:lineRule="exact"/>
        <w:ind w:firstLine="480" w:firstLineChars="200"/>
        <w:rPr>
          <w:rFonts w:ascii="宋体" w:hAnsi="宋体"/>
          <w:color w:val="auto"/>
          <w:highlight w:val="none"/>
        </w:rPr>
      </w:pPr>
      <w:r>
        <w:rPr>
          <w:rFonts w:hint="eastAsia" w:ascii="宋体" w:hAnsi="宋体"/>
          <w:color w:val="auto"/>
          <w:highlight w:val="none"/>
        </w:rPr>
        <w:t>（1）乙方应严格贯彻落实安全生产法律、法规、规章、标准、</w:t>
      </w:r>
      <w:r>
        <w:rPr>
          <w:rFonts w:ascii="宋体" w:hAnsi="宋体"/>
          <w:color w:val="auto"/>
          <w:highlight w:val="none"/>
        </w:rPr>
        <w:t>程序</w:t>
      </w:r>
      <w:r>
        <w:rPr>
          <w:rFonts w:hint="eastAsia" w:ascii="宋体" w:hAnsi="宋体"/>
          <w:color w:val="auto"/>
          <w:highlight w:val="none"/>
        </w:rPr>
        <w:t>及机场管理机构</w:t>
      </w:r>
      <w:r>
        <w:rPr>
          <w:rFonts w:ascii="宋体" w:hAnsi="宋体"/>
          <w:color w:val="auto"/>
          <w:highlight w:val="none"/>
        </w:rPr>
        <w:t>、</w:t>
      </w:r>
      <w:r>
        <w:rPr>
          <w:rFonts w:hint="eastAsia" w:ascii="宋体" w:hAnsi="宋体"/>
          <w:color w:val="auto"/>
          <w:highlight w:val="none"/>
        </w:rPr>
        <w:t>一号航站楼各项管理规定，深入落实安全生产责任，严格依法依规组织开展生产、经营</w:t>
      </w:r>
      <w:r>
        <w:rPr>
          <w:rFonts w:ascii="宋体" w:hAnsi="宋体"/>
          <w:color w:val="auto"/>
          <w:highlight w:val="none"/>
        </w:rPr>
        <w:t>、服务、保障</w:t>
      </w:r>
      <w:r>
        <w:rPr>
          <w:rFonts w:hint="eastAsia" w:ascii="宋体" w:hAnsi="宋体"/>
          <w:color w:val="auto"/>
          <w:highlight w:val="none"/>
        </w:rPr>
        <w:t>活动，接受甲方依规章和标准实施的安全监管。</w:t>
      </w:r>
    </w:p>
    <w:p>
      <w:pPr>
        <w:tabs>
          <w:tab w:val="left" w:pos="1620"/>
        </w:tabs>
        <w:spacing w:line="460" w:lineRule="exact"/>
        <w:ind w:firstLine="480" w:firstLineChars="200"/>
        <w:rPr>
          <w:rFonts w:ascii="宋体" w:hAnsi="宋体"/>
          <w:color w:val="auto"/>
          <w:highlight w:val="none"/>
        </w:rPr>
      </w:pPr>
      <w:r>
        <w:rPr>
          <w:rFonts w:hint="eastAsia" w:ascii="宋体" w:hAnsi="宋体"/>
          <w:color w:val="auto"/>
          <w:highlight w:val="none"/>
        </w:rPr>
        <w:t>（2）乙方应建立健全安全生产责任制，严格落实安全生产“五落实五到位”等要求。乙方法定代表人或主要负责人是本单位安全生产的第一责任人，对本单位的安全工作承担领导责任；依章建立安全责任</w:t>
      </w:r>
      <w:r>
        <w:rPr>
          <w:rFonts w:ascii="宋体" w:hAnsi="宋体"/>
          <w:color w:val="auto"/>
          <w:highlight w:val="none"/>
        </w:rPr>
        <w:t>制度和</w:t>
      </w:r>
      <w:r>
        <w:rPr>
          <w:rFonts w:hint="eastAsia" w:ascii="宋体" w:hAnsi="宋体"/>
          <w:color w:val="auto"/>
          <w:highlight w:val="none"/>
        </w:rPr>
        <w:t>责任追究制度，确保安全生产责任的落实。</w:t>
      </w:r>
    </w:p>
    <w:p>
      <w:pPr>
        <w:tabs>
          <w:tab w:val="left" w:pos="1620"/>
        </w:tabs>
        <w:spacing w:line="460" w:lineRule="exact"/>
        <w:ind w:firstLine="480" w:firstLineChars="200"/>
        <w:rPr>
          <w:rFonts w:ascii="宋体" w:hAnsi="宋体"/>
          <w:color w:val="auto"/>
          <w:highlight w:val="none"/>
        </w:rPr>
      </w:pPr>
      <w:r>
        <w:rPr>
          <w:rFonts w:hint="eastAsia" w:ascii="宋体" w:hAnsi="宋体"/>
          <w:color w:val="auto"/>
          <w:highlight w:val="none"/>
        </w:rPr>
        <w:t>（3）乙方指定安全管理机构或安全管理人员，落实安全生产责任制度、安全生产规章制度和操作规程，根据业务特点组织制订年度安全生产工作计划。</w:t>
      </w:r>
    </w:p>
    <w:p>
      <w:pPr>
        <w:spacing w:line="460" w:lineRule="exact"/>
        <w:ind w:firstLine="480" w:firstLineChars="200"/>
        <w:rPr>
          <w:rFonts w:ascii="宋体" w:hAnsi="宋体"/>
          <w:color w:val="auto"/>
          <w:highlight w:val="none"/>
        </w:rPr>
      </w:pPr>
      <w:r>
        <w:rPr>
          <w:rFonts w:hint="eastAsia" w:ascii="宋体" w:hAnsi="宋体"/>
          <w:color w:val="auto"/>
          <w:highlight w:val="none"/>
        </w:rPr>
        <w:t>（4）乙方严格按照法律、法规、规章、标准和公司内部制度以及外包合同、安全生产管理协议的约定，组织开展各项工作，确保安全生产。</w:t>
      </w:r>
    </w:p>
    <w:p>
      <w:pPr>
        <w:spacing w:line="460" w:lineRule="exact"/>
        <w:ind w:firstLine="480" w:firstLineChars="200"/>
        <w:rPr>
          <w:rFonts w:ascii="宋体" w:hAnsi="宋体"/>
          <w:color w:val="auto"/>
          <w:highlight w:val="none"/>
        </w:rPr>
      </w:pPr>
      <w:r>
        <w:rPr>
          <w:rFonts w:hint="eastAsia" w:ascii="宋体" w:hAnsi="宋体"/>
          <w:color w:val="auto"/>
          <w:highlight w:val="none"/>
        </w:rPr>
        <w:t>（5）乙方制定安全生产操作规程，建立健全安全生产管理制度、岗位手册、应急处置预案。</w:t>
      </w:r>
    </w:p>
    <w:p>
      <w:pPr>
        <w:spacing w:line="460" w:lineRule="exact"/>
        <w:ind w:firstLine="480" w:firstLineChars="200"/>
        <w:rPr>
          <w:rFonts w:ascii="宋体" w:hAnsi="宋体"/>
          <w:color w:val="auto"/>
          <w:highlight w:val="none"/>
        </w:rPr>
      </w:pPr>
      <w:r>
        <w:rPr>
          <w:rFonts w:hint="eastAsia" w:ascii="宋体" w:hAnsi="宋体"/>
          <w:color w:val="auto"/>
          <w:highlight w:val="none"/>
        </w:rPr>
        <w:t>（6）乙方设立安全生产预防及应急专项保障资金，按照国家有关规定参加安全生产责任保险。</w:t>
      </w:r>
    </w:p>
    <w:p>
      <w:pPr>
        <w:spacing w:line="460" w:lineRule="exact"/>
        <w:ind w:firstLine="480" w:firstLineChars="200"/>
        <w:rPr>
          <w:rFonts w:ascii="宋体" w:hAnsi="宋体"/>
          <w:color w:val="auto"/>
          <w:highlight w:val="none"/>
        </w:rPr>
      </w:pPr>
      <w:r>
        <w:rPr>
          <w:rFonts w:hint="eastAsia" w:ascii="宋体" w:hAnsi="宋体"/>
          <w:color w:val="auto"/>
          <w:highlight w:val="none"/>
        </w:rPr>
        <w:t>（7）乙方定期开展安全检查，对责任原因造成的不安全事件、生产安全事故承担全部责任，并严格执行安全生产一票否决制度，实施清退机制。</w:t>
      </w:r>
    </w:p>
    <w:p>
      <w:pPr>
        <w:spacing w:line="460" w:lineRule="exact"/>
        <w:ind w:firstLine="480" w:firstLineChars="200"/>
        <w:rPr>
          <w:rFonts w:ascii="宋体" w:hAnsi="宋体"/>
          <w:color w:val="auto"/>
          <w:highlight w:val="none"/>
        </w:rPr>
      </w:pPr>
      <w:r>
        <w:rPr>
          <w:rFonts w:hint="eastAsia" w:ascii="宋体" w:hAnsi="宋体"/>
          <w:color w:val="auto"/>
          <w:highlight w:val="none"/>
        </w:rPr>
        <w:t>（8）乙方对不按要求操作、不执行安全规定、安全措施，违章指挥、违章作业、违反劳动纪律造成的后果负全部责任。</w:t>
      </w:r>
    </w:p>
    <w:p>
      <w:pPr>
        <w:spacing w:line="460" w:lineRule="exact"/>
        <w:ind w:firstLine="480" w:firstLineChars="200"/>
        <w:rPr>
          <w:rFonts w:ascii="宋体" w:hAnsi="宋体"/>
          <w:color w:val="auto"/>
          <w:highlight w:val="none"/>
        </w:rPr>
      </w:pPr>
      <w:r>
        <w:rPr>
          <w:rFonts w:hint="eastAsia" w:ascii="宋体" w:hAnsi="宋体"/>
          <w:color w:val="auto"/>
          <w:highlight w:val="none"/>
        </w:rPr>
        <w:t>（9）乙方应建立并实施安全管理规程，按照本单位和承租（管辖</w:t>
      </w:r>
      <w:r>
        <w:rPr>
          <w:rFonts w:ascii="宋体" w:hAnsi="宋体"/>
          <w:color w:val="auto"/>
          <w:highlight w:val="none"/>
        </w:rPr>
        <w:t>）</w:t>
      </w:r>
      <w:r>
        <w:rPr>
          <w:rFonts w:hint="eastAsia" w:ascii="宋体" w:hAnsi="宋体"/>
          <w:color w:val="auto"/>
          <w:highlight w:val="none"/>
        </w:rPr>
        <w:t>区域的实际情况，强化安全风险管理，建立自我监督、自我完善的安全管理机制，对安全隐患实施闭环管理；对重点部位和重点环节定期开展安全检查，及时解决安全生产中存在的突出问题，切实履行安全网格化的管理职责。</w:t>
      </w:r>
    </w:p>
    <w:p>
      <w:pPr>
        <w:tabs>
          <w:tab w:val="left" w:pos="1620"/>
        </w:tabs>
        <w:spacing w:line="460" w:lineRule="exact"/>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0</w:t>
      </w:r>
      <w:r>
        <w:rPr>
          <w:rFonts w:hint="eastAsia" w:ascii="宋体" w:hAnsi="宋体"/>
          <w:color w:val="auto"/>
          <w:highlight w:val="none"/>
        </w:rPr>
        <w:t>）乙方应遵守甲方应急管理相关要求，包括但不限于甲方的应急管理方面的规章制度、应急预案等。</w:t>
      </w:r>
    </w:p>
    <w:p>
      <w:pPr>
        <w:spacing w:line="460" w:lineRule="exact"/>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1</w:t>
      </w:r>
      <w:r>
        <w:rPr>
          <w:rFonts w:hint="eastAsia" w:ascii="宋体" w:hAnsi="宋体"/>
          <w:color w:val="auto"/>
          <w:highlight w:val="none"/>
        </w:rPr>
        <w:t>）按甲方要求制定本单位所辖业务范围内的各项应急预案，并与甲方的应急预案有效衔接，按照甲方要求开展各项应急培训、应急处置以及应急演练等，并按要求及时向甲方提交相关应急管理材料。</w:t>
      </w:r>
    </w:p>
    <w:p>
      <w:pPr>
        <w:spacing w:line="460" w:lineRule="exact"/>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2</w:t>
      </w:r>
      <w:r>
        <w:rPr>
          <w:rFonts w:hint="eastAsia" w:ascii="宋体" w:hAnsi="宋体"/>
          <w:color w:val="auto"/>
          <w:highlight w:val="none"/>
        </w:rPr>
        <w:t>）乙方应履行承租（管辖</w:t>
      </w:r>
      <w:r>
        <w:rPr>
          <w:rFonts w:ascii="宋体" w:hAnsi="宋体"/>
          <w:color w:val="auto"/>
          <w:highlight w:val="none"/>
        </w:rPr>
        <w:t>）</w:t>
      </w:r>
      <w:r>
        <w:rPr>
          <w:rFonts w:hint="eastAsia" w:ascii="宋体" w:hAnsi="宋体"/>
          <w:color w:val="auto"/>
          <w:highlight w:val="none"/>
        </w:rPr>
        <w:t>区域的安全管理职责，防止其成为违法犯罪窝点或非法、反动组织的活动场所；未经甲方审批，乙方不得擅自改变租赁办公用房用途。</w:t>
      </w:r>
    </w:p>
    <w:p>
      <w:pPr>
        <w:spacing w:line="460" w:lineRule="exact"/>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3</w:t>
      </w:r>
      <w:r>
        <w:rPr>
          <w:rFonts w:hint="eastAsia" w:ascii="宋体" w:hAnsi="宋体"/>
          <w:color w:val="auto"/>
          <w:highlight w:val="none"/>
        </w:rPr>
        <w:t>）乙方应要求其员工严格遵守航站楼内控烟的有关规定。</w:t>
      </w:r>
    </w:p>
    <w:p>
      <w:pPr>
        <w:spacing w:line="460" w:lineRule="exact"/>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4</w:t>
      </w:r>
      <w:r>
        <w:rPr>
          <w:rFonts w:hint="eastAsia" w:ascii="宋体" w:hAnsi="宋体"/>
          <w:color w:val="auto"/>
          <w:highlight w:val="none"/>
        </w:rPr>
        <w:t>）乙方应主动接受、积极配合甲方的监督检查及安全约见，按甲方要求及时整改、按时反馈，并接受甲方的复查。</w:t>
      </w:r>
      <w:r>
        <w:rPr>
          <w:rFonts w:ascii="宋体" w:hAnsi="宋体"/>
          <w:color w:val="auto"/>
          <w:highlight w:val="none"/>
        </w:rPr>
        <w:t xml:space="preserve">  </w:t>
      </w:r>
    </w:p>
    <w:p>
      <w:pPr>
        <w:spacing w:line="460" w:lineRule="exact"/>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5</w:t>
      </w:r>
      <w:r>
        <w:rPr>
          <w:rFonts w:hint="eastAsia" w:ascii="宋体" w:hAnsi="宋体"/>
          <w:color w:val="auto"/>
          <w:highlight w:val="none"/>
        </w:rPr>
        <w:t>）乙方应严格加强人员内部管理，防范内部不安全事件的发生；杜绝雇佣、容留“三非”（非法入境、非法居留、非法就业）外国人。</w:t>
      </w:r>
    </w:p>
    <w:p>
      <w:pPr>
        <w:spacing w:line="460" w:lineRule="exact"/>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6</w:t>
      </w:r>
      <w:r>
        <w:rPr>
          <w:rFonts w:hint="eastAsia" w:ascii="宋体" w:hAnsi="宋体"/>
          <w:color w:val="auto"/>
          <w:highlight w:val="none"/>
        </w:rPr>
        <w:t>）乙方应保证安全投入，确保各类岗位人员资质、设备设施持续符合相关法律法规、管理制度、程序及行业标准，并接受甲方对乙方安全投入的监管。</w:t>
      </w:r>
    </w:p>
    <w:p>
      <w:pPr>
        <w:spacing w:line="460" w:lineRule="exact"/>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7</w:t>
      </w:r>
      <w:r>
        <w:rPr>
          <w:rFonts w:hint="eastAsia" w:ascii="宋体" w:hAnsi="宋体"/>
          <w:color w:val="auto"/>
          <w:highlight w:val="none"/>
        </w:rPr>
        <w:t>）</w:t>
      </w:r>
      <w:r>
        <w:rPr>
          <w:rFonts w:ascii="宋体" w:hAnsi="宋体"/>
          <w:color w:val="auto"/>
          <w:highlight w:val="none"/>
        </w:rPr>
        <w:t>乙方应遵守</w:t>
      </w:r>
      <w:r>
        <w:rPr>
          <w:rFonts w:hint="eastAsia" w:ascii="宋体" w:hAnsi="宋体"/>
          <w:color w:val="auto"/>
          <w:highlight w:val="none"/>
        </w:rPr>
        <w:t>机场管理机构</w:t>
      </w:r>
      <w:r>
        <w:rPr>
          <w:rFonts w:ascii="宋体" w:hAnsi="宋体"/>
          <w:color w:val="auto"/>
          <w:highlight w:val="none"/>
        </w:rPr>
        <w:t>及</w:t>
      </w:r>
      <w:r>
        <w:rPr>
          <w:rFonts w:hint="eastAsia" w:ascii="宋体" w:hAnsi="宋体"/>
          <w:color w:val="auto"/>
          <w:highlight w:val="none"/>
        </w:rPr>
        <w:t>甲方安全信息管理规定，配备专职安全信息管理人员，建立并完善安全信息主动报告流程和程序，保证安全信息的及时、准确、有效。</w:t>
      </w:r>
    </w:p>
    <w:p>
      <w:pPr>
        <w:spacing w:line="460" w:lineRule="exact"/>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8</w:t>
      </w:r>
      <w:r>
        <w:rPr>
          <w:rFonts w:hint="eastAsia" w:ascii="宋体" w:hAnsi="宋体"/>
          <w:color w:val="auto"/>
          <w:highlight w:val="none"/>
        </w:rPr>
        <w:t>）</w:t>
      </w:r>
      <w:r>
        <w:rPr>
          <w:rFonts w:ascii="宋体" w:hAnsi="宋体"/>
          <w:color w:val="auto"/>
          <w:highlight w:val="none"/>
        </w:rPr>
        <w:t>乙方应按规定组织开展安全生产、运行</w:t>
      </w:r>
      <w:r>
        <w:rPr>
          <w:rFonts w:hint="eastAsia" w:ascii="宋体" w:hAnsi="宋体"/>
          <w:color w:val="auto"/>
          <w:highlight w:val="none"/>
        </w:rPr>
        <w:t>检查，发现安全隐患、重大险情，应采取有效措施积极处理并报告甲方。</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19</w:t>
      </w:r>
      <w:r>
        <w:rPr>
          <w:rFonts w:hint="eastAsia" w:ascii="宋体" w:hAnsi="宋体"/>
          <w:color w:val="auto"/>
          <w:highlight w:val="none"/>
        </w:rPr>
        <w:t>）</w:t>
      </w:r>
      <w:r>
        <w:rPr>
          <w:rFonts w:ascii="宋体" w:hAnsi="宋体"/>
          <w:color w:val="auto"/>
          <w:highlight w:val="none"/>
        </w:rPr>
        <w:t>乙方应积极配合</w:t>
      </w:r>
      <w:r>
        <w:rPr>
          <w:rFonts w:hint="eastAsia" w:ascii="宋体" w:hAnsi="宋体"/>
          <w:color w:val="auto"/>
          <w:highlight w:val="none"/>
        </w:rPr>
        <w:t>机场管理机构、甲方组织的应急救援演练等活动。</w:t>
      </w:r>
    </w:p>
    <w:p>
      <w:pPr>
        <w:spacing w:line="460" w:lineRule="exact"/>
        <w:ind w:firstLine="48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0</w:t>
      </w:r>
      <w:r>
        <w:rPr>
          <w:rFonts w:hint="eastAsia" w:ascii="宋体" w:hAnsi="宋体"/>
          <w:color w:val="auto"/>
          <w:highlight w:val="none"/>
        </w:rPr>
        <w:t>）乙方应积极落实甲方关于台账记录的要求，建立并如实记录安全信息管理、安全培训教育、专项安全管理（含消防、空防、危险品）、应急管理、安全隐患排查与整改，日常维护保障等基础台账，指定专人规范管理、规整存档。</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21</w:t>
      </w:r>
      <w:r>
        <w:rPr>
          <w:rFonts w:hint="eastAsia" w:ascii="宋体" w:hAnsi="宋体"/>
          <w:color w:val="auto"/>
          <w:highlight w:val="none"/>
        </w:rPr>
        <w:t>）</w:t>
      </w:r>
      <w:r>
        <w:rPr>
          <w:rFonts w:ascii="宋体" w:hAnsi="宋体"/>
          <w:color w:val="auto"/>
          <w:highlight w:val="none"/>
        </w:rPr>
        <w:t>乙方应接受甲方组织的对不安全事件的调查处理，及时、准确提供相关资料和信息。</w:t>
      </w:r>
    </w:p>
    <w:p>
      <w:pPr>
        <w:spacing w:line="460" w:lineRule="exact"/>
        <w:ind w:firstLine="48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2</w:t>
      </w:r>
      <w:r>
        <w:rPr>
          <w:rFonts w:hint="eastAsia" w:ascii="宋体" w:hAnsi="宋体"/>
          <w:color w:val="auto"/>
          <w:highlight w:val="none"/>
        </w:rPr>
        <w:t>）乙方应</w:t>
      </w:r>
      <w:r>
        <w:rPr>
          <w:rFonts w:ascii="宋体" w:hAnsi="宋体"/>
          <w:color w:val="auto"/>
          <w:highlight w:val="none"/>
        </w:rPr>
        <w:t>做好保密工作，</w:t>
      </w:r>
      <w:r>
        <w:rPr>
          <w:rFonts w:hint="eastAsia" w:ascii="宋体" w:hAnsi="宋体"/>
          <w:color w:val="auto"/>
          <w:highlight w:val="none"/>
        </w:rPr>
        <w:t>不得</w:t>
      </w:r>
      <w:r>
        <w:rPr>
          <w:rFonts w:ascii="宋体" w:hAnsi="宋体"/>
          <w:color w:val="auto"/>
          <w:highlight w:val="none"/>
        </w:rPr>
        <w:t>擅自对外发布</w:t>
      </w:r>
      <w:r>
        <w:rPr>
          <w:rFonts w:hint="eastAsia" w:ascii="宋体" w:hAnsi="宋体"/>
          <w:color w:val="auto"/>
          <w:highlight w:val="none"/>
        </w:rPr>
        <w:t>事件</w:t>
      </w:r>
      <w:r>
        <w:rPr>
          <w:rFonts w:ascii="宋体" w:hAnsi="宋体"/>
          <w:color w:val="auto"/>
          <w:highlight w:val="none"/>
        </w:rPr>
        <w:t>现场的时间视频、文字等，杜绝失</w:t>
      </w:r>
      <w:r>
        <w:rPr>
          <w:rFonts w:hint="eastAsia" w:ascii="宋体" w:hAnsi="宋体"/>
          <w:color w:val="auto"/>
          <w:highlight w:val="none"/>
        </w:rPr>
        <w:t>（</w:t>
      </w:r>
      <w:r>
        <w:rPr>
          <w:rFonts w:ascii="宋体" w:hAnsi="宋体"/>
          <w:color w:val="auto"/>
          <w:highlight w:val="none"/>
        </w:rPr>
        <w:t>泄</w:t>
      </w:r>
      <w:r>
        <w:rPr>
          <w:rFonts w:hint="eastAsia" w:ascii="宋体" w:hAnsi="宋体"/>
          <w:color w:val="auto"/>
          <w:highlight w:val="none"/>
        </w:rPr>
        <w:t>）</w:t>
      </w:r>
      <w:r>
        <w:rPr>
          <w:rFonts w:ascii="宋体" w:hAnsi="宋体"/>
          <w:color w:val="auto"/>
          <w:highlight w:val="none"/>
        </w:rPr>
        <w:t>密事件发生。</w:t>
      </w:r>
    </w:p>
    <w:p>
      <w:pPr>
        <w:spacing w:line="460" w:lineRule="exact"/>
        <w:ind w:firstLine="48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3</w:t>
      </w:r>
      <w:r>
        <w:rPr>
          <w:rFonts w:hint="eastAsia" w:ascii="宋体" w:hAnsi="宋体"/>
          <w:color w:val="auto"/>
          <w:highlight w:val="none"/>
        </w:rPr>
        <w:t>）乙方应自觉遵守甲方准入及审批许可管理机制，包括准入培训、施工作业（包括动火作业）、控制区通行证、限制物品、临时活动、以及其他相关准入许可的相关事项，经甲方审批确认后，乙方方可投入使用或进场进行相关保障及作业。</w:t>
      </w:r>
    </w:p>
    <w:p>
      <w:pPr>
        <w:spacing w:line="460" w:lineRule="exact"/>
        <w:ind w:firstLine="482" w:firstLineChars="200"/>
        <w:rPr>
          <w:rFonts w:ascii="宋体" w:hAnsi="宋体"/>
          <w:b/>
          <w:bCs/>
          <w:color w:val="auto"/>
          <w:highlight w:val="none"/>
        </w:rPr>
      </w:pPr>
      <w:r>
        <w:rPr>
          <w:rFonts w:ascii="宋体" w:hAnsi="宋体"/>
          <w:b/>
          <w:bCs/>
          <w:color w:val="auto"/>
          <w:highlight w:val="none"/>
        </w:rPr>
        <w:t>2.</w:t>
      </w:r>
      <w:r>
        <w:rPr>
          <w:rFonts w:hint="eastAsia" w:ascii="宋体" w:hAnsi="宋体"/>
          <w:b/>
          <w:bCs/>
          <w:color w:val="auto"/>
          <w:highlight w:val="none"/>
        </w:rPr>
        <w:t>消防安全</w:t>
      </w:r>
    </w:p>
    <w:p>
      <w:pPr>
        <w:spacing w:line="460" w:lineRule="exact"/>
        <w:ind w:firstLine="480" w:firstLineChars="200"/>
        <w:rPr>
          <w:rFonts w:ascii="宋体" w:hAnsi="宋体"/>
          <w:color w:val="auto"/>
          <w:highlight w:val="none"/>
        </w:rPr>
      </w:pPr>
      <w:r>
        <w:rPr>
          <w:rFonts w:hint="eastAsia" w:ascii="宋体" w:hAnsi="宋体"/>
          <w:color w:val="auto"/>
          <w:highlight w:val="none"/>
        </w:rPr>
        <w:t>（1）乙方及其员工应当自觉遵守国家、行业、地方政府消防安全法律、规章、标准，以及机场管理机构、甲方制定的消防安全管理规定等，认真履行消防安全责任，确保不发生消防安全事故。</w:t>
      </w:r>
    </w:p>
    <w:p>
      <w:pPr>
        <w:spacing w:line="460" w:lineRule="exact"/>
        <w:ind w:firstLine="480" w:firstLineChars="200"/>
        <w:rPr>
          <w:rFonts w:ascii="宋体" w:hAnsi="宋体"/>
          <w:color w:val="auto"/>
          <w:highlight w:val="none"/>
        </w:rPr>
      </w:pPr>
      <w:r>
        <w:rPr>
          <w:rFonts w:hint="eastAsia" w:ascii="宋体" w:hAnsi="宋体"/>
          <w:color w:val="auto"/>
          <w:highlight w:val="none"/>
        </w:rPr>
        <w:t>（2）乙方应制定本单位消防安全管理制度并确保落实到位，对违反消防安全管理规定的后果承担责任。</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）乙方法定代表人或主要负责人，是乙方及其承租（管辖）区域的消防安全责任人，对乙方及其承租（管辖）区域的消防安全工作全面负责并履行相应的管理职责。</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）乙方所属员工应履行本岗位消防安全职责，遵守消防安全制度和消防安全操作规程，熟悉本岗位火灾危险性，掌握防范措施，每日进行岗位防火检查。</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）乙方及所属人员具有维护机场消防安全、保护消防设施、预防火灾、报告火警和参加有组织的灭火工作的义务。</w:t>
      </w:r>
    </w:p>
    <w:p>
      <w:pPr>
        <w:spacing w:line="460" w:lineRule="exact"/>
        <w:ind w:firstLine="480" w:firstLineChars="200"/>
        <w:rPr>
          <w:rFonts w:ascii="宋体" w:hAnsi="宋体"/>
          <w:color w:val="auto"/>
          <w:highlight w:val="none"/>
        </w:rPr>
      </w:pPr>
      <w:r>
        <w:rPr>
          <w:rFonts w:hint="eastAsia" w:ascii="宋体" w:hAnsi="宋体"/>
          <w:color w:val="auto"/>
          <w:highlight w:val="none"/>
        </w:rPr>
        <w:t>（6）乙方应每月至少开展一次本单位防火安全自查，加强内部消防安全管理，做好检查工作记录，对自查过程中发现的火险隐患，应立即进行整改。</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）乙方应无条件积极配合甲方或上级主管部门开展消防安全检查。</w:t>
      </w:r>
    </w:p>
    <w:p>
      <w:pPr>
        <w:spacing w:line="460" w:lineRule="exact"/>
        <w:ind w:firstLine="482" w:firstLineChars="200"/>
        <w:rPr>
          <w:rFonts w:ascii="宋体" w:hAnsi="宋体"/>
          <w:b/>
          <w:bCs/>
          <w:color w:val="auto"/>
          <w:highlight w:val="none"/>
        </w:rPr>
      </w:pPr>
      <w:r>
        <w:rPr>
          <w:rFonts w:ascii="宋体" w:hAnsi="宋体"/>
          <w:b/>
          <w:bCs/>
          <w:color w:val="auto"/>
          <w:highlight w:val="none"/>
        </w:rPr>
        <w:t>3.</w:t>
      </w:r>
      <w:r>
        <w:rPr>
          <w:rFonts w:hint="eastAsia" w:ascii="宋体" w:hAnsi="宋体"/>
          <w:b/>
          <w:bCs/>
          <w:color w:val="auto"/>
          <w:highlight w:val="none"/>
        </w:rPr>
        <w:t>空防安全</w:t>
      </w:r>
    </w:p>
    <w:p>
      <w:pPr>
        <w:spacing w:line="460" w:lineRule="exact"/>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乙方应保证其员工自觉遵守国家、行业、地方政府空防安全法律、规章、标准，以及机场管理机构</w:t>
      </w:r>
      <w:r>
        <w:rPr>
          <w:rFonts w:hint="eastAsia" w:ascii="宋体" w:hAnsi="宋体"/>
          <w:color w:val="auto"/>
          <w:highlight w:val="none"/>
        </w:rPr>
        <w:t>、甲方空防安全管理规章制度，认真履行消防安全责任，确保不发生空防安全事故。</w:t>
      </w:r>
    </w:p>
    <w:p>
      <w:pPr>
        <w:spacing w:line="460" w:lineRule="exact"/>
        <w:ind w:firstLine="480" w:firstLineChars="200"/>
        <w:rPr>
          <w:rFonts w:ascii="宋体" w:hAnsi="宋体"/>
          <w:color w:val="auto"/>
          <w:highlight w:val="none"/>
        </w:rPr>
      </w:pPr>
      <w:r>
        <w:rPr>
          <w:rFonts w:hint="eastAsia" w:ascii="宋体" w:hAnsi="宋体"/>
          <w:color w:val="auto"/>
          <w:highlight w:val="none"/>
        </w:rPr>
        <w:t>（2）乙方应制定本单位空防安全管理制度和控制区通行证的管理办法并确保落实到位，对违反空防安全管理规定的后果承担责任。</w:t>
      </w:r>
    </w:p>
    <w:p>
      <w:pPr>
        <w:spacing w:line="460" w:lineRule="exact"/>
        <w:ind w:firstLine="480" w:firstLineChars="200"/>
        <w:rPr>
          <w:rFonts w:ascii="宋体" w:hAnsi="宋体"/>
          <w:color w:val="auto"/>
          <w:highlight w:val="none"/>
        </w:rPr>
      </w:pPr>
      <w:bookmarkStart w:id="21" w:name="_Hlk15595561"/>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）乙方法定代表人或主要负责人，是乙方及其承租（管辖</w:t>
      </w:r>
      <w:r>
        <w:rPr>
          <w:rFonts w:ascii="宋体" w:hAnsi="宋体"/>
          <w:color w:val="auto"/>
          <w:highlight w:val="none"/>
        </w:rPr>
        <w:t>）</w:t>
      </w:r>
      <w:r>
        <w:rPr>
          <w:rFonts w:hint="eastAsia" w:ascii="宋体" w:hAnsi="宋体"/>
          <w:color w:val="auto"/>
          <w:highlight w:val="none"/>
        </w:rPr>
        <w:t>区域空防安全责任人，对乙方及其承租（管辖</w:t>
      </w:r>
      <w:r>
        <w:rPr>
          <w:rFonts w:ascii="宋体" w:hAnsi="宋体"/>
          <w:color w:val="auto"/>
          <w:highlight w:val="none"/>
        </w:rPr>
        <w:t>）</w:t>
      </w:r>
      <w:r>
        <w:rPr>
          <w:rFonts w:hint="eastAsia" w:ascii="宋体" w:hAnsi="宋体"/>
          <w:color w:val="auto"/>
          <w:highlight w:val="none"/>
        </w:rPr>
        <w:t>区域空防安全工作全面负责并履行相应的管理职责。</w:t>
      </w:r>
      <w:bookmarkEnd w:id="21"/>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）乙方负责对本单位需办理控制区通行证的员工进行有效的背景调查，并保证背景调查资料的真实性，</w:t>
      </w:r>
      <w:r>
        <w:rPr>
          <w:rFonts w:ascii="宋体" w:hAnsi="宋体"/>
          <w:color w:val="auto"/>
          <w:highlight w:val="none"/>
        </w:rPr>
        <w:t>并向甲方报备</w:t>
      </w:r>
      <w:r>
        <w:rPr>
          <w:rFonts w:hint="eastAsia" w:ascii="宋体" w:hAnsi="宋体"/>
          <w:color w:val="auto"/>
          <w:highlight w:val="none"/>
        </w:rPr>
        <w:t>。</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w:t>
      </w:r>
      <w:r>
        <w:rPr>
          <w:rFonts w:ascii="宋体" w:hAnsi="宋体"/>
          <w:color w:val="auto"/>
          <w:highlight w:val="none"/>
        </w:rPr>
        <w:t>所有经审查符合办证条件的人员应当接受</w:t>
      </w:r>
      <w:r>
        <w:rPr>
          <w:rFonts w:hint="eastAsia" w:ascii="宋体" w:hAnsi="宋体"/>
          <w:color w:val="auto"/>
          <w:highlight w:val="none"/>
        </w:rPr>
        <w:t>证件使用和管理的培训。</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w:t>
      </w:r>
      <w:r>
        <w:rPr>
          <w:rFonts w:ascii="宋体" w:hAnsi="宋体"/>
          <w:color w:val="auto"/>
          <w:highlight w:val="none"/>
        </w:rPr>
        <w:t>乙方应向甲方提供所属人员控制区通行证的申请、续办、变更、注销所需各类材料并对其真实性负责</w:t>
      </w:r>
      <w:r>
        <w:rPr>
          <w:rFonts w:hint="eastAsia" w:ascii="宋体" w:hAnsi="宋体"/>
          <w:color w:val="auto"/>
          <w:highlight w:val="none"/>
        </w:rPr>
        <w:t>，做好</w:t>
      </w:r>
      <w:r>
        <w:rPr>
          <w:rFonts w:ascii="宋体" w:hAnsi="宋体"/>
          <w:color w:val="auto"/>
          <w:highlight w:val="none"/>
        </w:rPr>
        <w:t>证件管控和及时回收证件。</w:t>
      </w:r>
    </w:p>
    <w:p>
      <w:pPr>
        <w:spacing w:line="460" w:lineRule="exact"/>
        <w:ind w:firstLine="480" w:firstLineChars="200"/>
        <w:rPr>
          <w:rFonts w:ascii="宋体" w:hAnsi="宋体"/>
          <w:color w:val="auto"/>
          <w:highlight w:val="none"/>
        </w:rPr>
      </w:pPr>
      <w:r>
        <w:rPr>
          <w:rFonts w:hint="eastAsia" w:ascii="宋体" w:hAnsi="宋体"/>
          <w:color w:val="auto"/>
          <w:highlight w:val="none"/>
        </w:rPr>
        <w:t>（7）乙方因工作需要，需携带限制物品进入控制区或使用刀具/工具的，应严格按照甲方限制物品申办许可流程，经许可后，方可投入使用。</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乙方应建立健全刀具和工具管理机制。明确管制刀具和工具管理责任人，设置保管箱并上锁管理，建立管制刀具和工具领用登记本，认真记录每次使用及回收的记录，并做好清点，管制刀具和工具钢号清晰完好，并在规定和申请范围内使用。</w:t>
      </w:r>
    </w:p>
    <w:p>
      <w:pPr>
        <w:spacing w:line="460" w:lineRule="exact"/>
        <w:ind w:firstLine="482" w:firstLineChars="200"/>
        <w:rPr>
          <w:rFonts w:ascii="宋体" w:hAnsi="宋体"/>
          <w:b/>
          <w:bCs/>
          <w:color w:val="auto"/>
          <w:highlight w:val="none"/>
        </w:rPr>
      </w:pPr>
      <w:r>
        <w:rPr>
          <w:rFonts w:ascii="宋体" w:hAnsi="宋体"/>
          <w:b/>
          <w:bCs/>
          <w:color w:val="auto"/>
          <w:highlight w:val="none"/>
        </w:rPr>
        <w:t>4.</w:t>
      </w:r>
      <w:r>
        <w:rPr>
          <w:rFonts w:hint="eastAsia" w:ascii="宋体" w:hAnsi="宋体"/>
          <w:b/>
          <w:bCs/>
          <w:color w:val="auto"/>
          <w:highlight w:val="none"/>
        </w:rPr>
        <w:t>安全培训教育</w:t>
      </w:r>
    </w:p>
    <w:p>
      <w:pPr>
        <w:spacing w:line="460" w:lineRule="exact"/>
        <w:ind w:firstLine="480" w:firstLineChars="200"/>
        <w:rPr>
          <w:rFonts w:ascii="宋体" w:hAnsi="宋体"/>
          <w:color w:val="auto"/>
          <w:highlight w:val="none"/>
        </w:rPr>
      </w:pPr>
      <w:r>
        <w:rPr>
          <w:rFonts w:hint="eastAsia" w:ascii="宋体" w:hAnsi="宋体"/>
          <w:color w:val="auto"/>
          <w:highlight w:val="none"/>
        </w:rPr>
        <w:t>（1）乙方应自觉遵守机场方、甲方安全培训教育的管理制度，认真履行安全培训和教育职责。</w:t>
      </w:r>
    </w:p>
    <w:p>
      <w:pPr>
        <w:spacing w:line="460" w:lineRule="exact"/>
        <w:ind w:firstLine="480" w:firstLineChars="200"/>
        <w:rPr>
          <w:rFonts w:ascii="宋体" w:hAnsi="宋体"/>
          <w:color w:val="auto"/>
          <w:highlight w:val="none"/>
        </w:rPr>
      </w:pPr>
      <w:r>
        <w:rPr>
          <w:rFonts w:hint="eastAsia" w:ascii="宋体" w:hAnsi="宋体"/>
          <w:color w:val="auto"/>
          <w:highlight w:val="none"/>
        </w:rPr>
        <w:t>（2）乙方应建立健全本单位安全培训教育管理体系，主要包括组织机构、工作职责、规章制度、安全培训机制、安全培训大纲（含岗前培训、在岗复训、换岗专训）、安全培训课件、安全培训教育档案等，保障安全培训的时间和实际效果；制定本单位年度安全培训教育计划，按甲方时限要求及时报备，并严格按照计划开展安全培训教育工作。对违反相关安全培训和教育管理制度的后果承担责任。</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）乙方法定代表人或主要负责人，是本公司（单位）的安全培训教育安全的主要责任人，对本公司（单位）的安全培训教育工作全面负责并履行相应的管理职责。</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）乙方所有人员均需通过甲方组织的安全准入培训，取得相应上岗证后方能独立上岗。</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）乙方应定期总结、分析安全培训情况，持续改进及完善安全培训工作，并按要求向甲方报备安全培训教育相关材料。</w:t>
      </w:r>
    </w:p>
    <w:p>
      <w:pPr>
        <w:spacing w:line="460" w:lineRule="exact"/>
        <w:ind w:firstLine="480" w:firstLineChars="200"/>
        <w:rPr>
          <w:rFonts w:ascii="宋体" w:hAnsi="宋体"/>
          <w:color w:val="auto"/>
          <w:highlight w:val="none"/>
        </w:rPr>
      </w:pPr>
      <w:r>
        <w:rPr>
          <w:rFonts w:hint="eastAsia" w:ascii="宋体" w:hAnsi="宋体"/>
          <w:color w:val="auto"/>
          <w:highlight w:val="none"/>
        </w:rPr>
        <w:t>（6）乙方应建立本单位安全培训教育人员档案，规整存档。</w:t>
      </w:r>
    </w:p>
    <w:p>
      <w:pPr>
        <w:spacing w:line="460" w:lineRule="exact"/>
        <w:ind w:firstLine="482" w:firstLineChars="200"/>
        <w:rPr>
          <w:rFonts w:ascii="宋体" w:hAnsi="宋体"/>
          <w:b/>
          <w:bCs/>
          <w:color w:val="auto"/>
          <w:highlight w:val="none"/>
        </w:rPr>
      </w:pPr>
      <w:r>
        <w:rPr>
          <w:rFonts w:ascii="宋体" w:hAnsi="宋体"/>
          <w:b/>
          <w:bCs/>
          <w:color w:val="auto"/>
          <w:highlight w:val="none"/>
        </w:rPr>
        <w:t>5.</w:t>
      </w:r>
      <w:r>
        <w:rPr>
          <w:rFonts w:hint="eastAsia" w:ascii="宋体" w:hAnsi="宋体"/>
          <w:b/>
          <w:bCs/>
          <w:color w:val="auto"/>
          <w:highlight w:val="none"/>
        </w:rPr>
        <w:t>危险品管理</w:t>
      </w:r>
    </w:p>
    <w:p>
      <w:pPr>
        <w:spacing w:line="460" w:lineRule="exact"/>
        <w:ind w:firstLine="480" w:firstLineChars="200"/>
        <w:rPr>
          <w:rFonts w:ascii="宋体" w:hAnsi="宋体"/>
          <w:color w:val="auto"/>
          <w:highlight w:val="none"/>
        </w:rPr>
      </w:pPr>
      <w:r>
        <w:rPr>
          <w:rFonts w:hint="eastAsia" w:ascii="宋体" w:hAnsi="宋体"/>
          <w:color w:val="auto"/>
          <w:highlight w:val="none"/>
        </w:rPr>
        <w:t>（1）乙方生产、储存、运输、经营、使用危险化学物品和处置废弃危险化学物品,应严格遵守国务院颁布的《危险化学物品安全管理条例》，同时满足机场管理机构、甲方有关质量、环保及职业健康管理的要求。</w:t>
      </w:r>
    </w:p>
    <w:p>
      <w:pPr>
        <w:spacing w:line="460" w:lineRule="exact"/>
        <w:ind w:firstLine="480" w:firstLineChars="200"/>
        <w:rPr>
          <w:rFonts w:ascii="宋体" w:hAnsi="宋体"/>
          <w:color w:val="auto"/>
          <w:highlight w:val="none"/>
        </w:rPr>
      </w:pPr>
      <w:r>
        <w:rPr>
          <w:rFonts w:hint="eastAsia" w:ascii="宋体" w:hAnsi="宋体"/>
          <w:color w:val="auto"/>
          <w:highlight w:val="none"/>
        </w:rPr>
        <w:t>（2）乙方应严格遵守白云机场危险品管理规定，禁止在航站楼公共区及办公区域存放易燃、易爆、腐蚀性及毒性物质等危险品。</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）乙方主要负责人应保证本单位危险化学物品的安全管理符合有关法律、法规、规章、标准的要求,并对本单位危险化学物品的使用、管理安全全面负责。</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）乙方危险化学物品的使用、储存应得到政府有关主管部门的批准，未经批准不得在一号航站楼范围内使用、储存危险化学物品。</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乙方从事储存、运输、使用危险化学物品或者处置废弃危险化学物品的人员，必须接受政府有关主管部门关于法律、法规、规章和安全知识、专业技术、职业卫生防护和应急救援知识的培训，并经考试合格，方可上岗作业。</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）乙方应当接受政府有关部门依法实施的检查，不得拒绝或阻挠检查的实施。</w:t>
      </w:r>
    </w:p>
    <w:p>
      <w:pPr>
        <w:spacing w:line="460" w:lineRule="exact"/>
        <w:ind w:firstLine="480" w:firstLineChars="200"/>
        <w:rPr>
          <w:rFonts w:ascii="宋体" w:hAnsi="宋体"/>
          <w:color w:val="auto"/>
          <w:highlight w:val="none"/>
        </w:rPr>
      </w:pPr>
      <w:r>
        <w:rPr>
          <w:rFonts w:hint="eastAsia" w:ascii="宋体" w:hAnsi="宋体"/>
          <w:color w:val="auto"/>
          <w:highlight w:val="none"/>
        </w:rPr>
        <w:t>（7）对检查中发现的危险化学物品安全隐患，乙方应当立即予以整改，对不符合国家标准要求的危险化学物品使用、管理有关设施、设备、器材、运输工具均应停止使用。</w:t>
      </w:r>
    </w:p>
    <w:p>
      <w:pPr>
        <w:spacing w:line="460" w:lineRule="exact"/>
        <w:ind w:firstLine="482" w:firstLineChars="200"/>
        <w:rPr>
          <w:rFonts w:ascii="宋体" w:hAnsi="宋体"/>
          <w:b/>
          <w:bCs/>
          <w:color w:val="auto"/>
          <w:highlight w:val="none"/>
        </w:rPr>
      </w:pPr>
      <w:r>
        <w:rPr>
          <w:rFonts w:ascii="宋体" w:hAnsi="宋体"/>
          <w:b/>
          <w:bCs/>
          <w:color w:val="auto"/>
          <w:highlight w:val="none"/>
        </w:rPr>
        <w:t>6.</w:t>
      </w:r>
      <w:r>
        <w:rPr>
          <w:rFonts w:hint="eastAsia" w:ascii="宋体" w:hAnsi="宋体"/>
          <w:b/>
          <w:bCs/>
          <w:color w:val="auto"/>
          <w:highlight w:val="none"/>
        </w:rPr>
        <w:t>生产（作业）安全</w:t>
      </w:r>
    </w:p>
    <w:p>
      <w:pPr>
        <w:spacing w:line="460" w:lineRule="exact"/>
        <w:ind w:firstLine="480" w:firstLineChars="200"/>
        <w:rPr>
          <w:rFonts w:ascii="宋体" w:hAnsi="宋体"/>
          <w:color w:val="auto"/>
          <w:highlight w:val="none"/>
        </w:rPr>
      </w:pPr>
      <w:r>
        <w:rPr>
          <w:rFonts w:hint="eastAsia" w:ascii="宋体" w:hAnsi="宋体"/>
          <w:color w:val="auto"/>
          <w:highlight w:val="none"/>
        </w:rPr>
        <w:t>（1）乙方应遵守国家关于质量、环保及职业健康与安全方面的法规，服从机场管理机构、甲方对生产（作业）安全的管理；应遵守国家关于质量、环保及职业健康与安全方面的法规，服从机场管理机构、甲方对生产（作业）安全的管理。</w:t>
      </w:r>
    </w:p>
    <w:p>
      <w:pPr>
        <w:spacing w:line="460" w:lineRule="exact"/>
        <w:ind w:firstLine="480" w:firstLineChars="200"/>
        <w:rPr>
          <w:rFonts w:ascii="宋体" w:hAnsi="宋体"/>
          <w:color w:val="auto"/>
          <w:highlight w:val="none"/>
        </w:rPr>
      </w:pPr>
      <w:r>
        <w:rPr>
          <w:rFonts w:hint="eastAsia" w:ascii="宋体" w:hAnsi="宋体"/>
          <w:color w:val="auto"/>
          <w:highlight w:val="none"/>
        </w:rPr>
        <w:t>（2）乙方法定代表人或主要负责人，是乙方及其承租（管辖）区域生产（作业）安全责任人，对乙方及其承租（管辖）区域的生产（作业）安全工作全面负责并履行相应的管理职责。</w:t>
      </w:r>
    </w:p>
    <w:p>
      <w:pPr>
        <w:spacing w:line="460" w:lineRule="exact"/>
        <w:ind w:firstLine="480" w:firstLineChars="200"/>
        <w:rPr>
          <w:rFonts w:ascii="宋体" w:hAnsi="宋体"/>
          <w:color w:val="auto"/>
          <w:highlight w:val="none"/>
        </w:rPr>
      </w:pPr>
      <w:r>
        <w:rPr>
          <w:rFonts w:hint="eastAsia" w:ascii="宋体" w:hAnsi="宋体"/>
          <w:color w:val="auto"/>
          <w:highlight w:val="none"/>
        </w:rPr>
        <w:t>（3）乙方在生产、作业时，应严格遵守机场管理机构、甲方的有关规定，严禁违章作业或野蛮作业，避免对甲方、旅客或工作人员造成人员伤害和财产损失。</w:t>
      </w:r>
    </w:p>
    <w:p>
      <w:pPr>
        <w:spacing w:line="460" w:lineRule="exact"/>
        <w:ind w:firstLine="480" w:firstLineChars="200"/>
        <w:rPr>
          <w:rFonts w:ascii="宋体" w:hAnsi="宋体"/>
          <w:color w:val="auto"/>
          <w:highlight w:val="none"/>
        </w:rPr>
      </w:pPr>
      <w:r>
        <w:rPr>
          <w:rFonts w:hint="eastAsia" w:ascii="宋体" w:hAnsi="宋体"/>
          <w:color w:val="auto"/>
          <w:highlight w:val="none"/>
        </w:rPr>
        <w:t>（4）乙方在生产（作业）时，应采取科学的安全保护措施，为所属员工提供必须人身防护用品，避免发生人员意外伤亡事故。</w:t>
      </w:r>
    </w:p>
    <w:p>
      <w:pPr>
        <w:spacing w:line="460" w:lineRule="exact"/>
        <w:ind w:firstLine="480" w:firstLineChars="200"/>
        <w:rPr>
          <w:rFonts w:ascii="宋体" w:hAnsi="宋体"/>
          <w:color w:val="auto"/>
          <w:highlight w:val="none"/>
        </w:rPr>
      </w:pPr>
      <w:r>
        <w:rPr>
          <w:rFonts w:hint="eastAsia" w:ascii="宋体" w:hAnsi="宋体"/>
          <w:color w:val="auto"/>
          <w:highlight w:val="none"/>
        </w:rPr>
        <w:t>（5）乙方不得擅自在生产（服务）区域内设铺住人，确因工作需要安排值班过夜人员的，应按规定程序办理相关手续登记备案，并承担安全管理责任。</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）乙方进行高空生产（作业）、临时活动等，应严格落实甲方高空生产（作业）、临时活动等相关指引，并按照甲方要求申办许可流程，经许可后，方可进行生产（作业）、开展临时活动等。</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）乙方应加强承租（管辖）区域内电器设备的日常使用、管理及检修；需投入使用大功率电器设备的，经申报甲方审核许可后方可投入使用。</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）乙方特种作业人员必须按照国家有关规定经专门的安全作业培训，取得特种作业操作资格证书，方可上岗作业。</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）乙方作为运行维保单位的，对机场设备设施的运行和保障承担安全责任，切实加强维护和运行管理，确保设备设施的运行正常。不发生责任原因设备运行不安全事件、生产安全事故。</w:t>
      </w:r>
    </w:p>
    <w:p>
      <w:pPr>
        <w:spacing w:line="460" w:lineRule="exact"/>
        <w:ind w:firstLine="482" w:firstLineChars="200"/>
        <w:rPr>
          <w:rFonts w:ascii="宋体" w:hAnsi="宋体"/>
          <w:b/>
          <w:bCs/>
          <w:color w:val="auto"/>
          <w:highlight w:val="none"/>
        </w:rPr>
      </w:pPr>
      <w:r>
        <w:rPr>
          <w:rFonts w:ascii="宋体" w:hAnsi="宋体"/>
          <w:b/>
          <w:bCs/>
          <w:color w:val="auto"/>
          <w:highlight w:val="none"/>
        </w:rPr>
        <w:t>7.</w:t>
      </w:r>
      <w:r>
        <w:rPr>
          <w:rFonts w:hint="eastAsia" w:ascii="宋体" w:hAnsi="宋体"/>
          <w:b/>
          <w:bCs/>
          <w:color w:val="auto"/>
          <w:highlight w:val="none"/>
        </w:rPr>
        <w:t>安全隐患排查与整改</w:t>
      </w:r>
    </w:p>
    <w:p>
      <w:pPr>
        <w:spacing w:line="460" w:lineRule="exact"/>
        <w:ind w:firstLine="480" w:firstLineChars="200"/>
        <w:rPr>
          <w:rFonts w:ascii="宋体" w:hAnsi="宋体"/>
          <w:color w:val="auto"/>
          <w:highlight w:val="none"/>
        </w:rPr>
      </w:pPr>
      <w:bookmarkStart w:id="22" w:name="_Hlk15670626"/>
      <w:r>
        <w:rPr>
          <w:rFonts w:hint="eastAsia" w:ascii="宋体" w:hAnsi="宋体"/>
          <w:color w:val="auto"/>
          <w:highlight w:val="none"/>
        </w:rPr>
        <w:t>（1）乙方应遵守机场方、甲方安全隐患排查与整改的管理制度，认真履行安全隐患排查治理工作职责。</w:t>
      </w:r>
    </w:p>
    <w:p>
      <w:pPr>
        <w:spacing w:line="460" w:lineRule="exact"/>
        <w:ind w:firstLine="480" w:firstLineChars="200"/>
        <w:rPr>
          <w:rFonts w:ascii="宋体" w:hAnsi="宋体"/>
          <w:color w:val="auto"/>
          <w:highlight w:val="none"/>
        </w:rPr>
      </w:pPr>
      <w:r>
        <w:rPr>
          <w:rFonts w:hint="eastAsia" w:ascii="宋体" w:hAnsi="宋体"/>
          <w:color w:val="auto"/>
          <w:highlight w:val="none"/>
        </w:rPr>
        <w:t>（2）乙方应建立本公司（单位）安全隐患排查与整改工作制度或机制，保证相关工作有效落实；建立安全隐患清单，明确安全隐患排查重要部位和一般部位，细化安全隐患排查事项，定期更新安全隐患管理清单。</w:t>
      </w:r>
    </w:p>
    <w:p>
      <w:pPr>
        <w:spacing w:line="460" w:lineRule="exact"/>
        <w:ind w:firstLine="480" w:firstLineChars="200"/>
        <w:rPr>
          <w:rFonts w:ascii="宋体" w:hAnsi="宋体"/>
          <w:color w:val="auto"/>
          <w:highlight w:val="none"/>
        </w:rPr>
      </w:pPr>
      <w:r>
        <w:rPr>
          <w:rFonts w:hint="eastAsia" w:ascii="宋体" w:hAnsi="宋体"/>
          <w:color w:val="auto"/>
          <w:highlight w:val="none"/>
        </w:rPr>
        <w:t>（3）乙方应履行安全隐患整改责任，严格按照安全隐患排查与整改计划执行，定期开展安全隐患排查与整改工作，及时消除本公司（单位）及承租区域（承包业务）的安全隐患，确保安全隐患排查与整改有效。</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）乙方应自觉接受机场管理机构、甲方的监督检查与考核，并组织落实整改项。</w:t>
      </w:r>
    </w:p>
    <w:p>
      <w:pPr>
        <w:spacing w:line="460" w:lineRule="exact"/>
        <w:ind w:firstLine="480" w:firstLineChars="200"/>
        <w:rPr>
          <w:rFonts w:ascii="宋体" w:hAnsi="宋体"/>
          <w:color w:val="auto"/>
          <w:highlight w:val="none"/>
        </w:rPr>
      </w:pPr>
      <w:r>
        <w:rPr>
          <w:rFonts w:hint="eastAsia" w:ascii="宋体" w:hAnsi="宋体"/>
          <w:color w:val="auto"/>
          <w:highlight w:val="none"/>
        </w:rPr>
        <w:t>（5）机场管理机构、甲方提出的整改事项，乙方应当按照机场管理机构、甲方提出的整改要求在规定的时限内完成整改，及时消除消防安全隐患，隐患整改完毕，将整改情况记录，以书面形式报甲方。</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）机场管理机构、甲方提出的整改事项，乙方一时无法整改的隐患，应采取等效安全措施，并形成书面情况回复甲方；彻底完成整改后，应及时将整改完成情况书面回复甲方，经甲方现场确认后方可注销整改项。</w:t>
      </w:r>
    </w:p>
    <w:p>
      <w:pPr>
        <w:spacing w:line="460" w:lineRule="exact"/>
        <w:ind w:firstLine="48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）机场管理机构、甲方提出的整改事项，对不能确保安全，随时可能引发不安全事件的，危险部位应当停产、停业、停用，直至整改完毕经验收后方可投入使用。</w:t>
      </w:r>
    </w:p>
    <w:bookmarkEnd w:id="22"/>
    <w:p>
      <w:pPr>
        <w:spacing w:line="460" w:lineRule="exact"/>
        <w:ind w:firstLine="482" w:firstLineChars="200"/>
        <w:rPr>
          <w:rFonts w:ascii="宋体" w:hAnsi="宋体"/>
          <w:b/>
          <w:bCs/>
          <w:color w:val="auto"/>
          <w:highlight w:val="none"/>
        </w:rPr>
      </w:pPr>
      <w:r>
        <w:rPr>
          <w:rFonts w:hint="eastAsia" w:ascii="宋体" w:hAnsi="宋体"/>
          <w:b/>
          <w:bCs/>
          <w:color w:val="auto"/>
          <w:highlight w:val="none"/>
        </w:rPr>
        <w:t>（二）乙方的违约责任</w:t>
      </w:r>
    </w:p>
    <w:p>
      <w:pPr>
        <w:spacing w:line="460" w:lineRule="exact"/>
        <w:ind w:firstLine="480" w:firstLineChars="200"/>
        <w:rPr>
          <w:rFonts w:ascii="宋体" w:hAnsi="宋体"/>
          <w:color w:val="auto"/>
          <w:highlight w:val="none"/>
        </w:rPr>
      </w:pPr>
      <w:r>
        <w:rPr>
          <w:rFonts w:hint="eastAsia" w:ascii="宋体" w:hAnsi="宋体"/>
          <w:color w:val="auto"/>
          <w:highlight w:val="none"/>
        </w:rPr>
        <w:t>（1）乙方违反本协议未履行或未完全履行安全生产主体责任和义务，对甲方安全生产造成影响的，乙方应立即限期整改、予以改进，确保责任和义务履行到位，并视对甲方造成影响的程度，甲方给予乙方扣减违约金及记分考评。</w:t>
      </w:r>
    </w:p>
    <w:p>
      <w:pPr>
        <w:spacing w:line="460" w:lineRule="exact"/>
        <w:ind w:firstLine="480" w:firstLineChars="200"/>
        <w:rPr>
          <w:rFonts w:ascii="宋体" w:hAnsi="宋体"/>
          <w:color w:val="auto"/>
          <w:highlight w:val="none"/>
        </w:rPr>
      </w:pPr>
      <w:r>
        <w:rPr>
          <w:rFonts w:hint="eastAsia" w:ascii="宋体" w:hAnsi="宋体"/>
          <w:color w:val="auto"/>
          <w:highlight w:val="none"/>
        </w:rPr>
        <w:t>（2）若因乙方责任原因</w:t>
      </w:r>
      <w:r>
        <w:rPr>
          <w:rFonts w:ascii="宋体" w:hAnsi="宋体"/>
          <w:color w:val="auto"/>
          <w:highlight w:val="none"/>
        </w:rPr>
        <w:t>造成损失或酿成事故的，除赔偿损失外，依法追究相应责任。</w:t>
      </w:r>
    </w:p>
    <w:p>
      <w:pPr>
        <w:spacing w:line="460" w:lineRule="exact"/>
        <w:ind w:firstLine="480" w:firstLineChars="200"/>
        <w:rPr>
          <w:rFonts w:ascii="宋体" w:hAnsi="宋体"/>
          <w:color w:val="auto"/>
          <w:highlight w:val="none"/>
        </w:rPr>
      </w:pPr>
      <w:r>
        <w:rPr>
          <w:rFonts w:hint="eastAsia" w:ascii="宋体" w:hAnsi="宋体"/>
          <w:color w:val="auto"/>
          <w:highlight w:val="none"/>
        </w:rPr>
        <w:t>（3）乙方未按照协议的约定缴纳违约金的，甲方有权免责解除与乙方签订的在本协议有效期内的所有业务承包合同，由此所产生的一切损失由乙方自行承担。</w:t>
      </w:r>
    </w:p>
    <w:p>
      <w:pPr>
        <w:spacing w:line="460" w:lineRule="exact"/>
        <w:ind w:firstLine="480" w:firstLineChars="200"/>
        <w:rPr>
          <w:rFonts w:ascii="宋体" w:hAnsi="宋体"/>
          <w:color w:val="auto"/>
          <w:highlight w:val="none"/>
        </w:rPr>
      </w:pPr>
      <w:r>
        <w:rPr>
          <w:rFonts w:hint="eastAsia" w:ascii="宋体" w:hAnsi="宋体"/>
          <w:color w:val="auto"/>
          <w:highlight w:val="none"/>
        </w:rPr>
        <w:t>（4）</w:t>
      </w:r>
      <w:r>
        <w:rPr>
          <w:rFonts w:ascii="宋体" w:hAnsi="宋体"/>
          <w:color w:val="auto"/>
          <w:highlight w:val="none"/>
        </w:rPr>
        <w:t>乙方违反本协议中</w:t>
      </w:r>
      <w:r>
        <w:rPr>
          <w:rFonts w:hint="eastAsia" w:ascii="宋体" w:hAnsi="宋体"/>
          <w:color w:val="auto"/>
          <w:highlight w:val="none"/>
        </w:rPr>
        <w:t>任一条约定内容的，甲方责令乙方限期整改但乙方未进行整改或未及时完成整改的，甲方有权免责解除与乙方签订的在本协议有效期内的所有业务承包合同，由此所产生的一切损失由乙方自行承担。</w:t>
      </w:r>
    </w:p>
    <w:p>
      <w:pPr>
        <w:spacing w:line="460" w:lineRule="exact"/>
        <w:ind w:firstLine="480" w:firstLineChars="200"/>
        <w:rPr>
          <w:rFonts w:ascii="宋体" w:hAnsi="宋体"/>
          <w:color w:val="auto"/>
          <w:highlight w:val="none"/>
        </w:rPr>
      </w:pPr>
      <w:r>
        <w:rPr>
          <w:rFonts w:hint="eastAsia" w:ascii="宋体" w:hAnsi="宋体"/>
          <w:color w:val="auto"/>
          <w:highlight w:val="none"/>
        </w:rPr>
        <w:t>（5）</w:t>
      </w:r>
      <w:r>
        <w:rPr>
          <w:rFonts w:ascii="宋体" w:hAnsi="宋体"/>
          <w:color w:val="auto"/>
          <w:highlight w:val="none"/>
        </w:rPr>
        <w:t>乙方及所属员工违反</w:t>
      </w:r>
      <w:r>
        <w:rPr>
          <w:rFonts w:hint="eastAsia" w:ascii="宋体" w:hAnsi="宋体"/>
          <w:color w:val="auto"/>
          <w:highlight w:val="none"/>
        </w:rPr>
        <w:t>本协议中任一条约定内容造成严重后果，构成犯罪的，交由司法机关依法追究其法定代表人或当事人的刑事责任。</w:t>
      </w:r>
    </w:p>
    <w:p>
      <w:pPr>
        <w:spacing w:line="460" w:lineRule="exact"/>
        <w:rPr>
          <w:rFonts w:ascii="宋体" w:hAnsi="宋体"/>
          <w:color w:val="auto"/>
          <w:sz w:val="28"/>
          <w:szCs w:val="28"/>
          <w:highlight w:val="none"/>
        </w:rPr>
      </w:pPr>
    </w:p>
    <w:p>
      <w:pPr>
        <w:numPr>
          <w:ilvl w:val="0"/>
          <w:numId w:val="3"/>
        </w:numPr>
        <w:spacing w:line="460" w:lineRule="exact"/>
        <w:rPr>
          <w:rFonts w:ascii="宋体" w:hAnsi="宋体"/>
          <w:b/>
          <w:bCs/>
          <w:color w:val="auto"/>
          <w:sz w:val="28"/>
          <w:szCs w:val="28"/>
          <w:highlight w:val="none"/>
        </w:rPr>
      </w:pPr>
      <w:r>
        <w:rPr>
          <w:rFonts w:hint="eastAsia" w:ascii="宋体" w:hAnsi="宋体"/>
          <w:b/>
          <w:bCs/>
          <w:color w:val="auto"/>
          <w:sz w:val="28"/>
          <w:szCs w:val="28"/>
          <w:highlight w:val="none"/>
        </w:rPr>
        <w:t>安全考核办法</w:t>
      </w:r>
    </w:p>
    <w:p>
      <w:pPr>
        <w:pStyle w:val="29"/>
        <w:spacing w:line="460" w:lineRule="exact"/>
        <w:ind w:firstLine="482" w:firstLineChars="200"/>
        <w:jc w:val="left"/>
        <w:outlineLvl w:val="1"/>
        <w:rPr>
          <w:rFonts w:ascii="宋体" w:hAnsi="宋体" w:eastAsia="宋体"/>
          <w:bCs/>
          <w:color w:val="auto"/>
          <w:sz w:val="24"/>
          <w:szCs w:val="24"/>
          <w:highlight w:val="none"/>
        </w:rPr>
      </w:pPr>
      <w:r>
        <w:rPr>
          <w:rFonts w:hint="eastAsia" w:ascii="宋体" w:hAnsi="宋体" w:eastAsia="宋体"/>
          <w:bCs/>
          <w:color w:val="auto"/>
          <w:sz w:val="24"/>
          <w:szCs w:val="24"/>
          <w:highlight w:val="none"/>
        </w:rPr>
        <w:t>（一）安全考核主要分为扣减违约金、记分考评两个维度</w:t>
      </w:r>
    </w:p>
    <w:p>
      <w:pPr>
        <w:pStyle w:val="29"/>
        <w:spacing w:line="460" w:lineRule="exact"/>
        <w:ind w:firstLine="480" w:firstLineChars="200"/>
        <w:jc w:val="left"/>
        <w:outlineLvl w:val="1"/>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若乙方发生不安全事件或存在不符合项的，甲方根据事件性质对乙方的违规违章行为或乙方存在的不符合项给予扣减违约金；并根据事件或不符合项扣减的违约金进行记分换算。</w:t>
      </w:r>
    </w:p>
    <w:p>
      <w:pPr>
        <w:pStyle w:val="29"/>
        <w:spacing w:line="460" w:lineRule="exact"/>
        <w:ind w:firstLine="482" w:firstLineChars="200"/>
        <w:jc w:val="left"/>
        <w:outlineLvl w:val="1"/>
        <w:rPr>
          <w:rFonts w:ascii="宋体" w:hAnsi="宋体" w:eastAsia="宋体"/>
          <w:bCs/>
          <w:color w:val="auto"/>
          <w:sz w:val="24"/>
          <w:szCs w:val="24"/>
          <w:highlight w:val="none"/>
        </w:rPr>
      </w:pPr>
      <w:r>
        <w:rPr>
          <w:rFonts w:hint="eastAsia" w:ascii="宋体" w:hAnsi="宋体" w:eastAsia="宋体"/>
          <w:bCs/>
          <w:color w:val="auto"/>
          <w:sz w:val="24"/>
          <w:szCs w:val="24"/>
          <w:highlight w:val="none"/>
        </w:rPr>
        <w:t>（二）安全考核评价周期</w:t>
      </w:r>
    </w:p>
    <w:p>
      <w:pPr>
        <w:pStyle w:val="29"/>
        <w:spacing w:line="460" w:lineRule="exact"/>
        <w:ind w:firstLine="480" w:firstLineChars="200"/>
        <w:jc w:val="left"/>
        <w:outlineLvl w:val="1"/>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自乙方实际提供服务之日起，按照自然年进行安全考核评价；每个自然年即为一个安全考核评价周期。自乙方实际提供服务之日至当年度</w:t>
      </w:r>
      <w:r>
        <w:rPr>
          <w:rFonts w:ascii="宋体" w:hAnsi="宋体" w:eastAsia="宋体"/>
          <w:b w:val="0"/>
          <w:color w:val="auto"/>
          <w:sz w:val="24"/>
          <w:szCs w:val="24"/>
          <w:highlight w:val="none"/>
        </w:rPr>
        <w:t>12月31日</w:t>
      </w:r>
      <w:r>
        <w:rPr>
          <w:rFonts w:hint="eastAsia" w:ascii="宋体" w:hAnsi="宋体" w:eastAsia="宋体"/>
          <w:b w:val="0"/>
          <w:color w:val="auto"/>
          <w:sz w:val="24"/>
          <w:szCs w:val="24"/>
          <w:highlight w:val="none"/>
        </w:rPr>
        <w:t>的，或者从</w:t>
      </w:r>
      <w:r>
        <w:rPr>
          <w:rFonts w:ascii="宋体" w:hAnsi="宋体" w:eastAsia="宋体"/>
          <w:b w:val="0"/>
          <w:color w:val="auto"/>
          <w:sz w:val="24"/>
          <w:szCs w:val="24"/>
          <w:highlight w:val="none"/>
        </w:rPr>
        <w:t>1月1日起至</w:t>
      </w:r>
      <w:r>
        <w:rPr>
          <w:rFonts w:hint="eastAsia" w:ascii="宋体" w:hAnsi="宋体" w:eastAsia="宋体"/>
          <w:b w:val="0"/>
          <w:color w:val="auto"/>
          <w:sz w:val="24"/>
          <w:szCs w:val="24"/>
          <w:highlight w:val="none"/>
        </w:rPr>
        <w:t>合同续签前的，均按照实际提供服务的期限开展安全考核评价工作。</w:t>
      </w:r>
    </w:p>
    <w:p>
      <w:pPr>
        <w:pStyle w:val="29"/>
        <w:spacing w:line="460" w:lineRule="exact"/>
        <w:ind w:firstLine="482" w:firstLineChars="200"/>
        <w:jc w:val="left"/>
        <w:outlineLvl w:val="1"/>
        <w:rPr>
          <w:rFonts w:ascii="宋体" w:hAnsi="宋体" w:eastAsia="宋体"/>
          <w:bCs/>
          <w:color w:val="auto"/>
          <w:sz w:val="24"/>
          <w:szCs w:val="24"/>
          <w:highlight w:val="none"/>
        </w:rPr>
      </w:pPr>
      <w:r>
        <w:rPr>
          <w:rFonts w:hint="eastAsia" w:ascii="宋体" w:hAnsi="宋体" w:eastAsia="宋体"/>
          <w:bCs/>
          <w:color w:val="auto"/>
          <w:sz w:val="24"/>
          <w:szCs w:val="24"/>
          <w:highlight w:val="none"/>
        </w:rPr>
        <w:t>（三）安全考核评价级别的划分</w:t>
      </w:r>
    </w:p>
    <w:p>
      <w:pPr>
        <w:pStyle w:val="29"/>
        <w:spacing w:line="460" w:lineRule="exact"/>
        <w:ind w:firstLine="480" w:firstLineChars="200"/>
        <w:jc w:val="left"/>
        <w:outlineLvl w:val="1"/>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根据安全考核评价得分和安全目标完成情况，每个年度对乙方的安全生产表现作出评定，主要划分为优秀、良好、基本达标及不达标四个级别。其中95分（含）以上为优秀，95分至90分（含）为良好，90分至80分（含）为基本达标，80分以下或突破年度安全责任目标任意一项的为不达标。具体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126"/>
        <w:gridCol w:w="199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pStyle w:val="29"/>
              <w:widowControl w:val="0"/>
              <w:spacing w:line="240" w:lineRule="exact"/>
              <w:outlineLvl w:val="1"/>
              <w:rPr>
                <w:rStyle w:val="22"/>
                <w:rFonts w:ascii="宋体" w:hAnsi="宋体" w:eastAsia="宋体" w:cs="Arial"/>
                <w:b w:val="0"/>
                <w:color w:val="auto"/>
                <w:sz w:val="18"/>
                <w:szCs w:val="18"/>
                <w:highlight w:val="none"/>
              </w:rPr>
            </w:pPr>
            <w:r>
              <w:rPr>
                <w:rStyle w:val="22"/>
                <w:rFonts w:ascii="宋体" w:hAnsi="宋体" w:eastAsia="宋体" w:cs="Arial"/>
                <w:b w:val="0"/>
                <w:color w:val="auto"/>
                <w:sz w:val="18"/>
                <w:szCs w:val="18"/>
                <w:highlight w:val="none"/>
              </w:rPr>
              <w:t>95</w:t>
            </w:r>
            <w:r>
              <w:rPr>
                <w:rStyle w:val="22"/>
                <w:rFonts w:hint="eastAsia" w:ascii="宋体" w:hAnsi="宋体" w:eastAsia="宋体" w:cs="Arial"/>
                <w:b w:val="0"/>
                <w:color w:val="auto"/>
                <w:sz w:val="18"/>
                <w:szCs w:val="18"/>
                <w:highlight w:val="none"/>
              </w:rPr>
              <w:t>分（含）以上</w:t>
            </w:r>
          </w:p>
        </w:tc>
        <w:tc>
          <w:tcPr>
            <w:tcW w:w="2126" w:type="dxa"/>
            <w:vAlign w:val="center"/>
          </w:tcPr>
          <w:p>
            <w:pPr>
              <w:pStyle w:val="29"/>
              <w:widowControl w:val="0"/>
              <w:spacing w:line="240" w:lineRule="exact"/>
              <w:outlineLvl w:val="1"/>
              <w:rPr>
                <w:rStyle w:val="22"/>
                <w:rFonts w:ascii="宋体" w:hAnsi="宋体" w:eastAsia="宋体" w:cs="Arial"/>
                <w:b w:val="0"/>
                <w:color w:val="auto"/>
                <w:sz w:val="18"/>
                <w:szCs w:val="18"/>
                <w:highlight w:val="none"/>
              </w:rPr>
            </w:pPr>
            <w:r>
              <w:rPr>
                <w:rStyle w:val="22"/>
                <w:rFonts w:ascii="宋体" w:hAnsi="宋体" w:eastAsia="宋体" w:cs="Arial"/>
                <w:b w:val="0"/>
                <w:color w:val="auto"/>
                <w:sz w:val="18"/>
                <w:szCs w:val="18"/>
                <w:highlight w:val="none"/>
              </w:rPr>
              <w:t>95</w:t>
            </w:r>
            <w:r>
              <w:rPr>
                <w:rStyle w:val="22"/>
                <w:rFonts w:hint="eastAsia" w:ascii="宋体" w:hAnsi="宋体" w:eastAsia="宋体" w:cs="Arial"/>
                <w:b w:val="0"/>
                <w:color w:val="auto"/>
                <w:sz w:val="18"/>
                <w:szCs w:val="18"/>
                <w:highlight w:val="none"/>
              </w:rPr>
              <w:t>分-</w:t>
            </w:r>
            <w:r>
              <w:rPr>
                <w:rStyle w:val="22"/>
                <w:rFonts w:ascii="宋体" w:hAnsi="宋体" w:eastAsia="宋体" w:cs="Arial"/>
                <w:b w:val="0"/>
                <w:color w:val="auto"/>
                <w:sz w:val="18"/>
                <w:szCs w:val="18"/>
                <w:highlight w:val="none"/>
              </w:rPr>
              <w:t>90</w:t>
            </w:r>
            <w:r>
              <w:rPr>
                <w:rStyle w:val="22"/>
                <w:rFonts w:hint="eastAsia" w:ascii="宋体" w:hAnsi="宋体" w:eastAsia="宋体" w:cs="Arial"/>
                <w:b w:val="0"/>
                <w:color w:val="auto"/>
                <w:sz w:val="18"/>
                <w:szCs w:val="18"/>
                <w:highlight w:val="none"/>
              </w:rPr>
              <w:t>分（含）</w:t>
            </w:r>
            <w:r>
              <w:rPr>
                <w:rStyle w:val="22"/>
                <w:rFonts w:ascii="宋体" w:hAnsi="宋体" w:eastAsia="宋体" w:cs="Arial"/>
                <w:b w:val="0"/>
                <w:color w:val="auto"/>
                <w:sz w:val="18"/>
                <w:szCs w:val="18"/>
                <w:highlight w:val="none"/>
              </w:rPr>
              <w:t xml:space="preserve"> </w:t>
            </w:r>
          </w:p>
        </w:tc>
        <w:tc>
          <w:tcPr>
            <w:tcW w:w="1990" w:type="dxa"/>
            <w:vAlign w:val="center"/>
          </w:tcPr>
          <w:p>
            <w:pPr>
              <w:pStyle w:val="29"/>
              <w:widowControl w:val="0"/>
              <w:spacing w:line="240" w:lineRule="exact"/>
              <w:outlineLvl w:val="1"/>
              <w:rPr>
                <w:rStyle w:val="22"/>
                <w:rFonts w:ascii="宋体" w:hAnsi="宋体" w:eastAsia="宋体" w:cs="Arial"/>
                <w:b w:val="0"/>
                <w:color w:val="auto"/>
                <w:sz w:val="18"/>
                <w:szCs w:val="18"/>
                <w:highlight w:val="none"/>
              </w:rPr>
            </w:pPr>
            <w:r>
              <w:rPr>
                <w:rStyle w:val="22"/>
                <w:rFonts w:ascii="宋体" w:hAnsi="宋体" w:eastAsia="宋体" w:cs="Arial"/>
                <w:b w:val="0"/>
                <w:color w:val="auto"/>
                <w:sz w:val="18"/>
                <w:szCs w:val="18"/>
                <w:highlight w:val="none"/>
              </w:rPr>
              <w:t>90</w:t>
            </w:r>
            <w:r>
              <w:rPr>
                <w:rStyle w:val="22"/>
                <w:rFonts w:hint="eastAsia" w:ascii="宋体" w:hAnsi="宋体" w:eastAsia="宋体" w:cs="Arial"/>
                <w:b w:val="0"/>
                <w:color w:val="auto"/>
                <w:sz w:val="18"/>
                <w:szCs w:val="18"/>
                <w:highlight w:val="none"/>
              </w:rPr>
              <w:t>分-</w:t>
            </w:r>
            <w:r>
              <w:rPr>
                <w:rStyle w:val="22"/>
                <w:rFonts w:ascii="宋体" w:hAnsi="宋体" w:eastAsia="宋体" w:cs="Arial"/>
                <w:b w:val="0"/>
                <w:color w:val="auto"/>
                <w:sz w:val="18"/>
                <w:szCs w:val="18"/>
                <w:highlight w:val="none"/>
              </w:rPr>
              <w:t>8</w:t>
            </w:r>
            <w:r>
              <w:rPr>
                <w:rStyle w:val="22"/>
                <w:rFonts w:hint="eastAsia" w:ascii="宋体" w:hAnsi="宋体" w:eastAsia="宋体" w:cs="Arial"/>
                <w:b w:val="0"/>
                <w:color w:val="auto"/>
                <w:sz w:val="18"/>
                <w:szCs w:val="18"/>
                <w:highlight w:val="none"/>
              </w:rPr>
              <w:t>0分（含）</w:t>
            </w:r>
            <w:r>
              <w:rPr>
                <w:rStyle w:val="22"/>
                <w:rFonts w:ascii="宋体" w:hAnsi="宋体" w:eastAsia="宋体" w:cs="Arial"/>
                <w:b w:val="0"/>
                <w:color w:val="auto"/>
                <w:sz w:val="18"/>
                <w:szCs w:val="18"/>
                <w:highlight w:val="none"/>
              </w:rPr>
              <w:t xml:space="preserve"> </w:t>
            </w:r>
          </w:p>
        </w:tc>
        <w:tc>
          <w:tcPr>
            <w:tcW w:w="1984" w:type="dxa"/>
            <w:vAlign w:val="center"/>
          </w:tcPr>
          <w:p>
            <w:pPr>
              <w:pStyle w:val="29"/>
              <w:widowControl w:val="0"/>
              <w:spacing w:line="240" w:lineRule="exact"/>
              <w:outlineLvl w:val="1"/>
              <w:rPr>
                <w:rStyle w:val="22"/>
                <w:rFonts w:ascii="宋体" w:hAnsi="宋体" w:eastAsia="宋体" w:cs="Arial"/>
                <w:b w:val="0"/>
                <w:color w:val="auto"/>
                <w:sz w:val="18"/>
                <w:szCs w:val="18"/>
                <w:highlight w:val="none"/>
              </w:rPr>
            </w:pPr>
            <w:r>
              <w:rPr>
                <w:rStyle w:val="22"/>
                <w:rFonts w:hint="eastAsia" w:ascii="宋体" w:hAnsi="宋体" w:eastAsia="宋体" w:cs="Arial"/>
                <w:b w:val="0"/>
                <w:color w:val="auto"/>
                <w:sz w:val="18"/>
                <w:szCs w:val="18"/>
                <w:highlight w:val="none"/>
              </w:rPr>
              <w:t>8</w:t>
            </w:r>
            <w:r>
              <w:rPr>
                <w:rStyle w:val="22"/>
                <w:rFonts w:ascii="宋体" w:hAnsi="宋体" w:eastAsia="宋体" w:cs="Arial"/>
                <w:b w:val="0"/>
                <w:color w:val="auto"/>
                <w:sz w:val="18"/>
                <w:szCs w:val="18"/>
                <w:highlight w:val="none"/>
              </w:rPr>
              <w:t>0</w:t>
            </w:r>
            <w:r>
              <w:rPr>
                <w:rStyle w:val="22"/>
                <w:rFonts w:hint="eastAsia" w:ascii="宋体" w:hAnsi="宋体" w:eastAsia="宋体" w:cs="Arial"/>
                <w:b w:val="0"/>
                <w:color w:val="auto"/>
                <w:sz w:val="18"/>
                <w:szCs w:val="18"/>
                <w:highlight w:val="none"/>
              </w:rPr>
              <w:t>分以下</w:t>
            </w:r>
          </w:p>
          <w:p>
            <w:pPr>
              <w:pStyle w:val="29"/>
              <w:widowControl w:val="0"/>
              <w:spacing w:line="240" w:lineRule="exact"/>
              <w:outlineLvl w:val="1"/>
              <w:rPr>
                <w:rStyle w:val="22"/>
                <w:rFonts w:ascii="宋体" w:hAnsi="宋体" w:eastAsia="宋体" w:cs="Arial"/>
                <w:b w:val="0"/>
                <w:color w:val="auto"/>
                <w:sz w:val="18"/>
                <w:szCs w:val="18"/>
                <w:highlight w:val="none"/>
              </w:rPr>
            </w:pPr>
            <w:r>
              <w:rPr>
                <w:rStyle w:val="22"/>
                <w:rFonts w:hint="eastAsia" w:ascii="宋体" w:hAnsi="宋体" w:eastAsia="宋体" w:cs="Arial"/>
                <w:b w:val="0"/>
                <w:color w:val="auto"/>
                <w:sz w:val="18"/>
                <w:szCs w:val="18"/>
                <w:highlight w:val="none"/>
              </w:rPr>
              <w:t>或突破安全责任目标任意一项的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122" w:type="dxa"/>
            <w:vAlign w:val="center"/>
          </w:tcPr>
          <w:p>
            <w:pPr>
              <w:pStyle w:val="29"/>
              <w:widowControl w:val="0"/>
              <w:spacing w:line="240" w:lineRule="exact"/>
              <w:outlineLvl w:val="1"/>
              <w:rPr>
                <w:rStyle w:val="22"/>
                <w:rFonts w:ascii="宋体" w:hAnsi="宋体" w:eastAsia="宋体" w:cs="Arial"/>
                <w:b w:val="0"/>
                <w:color w:val="auto"/>
                <w:sz w:val="18"/>
                <w:szCs w:val="18"/>
                <w:highlight w:val="none"/>
              </w:rPr>
            </w:pPr>
            <w:r>
              <w:rPr>
                <w:rStyle w:val="22"/>
                <w:rFonts w:hint="eastAsia" w:ascii="宋体" w:hAnsi="宋体" w:eastAsia="宋体" w:cs="Arial"/>
                <w:b w:val="0"/>
                <w:color w:val="auto"/>
                <w:sz w:val="18"/>
                <w:szCs w:val="18"/>
                <w:highlight w:val="none"/>
              </w:rPr>
              <w:t>优秀</w:t>
            </w:r>
          </w:p>
        </w:tc>
        <w:tc>
          <w:tcPr>
            <w:tcW w:w="2126" w:type="dxa"/>
            <w:vAlign w:val="center"/>
          </w:tcPr>
          <w:p>
            <w:pPr>
              <w:pStyle w:val="29"/>
              <w:widowControl w:val="0"/>
              <w:spacing w:line="240" w:lineRule="exact"/>
              <w:outlineLvl w:val="1"/>
              <w:rPr>
                <w:rStyle w:val="22"/>
                <w:rFonts w:ascii="宋体" w:hAnsi="宋体" w:eastAsia="宋体" w:cs="Arial"/>
                <w:b w:val="0"/>
                <w:color w:val="auto"/>
                <w:sz w:val="18"/>
                <w:szCs w:val="18"/>
                <w:highlight w:val="none"/>
              </w:rPr>
            </w:pPr>
            <w:r>
              <w:rPr>
                <w:rStyle w:val="22"/>
                <w:rFonts w:hint="eastAsia" w:ascii="宋体" w:hAnsi="宋体" w:eastAsia="宋体" w:cs="Arial"/>
                <w:b w:val="0"/>
                <w:color w:val="auto"/>
                <w:sz w:val="18"/>
                <w:szCs w:val="18"/>
                <w:highlight w:val="none"/>
              </w:rPr>
              <w:t>良好</w:t>
            </w:r>
          </w:p>
        </w:tc>
        <w:tc>
          <w:tcPr>
            <w:tcW w:w="1990" w:type="dxa"/>
            <w:vAlign w:val="center"/>
          </w:tcPr>
          <w:p>
            <w:pPr>
              <w:pStyle w:val="29"/>
              <w:widowControl w:val="0"/>
              <w:spacing w:line="240" w:lineRule="exact"/>
              <w:outlineLvl w:val="1"/>
              <w:rPr>
                <w:rStyle w:val="22"/>
                <w:rFonts w:ascii="宋体" w:hAnsi="宋体" w:eastAsia="宋体" w:cs="Arial"/>
                <w:b w:val="0"/>
                <w:color w:val="auto"/>
                <w:sz w:val="18"/>
                <w:szCs w:val="18"/>
                <w:highlight w:val="none"/>
              </w:rPr>
            </w:pPr>
            <w:r>
              <w:rPr>
                <w:rStyle w:val="22"/>
                <w:rFonts w:hint="eastAsia" w:ascii="宋体" w:hAnsi="宋体" w:eastAsia="宋体" w:cs="Arial"/>
                <w:b w:val="0"/>
                <w:color w:val="auto"/>
                <w:sz w:val="18"/>
                <w:szCs w:val="18"/>
                <w:highlight w:val="none"/>
              </w:rPr>
              <w:t>基本达标</w:t>
            </w:r>
          </w:p>
        </w:tc>
        <w:tc>
          <w:tcPr>
            <w:tcW w:w="1984" w:type="dxa"/>
            <w:vAlign w:val="center"/>
          </w:tcPr>
          <w:p>
            <w:pPr>
              <w:pStyle w:val="29"/>
              <w:widowControl w:val="0"/>
              <w:spacing w:line="240" w:lineRule="exact"/>
              <w:outlineLvl w:val="1"/>
              <w:rPr>
                <w:rStyle w:val="22"/>
                <w:rFonts w:ascii="宋体" w:hAnsi="宋体" w:eastAsia="宋体" w:cs="Arial"/>
                <w:b w:val="0"/>
                <w:color w:val="auto"/>
                <w:sz w:val="18"/>
                <w:szCs w:val="18"/>
                <w:highlight w:val="none"/>
              </w:rPr>
            </w:pPr>
            <w:r>
              <w:rPr>
                <w:rStyle w:val="22"/>
                <w:rFonts w:hint="eastAsia" w:ascii="宋体" w:hAnsi="宋体" w:eastAsia="宋体" w:cs="Arial"/>
                <w:b w:val="0"/>
                <w:color w:val="auto"/>
                <w:sz w:val="18"/>
                <w:szCs w:val="18"/>
                <w:highlight w:val="none"/>
              </w:rPr>
              <w:t>不达标</w:t>
            </w:r>
          </w:p>
        </w:tc>
      </w:tr>
    </w:tbl>
    <w:p>
      <w:pPr>
        <w:pStyle w:val="29"/>
        <w:numPr>
          <w:ilvl w:val="0"/>
          <w:numId w:val="4"/>
        </w:numPr>
        <w:spacing w:line="460" w:lineRule="exact"/>
        <w:ind w:firstLine="482" w:firstLineChars="200"/>
        <w:jc w:val="left"/>
        <w:outlineLvl w:val="1"/>
        <w:rPr>
          <w:rFonts w:ascii="宋体" w:hAnsi="宋体" w:eastAsia="宋体"/>
          <w:bCs/>
          <w:color w:val="auto"/>
          <w:sz w:val="24"/>
          <w:szCs w:val="24"/>
          <w:highlight w:val="none"/>
        </w:rPr>
      </w:pPr>
      <w:r>
        <w:rPr>
          <w:rFonts w:hint="eastAsia" w:ascii="宋体" w:hAnsi="宋体" w:eastAsia="宋体"/>
          <w:bCs/>
          <w:color w:val="auto"/>
          <w:sz w:val="24"/>
          <w:szCs w:val="24"/>
          <w:highlight w:val="none"/>
        </w:rPr>
        <w:t>具体考核评价方法如下：</w:t>
      </w:r>
    </w:p>
    <w:p>
      <w:pPr>
        <w:pStyle w:val="29"/>
        <w:spacing w:line="460" w:lineRule="exact"/>
        <w:ind w:firstLine="480" w:firstLineChars="200"/>
        <w:jc w:val="left"/>
        <w:outlineLvl w:val="1"/>
        <w:rPr>
          <w:rFonts w:ascii="宋体" w:hAnsi="宋体" w:eastAsia="宋体"/>
          <w:bCs/>
          <w:color w:val="auto"/>
          <w:sz w:val="24"/>
          <w:szCs w:val="24"/>
          <w:highlight w:val="none"/>
        </w:rPr>
      </w:pPr>
      <w:r>
        <w:rPr>
          <w:rFonts w:hint="eastAsia" w:ascii="宋体" w:hAnsi="宋体" w:eastAsia="宋体"/>
          <w:b w:val="0"/>
          <w:color w:val="auto"/>
          <w:sz w:val="24"/>
          <w:szCs w:val="24"/>
          <w:highlight w:val="none"/>
        </w:rPr>
        <w:t>安全考核评价方法主要由定性指标、定量指标、加分项三部分构成。满分为1</w:t>
      </w:r>
      <w:r>
        <w:rPr>
          <w:rFonts w:ascii="宋体" w:hAnsi="宋体" w:eastAsia="宋体"/>
          <w:b w:val="0"/>
          <w:color w:val="auto"/>
          <w:sz w:val="24"/>
          <w:szCs w:val="24"/>
          <w:highlight w:val="none"/>
        </w:rPr>
        <w:t>00</w:t>
      </w:r>
      <w:r>
        <w:rPr>
          <w:rFonts w:hint="eastAsia" w:ascii="宋体" w:hAnsi="宋体" w:eastAsia="宋体"/>
          <w:b w:val="0"/>
          <w:color w:val="auto"/>
          <w:sz w:val="24"/>
          <w:szCs w:val="24"/>
          <w:highlight w:val="none"/>
        </w:rPr>
        <w:t>分，具体公式为：安全考核评价总分=1</w:t>
      </w:r>
      <w:r>
        <w:rPr>
          <w:rFonts w:ascii="宋体" w:hAnsi="宋体" w:eastAsia="宋体"/>
          <w:b w:val="0"/>
          <w:color w:val="auto"/>
          <w:sz w:val="24"/>
          <w:szCs w:val="24"/>
          <w:highlight w:val="none"/>
        </w:rPr>
        <w:t>00</w:t>
      </w:r>
      <w:r>
        <w:rPr>
          <w:rFonts w:hint="eastAsia" w:ascii="宋体" w:hAnsi="宋体" w:eastAsia="宋体"/>
          <w:b w:val="0"/>
          <w:color w:val="auto"/>
          <w:sz w:val="24"/>
          <w:szCs w:val="24"/>
          <w:highlight w:val="none"/>
        </w:rPr>
        <w:t>分-定量指标+加分项。</w:t>
      </w:r>
    </w:p>
    <w:p>
      <w:pPr>
        <w:spacing w:line="460" w:lineRule="exact"/>
        <w:ind w:firstLine="482" w:firstLineChars="200"/>
        <w:rPr>
          <w:rFonts w:ascii="宋体" w:hAnsi="宋体"/>
          <w:b/>
          <w:bCs/>
          <w:color w:val="auto"/>
          <w:highlight w:val="none"/>
        </w:rPr>
      </w:pPr>
      <w:r>
        <w:rPr>
          <w:rFonts w:hint="eastAsia" w:ascii="宋体" w:hAnsi="宋体"/>
          <w:b/>
          <w:bCs/>
          <w:color w:val="auto"/>
          <w:highlight w:val="none"/>
        </w:rPr>
        <w:t>1</w:t>
      </w:r>
      <w:r>
        <w:rPr>
          <w:rFonts w:ascii="宋体" w:hAnsi="宋体"/>
          <w:b/>
          <w:bCs/>
          <w:color w:val="auto"/>
          <w:highlight w:val="none"/>
        </w:rPr>
        <w:t>.</w:t>
      </w:r>
      <w:r>
        <w:rPr>
          <w:rFonts w:hint="eastAsia" w:ascii="宋体" w:hAnsi="宋体"/>
          <w:b/>
          <w:bCs/>
          <w:color w:val="auto"/>
          <w:highlight w:val="none"/>
        </w:rPr>
        <w:t>安全责任目标（定性指标）</w:t>
      </w:r>
    </w:p>
    <w:p>
      <w:pPr>
        <w:spacing w:line="460" w:lineRule="exact"/>
        <w:ind w:firstLine="480" w:firstLineChars="200"/>
        <w:rPr>
          <w:rFonts w:ascii="宋体" w:hAnsi="宋体"/>
          <w:color w:val="auto"/>
          <w:highlight w:val="none"/>
        </w:rPr>
      </w:pPr>
      <w:r>
        <w:rPr>
          <w:rFonts w:hint="eastAsia" w:ascii="宋体" w:hAnsi="宋体"/>
          <w:color w:val="auto"/>
          <w:highlight w:val="none"/>
        </w:rPr>
        <w:t>乙方突破安全责任目标任一情形的（具体见附件1），</w:t>
      </w:r>
      <w:r>
        <w:rPr>
          <w:rFonts w:ascii="宋体" w:hAnsi="宋体"/>
          <w:color w:val="auto"/>
          <w:highlight w:val="none"/>
        </w:rPr>
        <w:t>甲方有权</w:t>
      </w:r>
      <w:r>
        <w:rPr>
          <w:rFonts w:hint="eastAsia" w:ascii="宋体" w:hAnsi="宋体"/>
          <w:color w:val="auto"/>
          <w:highlight w:val="none"/>
        </w:rPr>
        <w:t>单方书面</w:t>
      </w:r>
      <w:r>
        <w:rPr>
          <w:rFonts w:ascii="宋体" w:hAnsi="宋体"/>
          <w:color w:val="auto"/>
          <w:highlight w:val="none"/>
        </w:rPr>
        <w:t>免责</w:t>
      </w:r>
      <w:r>
        <w:rPr>
          <w:rFonts w:hint="eastAsia" w:ascii="宋体" w:hAnsi="宋体"/>
          <w:color w:val="auto"/>
          <w:highlight w:val="none"/>
        </w:rPr>
        <w:t>解除与乙方签订的合同</w:t>
      </w:r>
      <w:r>
        <w:rPr>
          <w:rFonts w:ascii="宋体" w:hAnsi="宋体"/>
          <w:color w:val="auto"/>
          <w:highlight w:val="none"/>
        </w:rPr>
        <w:t>/协议（主合同）</w:t>
      </w:r>
      <w:r>
        <w:rPr>
          <w:rFonts w:hint="eastAsia" w:ascii="宋体" w:hAnsi="宋体"/>
          <w:color w:val="auto"/>
          <w:highlight w:val="none"/>
        </w:rPr>
        <w:t>，且年度安全考核评价结果为“不达标”。同时，乙方还应赔偿甲方所受到的一切损失（含直接损失与间接损失）。</w:t>
      </w:r>
    </w:p>
    <w:p>
      <w:pPr>
        <w:spacing w:line="460" w:lineRule="exact"/>
        <w:ind w:firstLine="482" w:firstLineChars="200"/>
        <w:rPr>
          <w:rFonts w:ascii="宋体" w:hAnsi="宋体"/>
          <w:b/>
          <w:bCs/>
          <w:color w:val="auto"/>
          <w:highlight w:val="none"/>
        </w:rPr>
      </w:pPr>
      <w:r>
        <w:rPr>
          <w:rFonts w:hint="eastAsia" w:ascii="宋体" w:hAnsi="宋体"/>
          <w:b/>
          <w:bCs/>
          <w:color w:val="auto"/>
          <w:highlight w:val="none"/>
        </w:rPr>
        <w:t>2</w:t>
      </w:r>
      <w:r>
        <w:rPr>
          <w:rFonts w:ascii="宋体" w:hAnsi="宋体"/>
          <w:b/>
          <w:bCs/>
          <w:color w:val="auto"/>
          <w:highlight w:val="none"/>
        </w:rPr>
        <w:t>.</w:t>
      </w:r>
      <w:r>
        <w:rPr>
          <w:rFonts w:hint="eastAsia" w:ascii="宋体" w:hAnsi="宋体"/>
          <w:b/>
          <w:bCs/>
          <w:color w:val="auto"/>
          <w:highlight w:val="none"/>
        </w:rPr>
        <w:t>安全考核指标（定量指标）</w:t>
      </w:r>
    </w:p>
    <w:p>
      <w:pPr>
        <w:spacing w:line="460" w:lineRule="exact"/>
        <w:ind w:firstLine="480" w:firstLineChars="200"/>
        <w:rPr>
          <w:rFonts w:ascii="宋体" w:hAnsi="宋体"/>
          <w:color w:val="auto"/>
          <w:highlight w:val="none"/>
        </w:rPr>
      </w:pPr>
      <w:r>
        <w:rPr>
          <w:rFonts w:hint="eastAsia" w:ascii="宋体" w:hAnsi="宋体"/>
          <w:color w:val="auto"/>
          <w:highlight w:val="none"/>
        </w:rPr>
        <w:t>（1）乙方若发生的不安全事件等级为一般差错，或存在不符合项的，甲方按照安全考核指标条款扣减违约金，具体见附件1；若发生的不安全事件属于严重差错等级的，乙方除赔偿甲方所受到的一切损失（含直接损失与间接损失），且乙方应向甲方缴纳违约金：发生第一次的，乙方向甲方缴纳</w:t>
      </w:r>
      <w:r>
        <w:rPr>
          <w:rFonts w:ascii="宋体" w:hAnsi="宋体"/>
          <w:color w:val="auto"/>
          <w:highlight w:val="none"/>
        </w:rPr>
        <w:t>30</w:t>
      </w:r>
      <w:r>
        <w:rPr>
          <w:rFonts w:hint="eastAsia" w:ascii="宋体" w:hAnsi="宋体"/>
          <w:color w:val="auto"/>
          <w:highlight w:val="none"/>
        </w:rPr>
        <w:t>万违约金；发生第二次的，乙方向甲方缴纳</w:t>
      </w:r>
      <w:r>
        <w:rPr>
          <w:rFonts w:ascii="宋体" w:hAnsi="宋体"/>
          <w:color w:val="auto"/>
          <w:highlight w:val="none"/>
        </w:rPr>
        <w:t>60</w:t>
      </w:r>
      <w:r>
        <w:rPr>
          <w:rFonts w:hint="eastAsia" w:ascii="宋体" w:hAnsi="宋体"/>
          <w:color w:val="auto"/>
          <w:highlight w:val="none"/>
        </w:rPr>
        <w:t>万违约金。</w:t>
      </w:r>
    </w:p>
    <w:p>
      <w:pPr>
        <w:spacing w:line="460" w:lineRule="exact"/>
        <w:ind w:firstLine="480" w:firstLineChars="200"/>
        <w:rPr>
          <w:rFonts w:ascii="宋体" w:hAnsi="宋体"/>
          <w:color w:val="auto"/>
          <w:highlight w:val="none"/>
        </w:rPr>
      </w:pPr>
      <w:r>
        <w:rPr>
          <w:rFonts w:hint="eastAsia" w:ascii="宋体" w:hAnsi="宋体"/>
          <w:color w:val="auto"/>
          <w:highlight w:val="none"/>
        </w:rPr>
        <w:t>（2）同类性质不安全事件（具体见附件2）重复发生的，或不符合项属于同一条款重复发生的，视为同类性质不安全事件重复发生。</w:t>
      </w:r>
    </w:p>
    <w:p>
      <w:pPr>
        <w:spacing w:line="460" w:lineRule="exact"/>
        <w:ind w:firstLine="480" w:firstLineChars="200"/>
        <w:rPr>
          <w:rFonts w:ascii="宋体" w:hAnsi="宋体"/>
          <w:color w:val="auto"/>
          <w:highlight w:val="none"/>
        </w:rPr>
      </w:pPr>
      <w:r>
        <w:rPr>
          <w:rFonts w:hint="eastAsia" w:ascii="宋体" w:hAnsi="宋体"/>
          <w:color w:val="auto"/>
          <w:highlight w:val="none"/>
        </w:rPr>
        <w:t>重复发生的，每发生一起，甲方扣减乙方违约金为：</w:t>
      </w:r>
    </w:p>
    <w:p>
      <w:pPr>
        <w:spacing w:line="460" w:lineRule="exact"/>
        <w:ind w:firstLine="482" w:firstLineChars="200"/>
        <w:rPr>
          <w:rFonts w:ascii="宋体" w:hAnsi="宋体"/>
          <w:color w:val="auto"/>
          <w:highlight w:val="none"/>
        </w:rPr>
      </w:pPr>
      <w:r>
        <w:rPr>
          <w:rFonts w:hint="eastAsia" w:ascii="宋体" w:hAnsi="宋体"/>
          <w:b/>
          <w:bCs/>
          <w:color w:val="auto"/>
          <w:highlight w:val="none"/>
        </w:rPr>
        <w:t>重复发生的次数*对应考核项的违约金</w:t>
      </w:r>
    </w:p>
    <w:p>
      <w:pPr>
        <w:pStyle w:val="29"/>
        <w:numPr>
          <w:ilvl w:val="0"/>
          <w:numId w:val="5"/>
        </w:numPr>
        <w:spacing w:line="460" w:lineRule="exact"/>
        <w:ind w:firstLine="480" w:firstLineChars="200"/>
        <w:jc w:val="left"/>
        <w:outlineLvl w:val="1"/>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考核记分方法：</w:t>
      </w:r>
    </w:p>
    <w:p>
      <w:pPr>
        <w:pStyle w:val="29"/>
        <w:spacing w:line="460" w:lineRule="exact"/>
        <w:ind w:firstLine="480" w:firstLineChars="200"/>
        <w:jc w:val="left"/>
        <w:outlineLvl w:val="1"/>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若乙方发生不安全事件或存在不符合项，根据事件性质或不符合项对应的违约金进行记分换算。具体违约金与记分对应换算的比例关系如下：</w:t>
      </w:r>
    </w:p>
    <w:tbl>
      <w:tblPr>
        <w:tblStyle w:val="20"/>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2976"/>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2" w:type="dxa"/>
            <w:vAlign w:val="center"/>
          </w:tcPr>
          <w:p>
            <w:pPr>
              <w:pStyle w:val="29"/>
              <w:widowControl w:val="0"/>
              <w:spacing w:line="240" w:lineRule="exact"/>
              <w:outlineLvl w:val="1"/>
              <w:rPr>
                <w:rFonts w:ascii="宋体" w:hAnsi="宋体" w:eastAsia="宋体"/>
                <w:bCs/>
                <w:color w:val="auto"/>
                <w:sz w:val="18"/>
                <w:szCs w:val="18"/>
                <w:highlight w:val="none"/>
              </w:rPr>
            </w:pPr>
            <w:r>
              <w:rPr>
                <w:rFonts w:hint="eastAsia" w:ascii="宋体" w:hAnsi="宋体" w:eastAsia="宋体"/>
                <w:bCs/>
                <w:color w:val="auto"/>
                <w:sz w:val="18"/>
                <w:szCs w:val="18"/>
                <w:highlight w:val="none"/>
              </w:rPr>
              <w:t>一号航管公司</w:t>
            </w:r>
          </w:p>
        </w:tc>
        <w:tc>
          <w:tcPr>
            <w:tcW w:w="2976" w:type="dxa"/>
            <w:vAlign w:val="center"/>
          </w:tcPr>
          <w:p>
            <w:pPr>
              <w:pStyle w:val="29"/>
              <w:widowControl w:val="0"/>
              <w:spacing w:line="240" w:lineRule="exact"/>
              <w:outlineLvl w:val="1"/>
              <w:rPr>
                <w:rFonts w:ascii="宋体" w:hAnsi="宋体" w:eastAsia="宋体"/>
                <w:bCs/>
                <w:color w:val="auto"/>
                <w:sz w:val="18"/>
                <w:szCs w:val="18"/>
                <w:highlight w:val="none"/>
              </w:rPr>
            </w:pPr>
            <w:r>
              <w:rPr>
                <w:rFonts w:hint="eastAsia" w:ascii="宋体" w:hAnsi="宋体" w:eastAsia="宋体"/>
                <w:bCs/>
                <w:color w:val="auto"/>
                <w:sz w:val="18"/>
                <w:szCs w:val="18"/>
                <w:highlight w:val="none"/>
              </w:rPr>
              <w:t>股份公司</w:t>
            </w:r>
          </w:p>
        </w:tc>
        <w:tc>
          <w:tcPr>
            <w:tcW w:w="2694" w:type="dxa"/>
            <w:vAlign w:val="center"/>
          </w:tcPr>
          <w:p>
            <w:pPr>
              <w:pStyle w:val="29"/>
              <w:widowControl w:val="0"/>
              <w:spacing w:line="240" w:lineRule="exact"/>
              <w:outlineLvl w:val="1"/>
              <w:rPr>
                <w:rFonts w:ascii="宋体" w:hAnsi="宋体" w:eastAsia="宋体"/>
                <w:bCs/>
                <w:color w:val="auto"/>
                <w:sz w:val="18"/>
                <w:szCs w:val="18"/>
                <w:highlight w:val="none"/>
              </w:rPr>
            </w:pPr>
            <w:r>
              <w:rPr>
                <w:rFonts w:hint="eastAsia" w:ascii="宋体" w:hAnsi="宋体" w:eastAsia="宋体"/>
                <w:bCs/>
                <w:color w:val="auto"/>
                <w:sz w:val="18"/>
                <w:szCs w:val="18"/>
                <w:highlight w:val="none"/>
              </w:rPr>
              <w:t>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2" w:type="dxa"/>
            <w:vAlign w:val="center"/>
          </w:tcPr>
          <w:p>
            <w:pPr>
              <w:pStyle w:val="29"/>
              <w:widowControl w:val="0"/>
              <w:spacing w:line="240" w:lineRule="exact"/>
              <w:outlineLvl w:val="1"/>
              <w:rPr>
                <w:rFonts w:ascii="宋体" w:hAnsi="宋体" w:eastAsia="宋体"/>
                <w:b w:val="0"/>
                <w:color w:val="auto"/>
                <w:sz w:val="18"/>
                <w:szCs w:val="18"/>
                <w:highlight w:val="none"/>
              </w:rPr>
            </w:pPr>
            <w:r>
              <w:rPr>
                <w:rFonts w:hint="eastAsia" w:ascii="宋体" w:hAnsi="宋体" w:eastAsia="宋体"/>
                <w:b w:val="0"/>
                <w:color w:val="auto"/>
                <w:sz w:val="18"/>
                <w:szCs w:val="18"/>
                <w:highlight w:val="none"/>
              </w:rPr>
              <w:t>记分=违约金的</w:t>
            </w:r>
            <w:r>
              <w:rPr>
                <w:rFonts w:ascii="宋体" w:hAnsi="宋体" w:eastAsia="宋体"/>
                <w:b w:val="0"/>
                <w:color w:val="auto"/>
                <w:sz w:val="18"/>
                <w:szCs w:val="18"/>
                <w:highlight w:val="none"/>
              </w:rPr>
              <w:t>0.2</w:t>
            </w:r>
            <w:r>
              <w:rPr>
                <w:rFonts w:hint="eastAsia" w:ascii="宋体" w:hAnsi="宋体" w:eastAsia="宋体"/>
                <w:b w:val="0"/>
                <w:color w:val="auto"/>
                <w:sz w:val="18"/>
                <w:szCs w:val="18"/>
                <w:highlight w:val="none"/>
              </w:rPr>
              <w:t>‰</w:t>
            </w:r>
          </w:p>
        </w:tc>
        <w:tc>
          <w:tcPr>
            <w:tcW w:w="2976" w:type="dxa"/>
            <w:vAlign w:val="center"/>
          </w:tcPr>
          <w:p>
            <w:pPr>
              <w:pStyle w:val="29"/>
              <w:widowControl w:val="0"/>
              <w:spacing w:line="240" w:lineRule="exact"/>
              <w:outlineLvl w:val="1"/>
              <w:rPr>
                <w:rFonts w:ascii="宋体" w:hAnsi="宋体" w:eastAsia="宋体"/>
                <w:b w:val="0"/>
                <w:color w:val="auto"/>
                <w:sz w:val="18"/>
                <w:szCs w:val="18"/>
                <w:highlight w:val="none"/>
              </w:rPr>
            </w:pPr>
            <w:r>
              <w:rPr>
                <w:rFonts w:hint="eastAsia" w:ascii="宋体" w:hAnsi="宋体" w:eastAsia="宋体"/>
                <w:b w:val="0"/>
                <w:color w:val="auto"/>
                <w:sz w:val="18"/>
                <w:szCs w:val="18"/>
                <w:highlight w:val="none"/>
              </w:rPr>
              <w:t>记分=违约金的</w:t>
            </w:r>
            <w:r>
              <w:rPr>
                <w:rFonts w:ascii="宋体" w:hAnsi="宋体" w:eastAsia="宋体"/>
                <w:b w:val="0"/>
                <w:color w:val="auto"/>
                <w:sz w:val="18"/>
                <w:szCs w:val="18"/>
                <w:highlight w:val="none"/>
              </w:rPr>
              <w:t>0.25</w:t>
            </w:r>
            <w:r>
              <w:rPr>
                <w:rFonts w:hint="eastAsia" w:ascii="宋体" w:hAnsi="宋体" w:eastAsia="宋体"/>
                <w:b w:val="0"/>
                <w:color w:val="auto"/>
                <w:sz w:val="18"/>
                <w:szCs w:val="18"/>
                <w:highlight w:val="none"/>
              </w:rPr>
              <w:t>‰</w:t>
            </w:r>
          </w:p>
        </w:tc>
        <w:tc>
          <w:tcPr>
            <w:tcW w:w="2694" w:type="dxa"/>
            <w:vAlign w:val="center"/>
          </w:tcPr>
          <w:p>
            <w:pPr>
              <w:pStyle w:val="29"/>
              <w:widowControl w:val="0"/>
              <w:spacing w:line="240" w:lineRule="exact"/>
              <w:outlineLvl w:val="1"/>
              <w:rPr>
                <w:rFonts w:ascii="宋体" w:hAnsi="宋体" w:eastAsia="宋体"/>
                <w:b w:val="0"/>
                <w:color w:val="auto"/>
                <w:sz w:val="18"/>
                <w:szCs w:val="18"/>
                <w:highlight w:val="none"/>
              </w:rPr>
            </w:pPr>
            <w:r>
              <w:rPr>
                <w:rFonts w:hint="eastAsia" w:ascii="宋体" w:hAnsi="宋体" w:eastAsia="宋体"/>
                <w:b w:val="0"/>
                <w:color w:val="auto"/>
                <w:sz w:val="18"/>
                <w:szCs w:val="18"/>
                <w:highlight w:val="none"/>
              </w:rPr>
              <w:t>记分=违约金的</w:t>
            </w:r>
            <w:r>
              <w:rPr>
                <w:rFonts w:ascii="宋体" w:hAnsi="宋体" w:eastAsia="宋体"/>
                <w:b w:val="0"/>
                <w:color w:val="auto"/>
                <w:sz w:val="18"/>
                <w:szCs w:val="18"/>
                <w:highlight w:val="none"/>
              </w:rPr>
              <w:t>0.3</w:t>
            </w:r>
            <w:r>
              <w:rPr>
                <w:rFonts w:hint="eastAsia" w:ascii="宋体" w:hAnsi="宋体" w:eastAsia="宋体"/>
                <w:b w:val="0"/>
                <w:color w:val="auto"/>
                <w:sz w:val="18"/>
                <w:szCs w:val="18"/>
                <w:highlight w:val="none"/>
              </w:rPr>
              <w:t>‰</w:t>
            </w:r>
          </w:p>
        </w:tc>
      </w:tr>
    </w:tbl>
    <w:p>
      <w:pPr>
        <w:spacing w:line="360" w:lineRule="auto"/>
        <w:ind w:firstLine="480" w:firstLineChars="200"/>
        <w:rPr>
          <w:rFonts w:ascii="宋体" w:hAnsi="宋体"/>
          <w:color w:val="auto"/>
          <w:highlight w:val="none"/>
        </w:rPr>
      </w:pPr>
      <w:r>
        <w:rPr>
          <w:rFonts w:hint="eastAsia" w:ascii="宋体" w:hAnsi="宋体"/>
          <w:color w:val="auto"/>
          <w:highlight w:val="none"/>
        </w:rPr>
        <w:t>备注：若乙方每发生一起不安全事件中存在多个违规违章行为或不符合项的，应当分别计算，累计记分；对于评分细则中就同类事项实施多重监控而制定的交叉性安全考核条款，实行就高原则，不重复扣分。</w:t>
      </w:r>
    </w:p>
    <w:p>
      <w:pPr>
        <w:pStyle w:val="29"/>
        <w:spacing w:line="460" w:lineRule="exact"/>
        <w:ind w:firstLine="480" w:firstLineChars="200"/>
        <w:jc w:val="left"/>
        <w:outlineLvl w:val="1"/>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加分项：加分分值可冲减乙方的扣分分值，一年内有效。具体见附件1。</w:t>
      </w:r>
    </w:p>
    <w:p>
      <w:pPr>
        <w:pStyle w:val="29"/>
        <w:tabs>
          <w:tab w:val="left" w:pos="312"/>
        </w:tabs>
        <w:spacing w:line="460" w:lineRule="exact"/>
        <w:ind w:firstLine="482" w:firstLineChars="200"/>
        <w:jc w:val="left"/>
        <w:outlineLvl w:val="1"/>
        <w:rPr>
          <w:rFonts w:ascii="宋体" w:hAnsi="宋体" w:eastAsia="宋体"/>
          <w:bCs/>
          <w:color w:val="auto"/>
          <w:sz w:val="24"/>
          <w:szCs w:val="24"/>
          <w:highlight w:val="none"/>
        </w:rPr>
      </w:pPr>
      <w:r>
        <w:rPr>
          <w:rFonts w:hint="eastAsia" w:ascii="宋体" w:hAnsi="宋体"/>
          <w:bCs/>
          <w:color w:val="auto"/>
          <w:sz w:val="24"/>
          <w:szCs w:val="24"/>
          <w:highlight w:val="none"/>
        </w:rPr>
        <w:t>（五）</w:t>
      </w:r>
      <w:r>
        <w:rPr>
          <w:rFonts w:hint="eastAsia" w:ascii="宋体" w:hAnsi="宋体" w:eastAsia="宋体"/>
          <w:bCs/>
          <w:color w:val="auto"/>
          <w:sz w:val="24"/>
          <w:szCs w:val="24"/>
          <w:highlight w:val="none"/>
        </w:rPr>
        <w:t>安全考核评价结果的应用</w:t>
      </w:r>
    </w:p>
    <w:p>
      <w:pPr>
        <w:pStyle w:val="29"/>
        <w:spacing w:line="460" w:lineRule="exact"/>
        <w:ind w:firstLine="561"/>
        <w:jc w:val="left"/>
        <w:outlineLvl w:val="1"/>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安全考核评价结果主要应用于续签合同、免责终止合同、诫勉谈话或安全约见、以及表彰。具体应用如下：</w:t>
      </w:r>
    </w:p>
    <w:p>
      <w:pPr>
        <w:pStyle w:val="29"/>
        <w:tabs>
          <w:tab w:val="left" w:pos="312"/>
        </w:tabs>
        <w:spacing w:line="460" w:lineRule="exact"/>
        <w:ind w:firstLine="480" w:firstLineChars="200"/>
        <w:jc w:val="left"/>
        <w:outlineLvl w:val="1"/>
        <w:rPr>
          <w:rFonts w:ascii="宋体" w:hAnsi="宋体" w:eastAsia="宋体"/>
          <w:b w:val="0"/>
          <w:color w:val="auto"/>
          <w:sz w:val="24"/>
          <w:szCs w:val="24"/>
          <w:highlight w:val="none"/>
        </w:rPr>
      </w:pPr>
      <w:r>
        <w:rPr>
          <w:rFonts w:ascii="宋体" w:hAnsi="宋体" w:eastAsia="宋体"/>
          <w:b w:val="0"/>
          <w:color w:val="auto"/>
          <w:sz w:val="24"/>
          <w:szCs w:val="24"/>
          <w:highlight w:val="none"/>
        </w:rPr>
        <w:t>1.</w:t>
      </w:r>
      <w:r>
        <w:rPr>
          <w:rFonts w:hint="eastAsia" w:ascii="宋体" w:hAnsi="宋体" w:eastAsia="宋体"/>
          <w:b w:val="0"/>
          <w:color w:val="auto"/>
          <w:sz w:val="24"/>
          <w:szCs w:val="24"/>
          <w:highlight w:val="none"/>
        </w:rPr>
        <w:t>安全考核评价结果作为合同续签的重要依据。</w:t>
      </w:r>
    </w:p>
    <w:p>
      <w:pPr>
        <w:pStyle w:val="29"/>
        <w:tabs>
          <w:tab w:val="left" w:pos="312"/>
        </w:tabs>
        <w:spacing w:line="460" w:lineRule="exact"/>
        <w:ind w:firstLine="480" w:firstLineChars="200"/>
        <w:jc w:val="left"/>
        <w:outlineLvl w:val="1"/>
        <w:rPr>
          <w:rFonts w:ascii="宋体" w:hAnsi="宋体" w:eastAsia="宋体"/>
          <w:b w:val="0"/>
          <w:bCs/>
          <w:color w:val="auto"/>
          <w:sz w:val="24"/>
          <w:szCs w:val="24"/>
          <w:highlight w:val="none"/>
        </w:rPr>
      </w:pPr>
      <w:r>
        <w:rPr>
          <w:rFonts w:ascii="宋体" w:hAnsi="宋体"/>
          <w:b w:val="0"/>
          <w:bCs/>
          <w:color w:val="auto"/>
          <w:sz w:val="24"/>
          <w:szCs w:val="24"/>
          <w:highlight w:val="none"/>
        </w:rPr>
        <w:t>2.</w:t>
      </w:r>
      <w:r>
        <w:rPr>
          <w:rFonts w:hint="eastAsia" w:ascii="宋体" w:hAnsi="宋体" w:eastAsia="宋体"/>
          <w:b w:val="0"/>
          <w:bCs/>
          <w:color w:val="auto"/>
          <w:sz w:val="24"/>
          <w:szCs w:val="24"/>
          <w:highlight w:val="none"/>
        </w:rPr>
        <w:t>自乙方提供服务之日起至续签合同之日止，如果出现任意一个年度安全考核评价结果为“不达标”的，甲方有权不与乙方续签合同。且一个年度安全考核评价结果为“不达标”的，甲方有权免责终止合同。</w:t>
      </w:r>
    </w:p>
    <w:p>
      <w:pPr>
        <w:pStyle w:val="29"/>
        <w:spacing w:line="460" w:lineRule="exact"/>
        <w:ind w:firstLine="480" w:firstLineChars="200"/>
        <w:jc w:val="left"/>
        <w:outlineLvl w:val="1"/>
        <w:rPr>
          <w:rFonts w:ascii="宋体" w:hAnsi="宋体" w:eastAsia="宋体"/>
          <w:b w:val="0"/>
          <w:color w:val="auto"/>
          <w:sz w:val="24"/>
          <w:szCs w:val="24"/>
          <w:highlight w:val="none"/>
        </w:rPr>
      </w:pPr>
      <w:r>
        <w:rPr>
          <w:rFonts w:ascii="宋体" w:hAnsi="宋体" w:eastAsia="宋体"/>
          <w:b w:val="0"/>
          <w:color w:val="auto"/>
          <w:sz w:val="24"/>
          <w:szCs w:val="24"/>
          <w:highlight w:val="none"/>
        </w:rPr>
        <w:t>3.</w:t>
      </w:r>
      <w:r>
        <w:rPr>
          <w:rFonts w:hint="eastAsia" w:ascii="宋体" w:hAnsi="宋体" w:eastAsia="宋体"/>
          <w:b w:val="0"/>
          <w:color w:val="auto"/>
          <w:sz w:val="24"/>
          <w:szCs w:val="24"/>
          <w:highlight w:val="none"/>
        </w:rPr>
        <w:t>一个年度安全考核评价结果为“基本达标”的，甲方可对乙方通过诫勉谈话或安全约见给予提醒。</w:t>
      </w:r>
    </w:p>
    <w:p>
      <w:pPr>
        <w:spacing w:line="460" w:lineRule="exact"/>
        <w:ind w:firstLine="480" w:firstLineChars="200"/>
        <w:rPr>
          <w:rFonts w:ascii="宋体" w:hAnsi="宋体"/>
          <w:color w:val="auto"/>
          <w:highlight w:val="none"/>
        </w:rPr>
      </w:pPr>
      <w:r>
        <w:rPr>
          <w:rFonts w:ascii="宋体" w:hAnsi="宋体"/>
          <w:color w:val="auto"/>
          <w:highlight w:val="none"/>
        </w:rPr>
        <w:t>4.</w:t>
      </w:r>
      <w:r>
        <w:rPr>
          <w:rFonts w:hint="eastAsia" w:ascii="宋体" w:hAnsi="宋体"/>
          <w:color w:val="auto"/>
          <w:highlight w:val="none"/>
        </w:rPr>
        <w:t>一个年度安全考核评价结果成绩“优秀”的，甲方可给予乙方表彰。</w:t>
      </w:r>
    </w:p>
    <w:p>
      <w:pPr>
        <w:spacing w:line="460" w:lineRule="exact"/>
        <w:ind w:firstLine="48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rPr>
        <w:t>考核年度不足一年的，参照一个年度的安全考核评价结果执行。</w:t>
      </w:r>
    </w:p>
    <w:p>
      <w:pPr>
        <w:spacing w:line="460" w:lineRule="exact"/>
        <w:rPr>
          <w:rFonts w:ascii="宋体" w:hAnsi="宋体"/>
          <w:b/>
          <w:bCs/>
          <w:color w:val="auto"/>
          <w:sz w:val="28"/>
          <w:szCs w:val="28"/>
          <w:highlight w:val="none"/>
        </w:rPr>
      </w:pPr>
      <w:r>
        <w:rPr>
          <w:rFonts w:hint="eastAsia" w:ascii="宋体" w:hAnsi="宋体"/>
          <w:b/>
          <w:bCs/>
          <w:color w:val="auto"/>
          <w:sz w:val="28"/>
          <w:szCs w:val="28"/>
          <w:highlight w:val="none"/>
        </w:rPr>
        <w:t xml:space="preserve"> </w:t>
      </w:r>
      <w:r>
        <w:rPr>
          <w:rFonts w:ascii="宋体" w:hAnsi="宋体"/>
          <w:b/>
          <w:bCs/>
          <w:color w:val="auto"/>
          <w:sz w:val="28"/>
          <w:szCs w:val="28"/>
          <w:highlight w:val="none"/>
        </w:rPr>
        <w:t xml:space="preserve"> </w:t>
      </w:r>
    </w:p>
    <w:p>
      <w:pPr>
        <w:spacing w:line="4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六、本协议的有效期</w:t>
      </w:r>
    </w:p>
    <w:p>
      <w:pPr>
        <w:tabs>
          <w:tab w:val="left" w:pos="1276"/>
        </w:tabs>
        <w:spacing w:line="460" w:lineRule="exact"/>
        <w:ind w:firstLine="480" w:firstLineChars="200"/>
        <w:rPr>
          <w:rFonts w:ascii="宋体" w:hAnsi="宋体"/>
          <w:color w:val="auto"/>
          <w:highlight w:val="none"/>
        </w:rPr>
      </w:pPr>
      <w:r>
        <w:rPr>
          <w:rFonts w:hint="eastAsia" w:ascii="宋体" w:hAnsi="宋体"/>
          <w:color w:val="auto"/>
          <w:highlight w:val="none"/>
        </w:rPr>
        <w:t>本协议系甲、乙双方签署合同或协议的附件，自乙方提供服务之日起生效，自甲、乙双方之间所有业务承包合同终止时自行终止。</w:t>
      </w:r>
    </w:p>
    <w:p>
      <w:pPr>
        <w:spacing w:line="460" w:lineRule="exact"/>
        <w:rPr>
          <w:rFonts w:ascii="宋体" w:hAnsi="宋体"/>
          <w:color w:val="auto"/>
          <w:sz w:val="28"/>
          <w:szCs w:val="28"/>
          <w:highlight w:val="none"/>
        </w:rPr>
      </w:pPr>
      <w:r>
        <w:rPr>
          <w:rFonts w:hint="eastAsia" w:ascii="宋体" w:hAnsi="宋体"/>
          <w:b/>
          <w:bCs/>
          <w:color w:val="auto"/>
          <w:sz w:val="28"/>
          <w:szCs w:val="28"/>
          <w:highlight w:val="none"/>
        </w:rPr>
        <w:t xml:space="preserve"> </w:t>
      </w:r>
    </w:p>
    <w:p>
      <w:pPr>
        <w:spacing w:line="4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七、附则</w:t>
      </w:r>
    </w:p>
    <w:p>
      <w:pPr>
        <w:tabs>
          <w:tab w:val="left" w:pos="1276"/>
        </w:tabs>
        <w:spacing w:line="460" w:lineRule="exact"/>
        <w:ind w:firstLine="480" w:firstLineChars="200"/>
        <w:rPr>
          <w:rFonts w:ascii="宋体" w:hAnsi="宋体"/>
          <w:color w:val="auto"/>
          <w:highlight w:val="none"/>
        </w:rPr>
      </w:pPr>
      <w:r>
        <w:rPr>
          <w:rFonts w:hint="eastAsia" w:ascii="宋体" w:hAnsi="宋体"/>
          <w:color w:val="auto"/>
          <w:highlight w:val="none"/>
        </w:rPr>
        <w:t>（一）</w:t>
      </w:r>
      <w:r>
        <w:rPr>
          <w:rFonts w:ascii="宋体" w:hAnsi="宋体"/>
          <w:color w:val="auto"/>
          <w:highlight w:val="none"/>
        </w:rPr>
        <w:t>本</w:t>
      </w:r>
      <w:r>
        <w:rPr>
          <w:rFonts w:hint="eastAsia" w:ascii="宋体" w:hAnsi="宋体"/>
          <w:color w:val="auto"/>
          <w:highlight w:val="none"/>
        </w:rPr>
        <w:t>协议</w:t>
      </w:r>
      <w:r>
        <w:rPr>
          <w:rFonts w:ascii="宋体" w:hAnsi="宋体"/>
          <w:color w:val="auto"/>
          <w:highlight w:val="none"/>
        </w:rPr>
        <w:t>未尽事宜，由双方协商签订补充协议。本</w:t>
      </w:r>
      <w:r>
        <w:rPr>
          <w:rFonts w:hint="eastAsia" w:ascii="宋体" w:hAnsi="宋体"/>
          <w:color w:val="auto"/>
          <w:highlight w:val="none"/>
        </w:rPr>
        <w:t>协议</w:t>
      </w:r>
      <w:r>
        <w:rPr>
          <w:rFonts w:ascii="宋体" w:hAnsi="宋体"/>
          <w:color w:val="auto"/>
          <w:highlight w:val="none"/>
        </w:rPr>
        <w:t>变更事宜，由双方协商签订变更协议。</w:t>
      </w:r>
    </w:p>
    <w:p>
      <w:pPr>
        <w:tabs>
          <w:tab w:val="left" w:pos="1276"/>
        </w:tabs>
        <w:spacing w:line="460" w:lineRule="exact"/>
        <w:ind w:firstLine="480" w:firstLineChars="200"/>
        <w:rPr>
          <w:rFonts w:ascii="宋体" w:hAnsi="宋体"/>
          <w:color w:val="auto"/>
          <w:highlight w:val="none"/>
        </w:rPr>
      </w:pPr>
      <w:r>
        <w:rPr>
          <w:rFonts w:hint="eastAsia" w:ascii="宋体" w:hAnsi="宋体"/>
          <w:color w:val="auto"/>
          <w:highlight w:val="none"/>
        </w:rPr>
        <w:t>（二）</w:t>
      </w:r>
      <w:r>
        <w:rPr>
          <w:rFonts w:ascii="宋体" w:hAnsi="宋体"/>
          <w:color w:val="auto"/>
          <w:highlight w:val="none"/>
        </w:rPr>
        <w:t>本</w:t>
      </w:r>
      <w:r>
        <w:rPr>
          <w:rFonts w:hint="eastAsia" w:ascii="宋体" w:hAnsi="宋体"/>
          <w:color w:val="auto"/>
          <w:highlight w:val="none"/>
        </w:rPr>
        <w:t>协议</w:t>
      </w:r>
      <w:r>
        <w:rPr>
          <w:rFonts w:ascii="宋体" w:hAnsi="宋体"/>
          <w:color w:val="auto"/>
          <w:highlight w:val="none"/>
        </w:rPr>
        <w:t>签订时所依据的法律、法规、规章及所载明的事项发生重大变更时，按照实际予以修订。</w:t>
      </w:r>
    </w:p>
    <w:p>
      <w:pPr>
        <w:tabs>
          <w:tab w:val="left" w:pos="1276"/>
        </w:tabs>
        <w:spacing w:line="460" w:lineRule="exact"/>
        <w:ind w:firstLine="480" w:firstLineChars="200"/>
        <w:rPr>
          <w:rFonts w:ascii="宋体" w:hAnsi="宋体"/>
          <w:color w:val="auto"/>
          <w:highlight w:val="none"/>
        </w:rPr>
      </w:pPr>
      <w:r>
        <w:rPr>
          <w:rFonts w:hint="eastAsia" w:ascii="宋体" w:hAnsi="宋体"/>
          <w:color w:val="auto"/>
          <w:highlight w:val="none"/>
        </w:rPr>
        <w:t>（三）本协议相关规定内容与机场管理机构、甲方相关安全管理制度、规定等有冲突的，甲、乙双方应及时以机场管理机构、甲方最新安全管理制度、规定作为标准对本协议内容进行修改。</w:t>
      </w:r>
    </w:p>
    <w:p>
      <w:pPr>
        <w:tabs>
          <w:tab w:val="left" w:pos="1276"/>
        </w:tabs>
        <w:spacing w:line="460" w:lineRule="exact"/>
        <w:ind w:firstLine="480" w:firstLineChars="200"/>
        <w:rPr>
          <w:rFonts w:ascii="宋体" w:hAnsi="宋体"/>
          <w:color w:val="auto"/>
          <w:highlight w:val="none"/>
        </w:rPr>
      </w:pPr>
      <w:r>
        <w:rPr>
          <w:rFonts w:hint="eastAsia" w:ascii="宋体" w:hAnsi="宋体"/>
          <w:color w:val="auto"/>
          <w:highlight w:val="none"/>
        </w:rPr>
        <w:t>（四）乙方法人代表（负责人）、经营、生产范围、场所的变更不影响本协议的效力。</w:t>
      </w:r>
    </w:p>
    <w:p>
      <w:pPr>
        <w:tabs>
          <w:tab w:val="left" w:pos="1276"/>
        </w:tabs>
        <w:spacing w:line="460" w:lineRule="exact"/>
        <w:ind w:firstLine="480" w:firstLineChars="200"/>
        <w:rPr>
          <w:rFonts w:ascii="宋体" w:hAnsi="宋体"/>
          <w:color w:val="auto"/>
          <w:highlight w:val="none"/>
        </w:rPr>
      </w:pPr>
      <w:r>
        <w:rPr>
          <w:rFonts w:hint="eastAsia" w:ascii="宋体" w:hAnsi="宋体"/>
          <w:color w:val="auto"/>
          <w:highlight w:val="none"/>
        </w:rPr>
        <w:t>（五）本协议最终解释权归广州白云国际机场股份有限公司一号航站楼管理分公司所有。</w:t>
      </w:r>
    </w:p>
    <w:p>
      <w:pPr>
        <w:rPr>
          <w:rFonts w:ascii="黑体" w:hAnsi="黑体" w:eastAsia="黑体"/>
          <w:color w:val="auto"/>
          <w:szCs w:val="28"/>
          <w:highlight w:val="none"/>
        </w:rPr>
      </w:pPr>
      <w:r>
        <w:rPr>
          <w:rFonts w:hint="eastAsia" w:ascii="黑体" w:hAnsi="黑体" w:eastAsia="黑体"/>
          <w:color w:val="auto"/>
          <w:szCs w:val="28"/>
          <w:highlight w:val="none"/>
        </w:rPr>
        <w:t>附件1</w:t>
      </w:r>
    </w:p>
    <w:p>
      <w:pPr>
        <w:jc w:val="center"/>
        <w:rPr>
          <w:rFonts w:ascii="宋体" w:hAnsi="宋体"/>
          <w:b/>
          <w:bCs/>
          <w:color w:val="auto"/>
          <w:sz w:val="44"/>
          <w:szCs w:val="48"/>
          <w:highlight w:val="none"/>
        </w:rPr>
      </w:pPr>
      <w:r>
        <w:rPr>
          <w:rFonts w:hint="eastAsia" w:ascii="宋体" w:hAnsi="宋体"/>
          <w:b/>
          <w:bCs/>
          <w:color w:val="auto"/>
          <w:sz w:val="44"/>
          <w:szCs w:val="48"/>
          <w:highlight w:val="none"/>
        </w:rPr>
        <w:t>安全责任目标与考核指标</w:t>
      </w:r>
    </w:p>
    <w:p>
      <w:pPr>
        <w:spacing w:line="460" w:lineRule="exact"/>
        <w:ind w:firstLine="482" w:firstLineChars="200"/>
        <w:rPr>
          <w:rFonts w:ascii="宋体" w:hAnsi="宋体"/>
          <w:b/>
          <w:bCs/>
          <w:color w:val="auto"/>
          <w:highlight w:val="none"/>
        </w:rPr>
      </w:pPr>
    </w:p>
    <w:p>
      <w:pPr>
        <w:spacing w:line="460" w:lineRule="exact"/>
        <w:ind w:firstLine="482" w:firstLineChars="200"/>
        <w:rPr>
          <w:rFonts w:ascii="宋体" w:hAnsi="宋体"/>
          <w:b/>
          <w:bCs/>
          <w:color w:val="auto"/>
          <w:highlight w:val="none"/>
        </w:rPr>
      </w:pPr>
      <w:r>
        <w:rPr>
          <w:rFonts w:hint="eastAsia" w:ascii="宋体" w:hAnsi="宋体"/>
          <w:b/>
          <w:bCs/>
          <w:color w:val="auto"/>
          <w:highlight w:val="none"/>
        </w:rPr>
        <w:t>一、安全责任目标</w:t>
      </w:r>
    </w:p>
    <w:p>
      <w:pPr>
        <w:spacing w:line="460" w:lineRule="exact"/>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暴力恐怖事件、个人极端暴力犯罪案件、重大刑事案件、内部员工严重违法犯罪事件、重大群体性事件以及其他社会治安综合治理严重事件为</w:t>
      </w:r>
      <w:r>
        <w:rPr>
          <w:rFonts w:ascii="宋体" w:hAnsi="宋体"/>
          <w:color w:val="auto"/>
          <w:highlight w:val="none"/>
        </w:rPr>
        <w:t>0；</w:t>
      </w:r>
    </w:p>
    <w:p>
      <w:pPr>
        <w:spacing w:line="460" w:lineRule="exact"/>
        <w:ind w:firstLine="48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w:t>
      </w:r>
      <w:r>
        <w:rPr>
          <w:rFonts w:hint="eastAsia" w:ascii="宋体" w:hAnsi="宋体"/>
          <w:color w:val="auto"/>
          <w:highlight w:val="none"/>
        </w:rPr>
        <w:t>责任原因造成的凶杀、爆炸、破坏等恶性刑事案件为</w:t>
      </w:r>
      <w:r>
        <w:rPr>
          <w:rFonts w:ascii="宋体" w:hAnsi="宋体"/>
          <w:color w:val="auto"/>
          <w:highlight w:val="none"/>
        </w:rPr>
        <w:t>0；</w:t>
      </w:r>
    </w:p>
    <w:p>
      <w:pPr>
        <w:spacing w:line="460" w:lineRule="exact"/>
        <w:ind w:firstLine="48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责任原因造成的建设工程、施工项目、火灾、交通及其他一般及以上生产安全事故为</w:t>
      </w:r>
      <w:r>
        <w:rPr>
          <w:rFonts w:ascii="宋体" w:hAnsi="宋体"/>
          <w:color w:val="auto"/>
          <w:highlight w:val="none"/>
        </w:rPr>
        <w:t>0；</w:t>
      </w:r>
    </w:p>
    <w:p>
      <w:pPr>
        <w:spacing w:line="460" w:lineRule="exact"/>
        <w:ind w:firstLine="480" w:firstLineChars="200"/>
        <w:rPr>
          <w:rFonts w:ascii="宋体" w:hAnsi="宋体"/>
          <w:color w:val="auto"/>
          <w:highlight w:val="none"/>
        </w:rPr>
      </w:pPr>
      <w:r>
        <w:rPr>
          <w:rFonts w:hint="eastAsia" w:ascii="宋体" w:hAnsi="宋体"/>
          <w:color w:val="auto"/>
          <w:highlight w:val="none"/>
        </w:rPr>
        <w:t>4</w:t>
      </w:r>
      <w:r>
        <w:rPr>
          <w:rFonts w:ascii="宋体" w:hAnsi="宋体"/>
          <w:color w:val="auto"/>
          <w:highlight w:val="none"/>
        </w:rPr>
        <w:t>.</w:t>
      </w:r>
      <w:r>
        <w:rPr>
          <w:rFonts w:hint="eastAsia" w:ascii="宋体" w:hAnsi="宋体"/>
          <w:color w:val="auto"/>
          <w:highlight w:val="none"/>
        </w:rPr>
        <w:t>责任原因造成的旅客伤亡事故为</w:t>
      </w:r>
      <w:r>
        <w:rPr>
          <w:rFonts w:ascii="宋体" w:hAnsi="宋体"/>
          <w:color w:val="auto"/>
          <w:highlight w:val="none"/>
        </w:rPr>
        <w:t>0；</w:t>
      </w:r>
    </w:p>
    <w:p>
      <w:pPr>
        <w:spacing w:line="460" w:lineRule="exact"/>
        <w:ind w:firstLine="480" w:firstLineChars="200"/>
        <w:rPr>
          <w:rFonts w:ascii="宋体" w:hAnsi="宋体"/>
          <w:color w:val="auto"/>
          <w:highlight w:val="none"/>
        </w:rPr>
      </w:pPr>
      <w:r>
        <w:rPr>
          <w:rFonts w:hint="eastAsia" w:ascii="宋体" w:hAnsi="宋体"/>
          <w:color w:val="auto"/>
          <w:highlight w:val="none"/>
        </w:rPr>
        <w:t>5</w:t>
      </w:r>
      <w:r>
        <w:rPr>
          <w:rFonts w:ascii="宋体" w:hAnsi="宋体"/>
          <w:color w:val="auto"/>
          <w:highlight w:val="none"/>
        </w:rPr>
        <w:t>.</w:t>
      </w:r>
      <w:r>
        <w:rPr>
          <w:rFonts w:hint="eastAsia" w:ascii="宋体" w:hAnsi="宋体"/>
          <w:color w:val="auto"/>
          <w:highlight w:val="none"/>
        </w:rPr>
        <w:t>责任原因造成的航站楼结构及建筑物倒塌等事故为</w:t>
      </w:r>
      <w:r>
        <w:rPr>
          <w:rFonts w:ascii="宋体" w:hAnsi="宋体"/>
          <w:color w:val="auto"/>
          <w:highlight w:val="none"/>
        </w:rPr>
        <w:t>0；</w:t>
      </w:r>
    </w:p>
    <w:p>
      <w:pPr>
        <w:spacing w:line="460" w:lineRule="exact"/>
        <w:ind w:firstLine="480" w:firstLineChars="200"/>
        <w:rPr>
          <w:rFonts w:ascii="宋体" w:hAnsi="宋体"/>
          <w:color w:val="auto"/>
          <w:highlight w:val="none"/>
        </w:rPr>
      </w:pPr>
      <w:r>
        <w:rPr>
          <w:rFonts w:hint="eastAsia" w:ascii="宋体" w:hAnsi="宋体"/>
          <w:color w:val="auto"/>
          <w:highlight w:val="none"/>
        </w:rPr>
        <w:t>6</w:t>
      </w:r>
      <w:r>
        <w:rPr>
          <w:rFonts w:ascii="宋体" w:hAnsi="宋体"/>
          <w:color w:val="auto"/>
          <w:highlight w:val="none"/>
        </w:rPr>
        <w:t>.</w:t>
      </w:r>
      <w:r>
        <w:rPr>
          <w:rFonts w:hint="eastAsia" w:ascii="宋体" w:hAnsi="宋体"/>
          <w:color w:val="auto"/>
          <w:highlight w:val="none"/>
        </w:rPr>
        <w:t>责任原因造成的航站楼内重要设施、设备损坏事故为</w:t>
      </w:r>
      <w:r>
        <w:rPr>
          <w:rFonts w:ascii="宋体" w:hAnsi="宋体"/>
          <w:color w:val="auto"/>
          <w:highlight w:val="none"/>
        </w:rPr>
        <w:t>0；</w:t>
      </w:r>
    </w:p>
    <w:p>
      <w:pPr>
        <w:spacing w:line="460" w:lineRule="exact"/>
        <w:ind w:firstLine="480" w:firstLineChars="200"/>
        <w:rPr>
          <w:rFonts w:ascii="宋体" w:hAnsi="宋体"/>
          <w:color w:val="auto"/>
          <w:highlight w:val="none"/>
        </w:rPr>
      </w:pPr>
      <w:r>
        <w:rPr>
          <w:rFonts w:hint="eastAsia" w:ascii="宋体" w:hAnsi="宋体"/>
          <w:color w:val="auto"/>
          <w:highlight w:val="none"/>
        </w:rPr>
        <w:t>7</w:t>
      </w:r>
      <w:r>
        <w:rPr>
          <w:rFonts w:ascii="宋体" w:hAnsi="宋体"/>
          <w:color w:val="auto"/>
          <w:highlight w:val="none"/>
        </w:rPr>
        <w:t>.</w:t>
      </w:r>
      <w:r>
        <w:rPr>
          <w:rFonts w:hint="eastAsia" w:ascii="宋体" w:hAnsi="宋体"/>
          <w:color w:val="auto"/>
          <w:highlight w:val="none"/>
        </w:rPr>
        <w:t>责任原因造成的离港系统、生产网系统、系统集成系统等核心系统、重要设施（设备）故障导致机场关闭或部分关闭等严重影响机场运行的事件为</w:t>
      </w:r>
      <w:r>
        <w:rPr>
          <w:rFonts w:ascii="宋体" w:hAnsi="宋体"/>
          <w:color w:val="auto"/>
          <w:highlight w:val="none"/>
        </w:rPr>
        <w:t>0；</w:t>
      </w:r>
    </w:p>
    <w:p>
      <w:pPr>
        <w:spacing w:line="460" w:lineRule="exact"/>
        <w:ind w:firstLine="480" w:firstLineChars="200"/>
        <w:rPr>
          <w:rFonts w:ascii="宋体" w:hAnsi="宋体"/>
          <w:color w:val="auto"/>
          <w:highlight w:val="none"/>
        </w:rPr>
      </w:pPr>
      <w:r>
        <w:rPr>
          <w:rFonts w:hint="eastAsia" w:ascii="宋体" w:hAnsi="宋体"/>
          <w:color w:val="auto"/>
          <w:highlight w:val="none"/>
        </w:rPr>
        <w:t>8</w:t>
      </w:r>
      <w:r>
        <w:rPr>
          <w:rFonts w:ascii="宋体" w:hAnsi="宋体"/>
          <w:color w:val="auto"/>
          <w:highlight w:val="none"/>
        </w:rPr>
        <w:t>.</w:t>
      </w:r>
      <w:r>
        <w:rPr>
          <w:rFonts w:hint="eastAsia" w:ascii="宋体" w:hAnsi="宋体"/>
          <w:color w:val="auto"/>
          <w:highlight w:val="none"/>
        </w:rPr>
        <w:t>责任原因造成的所管辖物业生产安全事故为</w:t>
      </w:r>
      <w:r>
        <w:rPr>
          <w:rFonts w:ascii="宋体" w:hAnsi="宋体"/>
          <w:color w:val="auto"/>
          <w:highlight w:val="none"/>
        </w:rPr>
        <w:t>0；</w:t>
      </w:r>
    </w:p>
    <w:p>
      <w:pPr>
        <w:spacing w:line="460" w:lineRule="exact"/>
        <w:ind w:firstLine="480" w:firstLineChars="200"/>
        <w:rPr>
          <w:rFonts w:ascii="宋体" w:hAnsi="宋体"/>
          <w:color w:val="auto"/>
          <w:highlight w:val="none"/>
        </w:rPr>
      </w:pPr>
      <w:r>
        <w:rPr>
          <w:rFonts w:hint="eastAsia" w:ascii="宋体" w:hAnsi="宋体"/>
          <w:color w:val="auto"/>
          <w:highlight w:val="none"/>
        </w:rPr>
        <w:t>9</w:t>
      </w:r>
      <w:r>
        <w:rPr>
          <w:rFonts w:ascii="宋体" w:hAnsi="宋体"/>
          <w:color w:val="auto"/>
          <w:highlight w:val="none"/>
        </w:rPr>
        <w:t>.</w:t>
      </w:r>
      <w:r>
        <w:rPr>
          <w:rFonts w:hint="eastAsia" w:ascii="宋体" w:hAnsi="宋体"/>
          <w:color w:val="auto"/>
          <w:highlight w:val="none"/>
        </w:rPr>
        <w:t>责任原因造成的危险化学品泄露事故为</w:t>
      </w:r>
      <w:r>
        <w:rPr>
          <w:rFonts w:ascii="宋体" w:hAnsi="宋体"/>
          <w:color w:val="auto"/>
          <w:highlight w:val="none"/>
        </w:rPr>
        <w:t>0</w:t>
      </w:r>
      <w:r>
        <w:rPr>
          <w:rFonts w:hint="eastAsia" w:ascii="宋体" w:hAnsi="宋体"/>
          <w:color w:val="auto"/>
          <w:highlight w:val="none"/>
        </w:rPr>
        <w:t>；</w:t>
      </w:r>
    </w:p>
    <w:p>
      <w:pPr>
        <w:spacing w:line="460" w:lineRule="exact"/>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0.</w:t>
      </w:r>
      <w:r>
        <w:rPr>
          <w:rFonts w:hint="eastAsia" w:ascii="宋体" w:hAnsi="宋体"/>
          <w:color w:val="auto"/>
          <w:highlight w:val="none"/>
        </w:rPr>
        <w:t>责任原因造成的恶劣社会影响事件为</w:t>
      </w:r>
      <w:r>
        <w:rPr>
          <w:rFonts w:ascii="宋体" w:hAnsi="宋体"/>
          <w:color w:val="auto"/>
          <w:highlight w:val="none"/>
        </w:rPr>
        <w:t>0</w:t>
      </w:r>
      <w:r>
        <w:rPr>
          <w:rFonts w:hint="eastAsia" w:ascii="宋体" w:hAnsi="宋体"/>
          <w:color w:val="auto"/>
          <w:highlight w:val="none"/>
        </w:rPr>
        <w:t>。</w:t>
      </w:r>
    </w:p>
    <w:p>
      <w:pPr>
        <w:ind w:firstLine="240" w:firstLineChars="100"/>
        <w:rPr>
          <w:rFonts w:ascii="宋体" w:hAnsi="宋体"/>
          <w:color w:val="auto"/>
          <w:szCs w:val="21"/>
          <w:highlight w:val="none"/>
        </w:rPr>
      </w:pPr>
    </w:p>
    <w:p>
      <w:pPr>
        <w:spacing w:line="460" w:lineRule="exact"/>
        <w:ind w:firstLine="482" w:firstLineChars="200"/>
        <w:rPr>
          <w:rFonts w:ascii="宋体" w:hAnsi="宋体"/>
          <w:b/>
          <w:bCs/>
          <w:color w:val="auto"/>
          <w:highlight w:val="none"/>
        </w:rPr>
      </w:pPr>
      <w:r>
        <w:rPr>
          <w:rFonts w:hint="eastAsia" w:ascii="宋体" w:hAnsi="宋体"/>
          <w:b/>
          <w:bCs/>
          <w:color w:val="auto"/>
          <w:highlight w:val="none"/>
        </w:rPr>
        <w:t>二、安全考核指标</w:t>
      </w:r>
    </w:p>
    <w:p>
      <w:pPr>
        <w:spacing w:line="460" w:lineRule="exact"/>
        <w:ind w:firstLine="482" w:firstLineChars="200"/>
        <w:rPr>
          <w:rFonts w:ascii="宋体" w:hAnsi="宋体"/>
          <w:b/>
          <w:bCs/>
          <w:color w:val="auto"/>
          <w:highlight w:val="none"/>
        </w:rPr>
      </w:pPr>
      <w:r>
        <w:rPr>
          <w:rFonts w:hint="eastAsia" w:ascii="宋体" w:hAnsi="宋体"/>
          <w:b/>
          <w:bCs/>
          <w:color w:val="auto"/>
          <w:highlight w:val="none"/>
        </w:rPr>
        <w:t>（一）综合安全</w:t>
      </w: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3"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项序</w:t>
            </w:r>
          </w:p>
        </w:tc>
        <w:tc>
          <w:tcPr>
            <w:tcW w:w="8650"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违约金</w:t>
            </w:r>
            <w:r>
              <w:rPr>
                <w:rFonts w:ascii="宋体" w:hAnsi="宋体"/>
                <w:b/>
                <w:bCs/>
                <w:color w:val="auto"/>
                <w:sz w:val="18"/>
                <w:szCs w:val="18"/>
                <w:highlight w:val="none"/>
              </w:rPr>
              <w:t>5000</w:t>
            </w:r>
            <w:r>
              <w:rPr>
                <w:rFonts w:hint="eastAsia" w:ascii="宋体" w:hAnsi="宋体"/>
                <w:b/>
                <w:bCs/>
                <w:color w:val="auto"/>
                <w:sz w:val="18"/>
                <w:szCs w:val="18"/>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3" w:type="dxa"/>
            <w:gridSpan w:val="2"/>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应急管理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.1</w:t>
            </w:r>
          </w:p>
        </w:tc>
        <w:tc>
          <w:tcPr>
            <w:tcW w:w="8650" w:type="dxa"/>
            <w:vAlign w:val="center"/>
          </w:tcPr>
          <w:p>
            <w:pPr>
              <w:widowControl w:val="0"/>
              <w:spacing w:line="240" w:lineRule="exact"/>
              <w:jc w:val="both"/>
              <w:rPr>
                <w:rFonts w:ascii="宋体" w:hAnsi="宋体"/>
                <w:color w:val="auto"/>
                <w:sz w:val="18"/>
                <w:szCs w:val="18"/>
                <w:highlight w:val="none"/>
              </w:rPr>
            </w:pPr>
            <w:r>
              <w:rPr>
                <w:rFonts w:ascii="宋体" w:hAnsi="宋体"/>
                <w:color w:val="auto"/>
                <w:sz w:val="18"/>
                <w:szCs w:val="18"/>
                <w:highlight w:val="none"/>
              </w:rPr>
              <w:t>未按甲方管理要求、规章制度和自身工作需求建立所辖业务范围内各类专项应急预案</w:t>
            </w:r>
            <w:r>
              <w:rPr>
                <w:rFonts w:hint="eastAsia" w:ascii="宋体" w:hAnsi="宋体"/>
                <w:color w:val="auto"/>
                <w:sz w:val="18"/>
                <w:szCs w:val="18"/>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.2</w:t>
            </w:r>
          </w:p>
        </w:tc>
        <w:tc>
          <w:tcPr>
            <w:tcW w:w="8650" w:type="dxa"/>
            <w:vAlign w:val="center"/>
          </w:tcPr>
          <w:p>
            <w:pPr>
              <w:widowControl w:val="0"/>
              <w:spacing w:line="240" w:lineRule="exact"/>
              <w:jc w:val="both"/>
              <w:rPr>
                <w:rFonts w:ascii="宋体" w:hAnsi="宋体"/>
                <w:color w:val="auto"/>
                <w:sz w:val="18"/>
                <w:szCs w:val="18"/>
                <w:highlight w:val="none"/>
              </w:rPr>
            </w:pPr>
            <w:r>
              <w:rPr>
                <w:rFonts w:ascii="宋体" w:hAnsi="宋体"/>
                <w:color w:val="auto"/>
                <w:sz w:val="18"/>
                <w:szCs w:val="18"/>
                <w:highlight w:val="none"/>
              </w:rPr>
              <w:t>应急处置预案缺乏可操作性或不符合甲方的管理要求</w:t>
            </w:r>
            <w:r>
              <w:rPr>
                <w:rFonts w:hint="eastAsia" w:ascii="宋体" w:hAnsi="宋体"/>
                <w:color w:val="auto"/>
                <w:sz w:val="18"/>
                <w:szCs w:val="18"/>
                <w:highlight w:val="none"/>
              </w:rPr>
              <w:t>的</w:t>
            </w:r>
            <w:r>
              <w:rPr>
                <w:rFonts w:ascii="宋体" w:hAnsi="宋体"/>
                <w:color w:val="auto"/>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.3</w:t>
            </w:r>
          </w:p>
        </w:tc>
        <w:tc>
          <w:tcPr>
            <w:tcW w:w="8650" w:type="dxa"/>
            <w:vAlign w:val="center"/>
          </w:tcPr>
          <w:p>
            <w:pPr>
              <w:widowControl w:val="0"/>
              <w:spacing w:line="240" w:lineRule="exact"/>
              <w:jc w:val="both"/>
              <w:rPr>
                <w:rFonts w:ascii="宋体" w:hAnsi="宋体"/>
                <w:color w:val="auto"/>
                <w:sz w:val="18"/>
                <w:szCs w:val="18"/>
                <w:highlight w:val="none"/>
              </w:rPr>
            </w:pPr>
            <w:r>
              <w:rPr>
                <w:rFonts w:ascii="宋体" w:hAnsi="宋体"/>
                <w:color w:val="auto"/>
                <w:sz w:val="18"/>
                <w:szCs w:val="18"/>
                <w:highlight w:val="none"/>
              </w:rPr>
              <w:t>未根据实际情况或甲方要求及时修订预案</w:t>
            </w:r>
            <w:r>
              <w:rPr>
                <w:rFonts w:hint="eastAsia" w:ascii="宋体" w:hAnsi="宋体"/>
                <w:color w:val="auto"/>
                <w:sz w:val="18"/>
                <w:szCs w:val="18"/>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.4</w:t>
            </w:r>
          </w:p>
        </w:tc>
        <w:tc>
          <w:tcPr>
            <w:tcW w:w="8650" w:type="dxa"/>
            <w:vAlign w:val="center"/>
          </w:tcPr>
          <w:p>
            <w:pPr>
              <w:widowControl w:val="0"/>
              <w:spacing w:line="240" w:lineRule="exact"/>
              <w:jc w:val="both"/>
              <w:rPr>
                <w:rFonts w:ascii="宋体" w:hAnsi="宋体"/>
                <w:color w:val="auto"/>
                <w:sz w:val="18"/>
                <w:szCs w:val="18"/>
                <w:highlight w:val="none"/>
              </w:rPr>
            </w:pPr>
            <w:r>
              <w:rPr>
                <w:rFonts w:ascii="宋体" w:hAnsi="宋体"/>
                <w:color w:val="auto"/>
                <w:sz w:val="18"/>
                <w:szCs w:val="18"/>
                <w:highlight w:val="none"/>
              </w:rPr>
              <w:t>未按甲方按要求自行组织开展所辖业务范围内的应急演练、测试及培训</w:t>
            </w:r>
            <w:r>
              <w:rPr>
                <w:rFonts w:hint="eastAsia" w:ascii="宋体" w:hAnsi="宋体"/>
                <w:color w:val="auto"/>
                <w:sz w:val="18"/>
                <w:szCs w:val="18"/>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.5</w:t>
            </w:r>
          </w:p>
        </w:tc>
        <w:tc>
          <w:tcPr>
            <w:tcW w:w="8650" w:type="dxa"/>
            <w:vAlign w:val="center"/>
          </w:tcPr>
          <w:p>
            <w:pPr>
              <w:widowControl w:val="0"/>
              <w:spacing w:line="240" w:lineRule="exact"/>
              <w:jc w:val="both"/>
              <w:rPr>
                <w:rFonts w:ascii="宋体" w:hAnsi="宋体"/>
                <w:color w:val="auto"/>
                <w:sz w:val="18"/>
                <w:szCs w:val="18"/>
                <w:highlight w:val="none"/>
              </w:rPr>
            </w:pPr>
            <w:r>
              <w:rPr>
                <w:rFonts w:ascii="宋体" w:hAnsi="宋体"/>
                <w:color w:val="auto"/>
                <w:sz w:val="18"/>
                <w:szCs w:val="18"/>
                <w:highlight w:val="none"/>
              </w:rPr>
              <w:t>未按要求配合甲方实施应急演练、测试及培训</w:t>
            </w:r>
            <w:r>
              <w:rPr>
                <w:rFonts w:hint="eastAsia" w:ascii="宋体" w:hAnsi="宋体"/>
                <w:color w:val="auto"/>
                <w:sz w:val="18"/>
                <w:szCs w:val="18"/>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8650" w:type="dxa"/>
            <w:vAlign w:val="center"/>
          </w:tcPr>
          <w:p>
            <w:pPr>
              <w:widowControl w:val="0"/>
              <w:spacing w:line="240" w:lineRule="exact"/>
              <w:jc w:val="both"/>
              <w:rPr>
                <w:rFonts w:ascii="宋体" w:hAnsi="宋体"/>
                <w:color w:val="auto"/>
                <w:sz w:val="18"/>
                <w:szCs w:val="18"/>
                <w:highlight w:val="none"/>
              </w:rPr>
            </w:pPr>
            <w:r>
              <w:rPr>
                <w:rFonts w:ascii="宋体" w:hAnsi="宋体"/>
                <w:color w:val="auto"/>
                <w:sz w:val="18"/>
                <w:szCs w:val="18"/>
                <w:highlight w:val="none"/>
              </w:rPr>
              <w:t>发生突发事件时，没有在职责范围内及时开展应急处置或在甲方组织的应急处置过程中不听从、不配合甲方的指挥</w:t>
            </w:r>
            <w:r>
              <w:rPr>
                <w:rFonts w:hint="eastAsia" w:ascii="宋体" w:hAnsi="宋体"/>
                <w:color w:val="auto"/>
                <w:sz w:val="18"/>
                <w:szCs w:val="18"/>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.7</w:t>
            </w:r>
          </w:p>
        </w:tc>
        <w:tc>
          <w:tcPr>
            <w:tcW w:w="8650" w:type="dxa"/>
            <w:vAlign w:val="center"/>
          </w:tcPr>
          <w:p>
            <w:pPr>
              <w:widowControl w:val="0"/>
              <w:spacing w:line="240" w:lineRule="exact"/>
              <w:jc w:val="both"/>
              <w:rPr>
                <w:rFonts w:ascii="宋体" w:hAnsi="宋体"/>
                <w:color w:val="auto"/>
                <w:sz w:val="18"/>
                <w:szCs w:val="18"/>
                <w:highlight w:val="none"/>
              </w:rPr>
            </w:pPr>
            <w:r>
              <w:rPr>
                <w:rFonts w:ascii="宋体" w:hAnsi="宋体"/>
                <w:color w:val="auto"/>
                <w:sz w:val="18"/>
                <w:szCs w:val="18"/>
                <w:highlight w:val="none"/>
              </w:rPr>
              <w:t>其他违反甲方应急管理要求或应急处置预案的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3" w:type="dxa"/>
            <w:gridSpan w:val="2"/>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安全信息管理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.8</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未指定专人负责安全信息管理的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.9</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未按照甲方的要求及时报送安全生产信息、数据或报告材料的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1.10</w:t>
            </w:r>
          </w:p>
        </w:tc>
        <w:tc>
          <w:tcPr>
            <w:tcW w:w="8650" w:type="dxa"/>
            <w:vAlign w:val="center"/>
          </w:tcPr>
          <w:p>
            <w:pPr>
              <w:widowControl w:val="0"/>
              <w:spacing w:line="240" w:lineRule="exact"/>
              <w:jc w:val="both"/>
              <w:rPr>
                <w:rFonts w:ascii="宋体" w:hAnsi="宋体"/>
                <w:color w:val="auto"/>
                <w:sz w:val="18"/>
                <w:szCs w:val="18"/>
                <w:highlight w:val="none"/>
              </w:rPr>
            </w:pPr>
            <w:r>
              <w:rPr>
                <w:rFonts w:ascii="宋体" w:hAnsi="宋体"/>
                <w:color w:val="auto"/>
                <w:sz w:val="18"/>
                <w:szCs w:val="18"/>
                <w:highlight w:val="none"/>
              </w:rPr>
              <w:t>未按照甲方的要求及时报送突发事件及异常事件的信息或</w:t>
            </w:r>
            <w:r>
              <w:rPr>
                <w:rFonts w:hint="eastAsia" w:ascii="宋体" w:hAnsi="宋体"/>
                <w:color w:val="auto"/>
                <w:sz w:val="18"/>
                <w:szCs w:val="18"/>
                <w:highlight w:val="none"/>
              </w:rPr>
              <w:t>报告材料的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1.11</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其他违反甲方安全信息管理要求的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3" w:type="dxa"/>
            <w:gridSpan w:val="2"/>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台账记录管理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1.12</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未指定专人负责台账记录管理的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.13</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未对安全台账记录进行分类存放的，包括安全生产类（日常工作、维护保养等）、安全专项类（含消防、空防）、安全培训教育类、应急管理类、不安全事件类、安全隐患排查与整改类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.14</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未规范填写台账记录，包括存在缺填、漏填、字迹不清等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.15</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未妥善保管台账记录，包括存在丢失、缺页、缺损等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.16</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台账记录未装订成册的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.17</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 xml:space="preserve">安全生产、保障区域、承租区域、机房等现场无安全检查台账记录的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.18</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未按照甲方要求对安全生产、保障区域、承租区域、机房等现场进行安全检查登记的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3" w:type="dxa"/>
            <w:gridSpan w:val="2"/>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安全规章制度管理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.19</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未指定专人负责各项规章制度的管理的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.20</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各项规章制度存放混乱，包括未归类存档、未装订成册（散页存放）</w:t>
            </w:r>
          </w:p>
        </w:tc>
      </w:tr>
    </w:tbl>
    <w:p>
      <w:pPr>
        <w:spacing w:line="100" w:lineRule="exact"/>
        <w:ind w:firstLine="482" w:firstLineChars="200"/>
        <w:rPr>
          <w:rFonts w:ascii="宋体" w:hAnsi="宋体"/>
          <w:b/>
          <w:bCs/>
          <w:color w:val="auto"/>
          <w:highlight w:val="none"/>
        </w:rPr>
      </w:pP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3"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项序</w:t>
            </w:r>
          </w:p>
        </w:tc>
        <w:tc>
          <w:tcPr>
            <w:tcW w:w="8650"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违约金</w:t>
            </w:r>
            <w:r>
              <w:rPr>
                <w:rFonts w:ascii="宋体" w:hAnsi="宋体"/>
                <w:b/>
                <w:bCs/>
                <w:color w:val="auto"/>
                <w:sz w:val="18"/>
                <w:szCs w:val="18"/>
                <w:highlight w:val="none"/>
              </w:rPr>
              <w:t>10000</w:t>
            </w:r>
            <w:r>
              <w:rPr>
                <w:rFonts w:hint="eastAsia" w:ascii="宋体" w:hAnsi="宋体"/>
                <w:b/>
                <w:bCs/>
                <w:color w:val="auto"/>
                <w:sz w:val="18"/>
                <w:szCs w:val="18"/>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3" w:type="dxa"/>
            <w:gridSpan w:val="2"/>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审批许可管理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.21</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bCs/>
                <w:color w:val="auto"/>
                <w:sz w:val="18"/>
                <w:szCs w:val="18"/>
                <w:highlight w:val="none"/>
              </w:rPr>
              <w:t>新建、改建、扩建的工程，未报请主管部门进行审批的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.22</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bCs/>
                <w:color w:val="auto"/>
                <w:sz w:val="18"/>
                <w:szCs w:val="18"/>
                <w:highlight w:val="none"/>
              </w:rPr>
              <w:t>需要动火作业的事项，</w:t>
            </w:r>
            <w:r>
              <w:rPr>
                <w:rFonts w:ascii="宋体" w:hAnsi="宋体"/>
                <w:bCs/>
                <w:color w:val="auto"/>
                <w:sz w:val="18"/>
                <w:szCs w:val="18"/>
                <w:highlight w:val="none"/>
              </w:rPr>
              <w:t>未办理动火审批手续</w:t>
            </w:r>
            <w:r>
              <w:rPr>
                <w:rFonts w:hint="eastAsia" w:ascii="宋体" w:hAnsi="宋体"/>
                <w:bCs/>
                <w:color w:val="auto"/>
                <w:sz w:val="18"/>
                <w:szCs w:val="18"/>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.23</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bCs/>
                <w:color w:val="auto"/>
                <w:sz w:val="18"/>
                <w:szCs w:val="18"/>
                <w:highlight w:val="none"/>
              </w:rPr>
              <w:t>新建、改建、扩建的工程竣工后，未经主管部门验收，擅自投入使用的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.24</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bCs/>
                <w:color w:val="auto"/>
                <w:sz w:val="18"/>
                <w:szCs w:val="18"/>
                <w:highlight w:val="none"/>
              </w:rPr>
              <w:t>未落实限制物品申办审批许可的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1.25</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生产（作业）、临时活动前，未按照甲方要求申办生产（作业）、临时活动审批许可流程，不符合要求的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1.26</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大功率电器设备（功率超过</w:t>
            </w:r>
            <w:r>
              <w:rPr>
                <w:rFonts w:ascii="宋体" w:hAnsi="宋体"/>
                <w:color w:val="auto"/>
                <w:sz w:val="18"/>
                <w:szCs w:val="18"/>
                <w:highlight w:val="none"/>
              </w:rPr>
              <w:t xml:space="preserve"> 1800 </w:t>
            </w:r>
            <w:r>
              <w:rPr>
                <w:rFonts w:hint="eastAsia" w:ascii="宋体" w:hAnsi="宋体"/>
                <w:color w:val="auto"/>
                <w:sz w:val="18"/>
                <w:szCs w:val="18"/>
                <w:highlight w:val="none"/>
              </w:rPr>
              <w:t>瓦（含）的电器类设备）投入使用前，未按照甲方要求办理大功率电器设备使用审批许可，不符合要求的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1.27</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大功率电器设备安装完毕后、正式使用前，未报甲方申请验收便投入使用的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.28</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bCs/>
                <w:color w:val="auto"/>
                <w:sz w:val="18"/>
                <w:szCs w:val="18"/>
                <w:highlight w:val="none"/>
              </w:rPr>
              <w:t>其它未落实甲方相关审批许可管理要求的</w:t>
            </w:r>
          </w:p>
        </w:tc>
      </w:tr>
    </w:tbl>
    <w:p>
      <w:pPr>
        <w:spacing w:line="460" w:lineRule="exact"/>
        <w:ind w:firstLine="482" w:firstLineChars="200"/>
        <w:rPr>
          <w:rFonts w:ascii="宋体" w:hAnsi="宋体"/>
          <w:b/>
          <w:bCs/>
          <w:color w:val="auto"/>
          <w:highlight w:val="none"/>
        </w:rPr>
      </w:pPr>
      <w:r>
        <w:rPr>
          <w:rFonts w:hint="eastAsia" w:ascii="宋体" w:hAnsi="宋体"/>
          <w:b/>
          <w:bCs/>
          <w:color w:val="auto"/>
          <w:highlight w:val="none"/>
        </w:rPr>
        <w:t>（二）消防安全</w:t>
      </w: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3"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项序</w:t>
            </w:r>
          </w:p>
        </w:tc>
        <w:tc>
          <w:tcPr>
            <w:tcW w:w="8650"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违约金</w:t>
            </w:r>
            <w:r>
              <w:rPr>
                <w:rFonts w:ascii="宋体" w:hAnsi="宋体"/>
                <w:b/>
                <w:bCs/>
                <w:color w:val="auto"/>
                <w:sz w:val="18"/>
                <w:szCs w:val="18"/>
                <w:highlight w:val="none"/>
              </w:rPr>
              <w:t>5</w:t>
            </w:r>
            <w:r>
              <w:rPr>
                <w:rFonts w:hint="eastAsia" w:ascii="宋体" w:hAnsi="宋体"/>
                <w:b/>
                <w:bCs/>
                <w:color w:val="auto"/>
                <w:sz w:val="18"/>
                <w:szCs w:val="18"/>
                <w:highlight w:val="none"/>
              </w:rPr>
              <w:t>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.1</w:t>
            </w:r>
          </w:p>
        </w:tc>
        <w:tc>
          <w:tcPr>
            <w:tcW w:w="8650" w:type="dxa"/>
            <w:vAlign w:val="center"/>
          </w:tcPr>
          <w:p>
            <w:pPr>
              <w:pStyle w:val="30"/>
              <w:widowControl w:val="0"/>
              <w:tabs>
                <w:tab w:val="left" w:pos="0"/>
              </w:tabs>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未</w:t>
            </w:r>
            <w:r>
              <w:rPr>
                <w:rFonts w:ascii="宋体" w:hAnsi="宋体" w:eastAsia="宋体" w:cs="Times New Roman"/>
                <w:b w:val="0"/>
                <w:color w:val="auto"/>
                <w:sz w:val="18"/>
                <w:szCs w:val="18"/>
                <w:highlight w:val="none"/>
              </w:rPr>
              <w:t>制订本</w:t>
            </w:r>
            <w:r>
              <w:rPr>
                <w:rFonts w:hint="eastAsia" w:ascii="宋体" w:hAnsi="宋体" w:eastAsia="宋体" w:cs="Times New Roman"/>
                <w:b w:val="0"/>
                <w:color w:val="auto"/>
                <w:sz w:val="18"/>
                <w:szCs w:val="18"/>
                <w:highlight w:val="none"/>
              </w:rPr>
              <w:t>公司（</w:t>
            </w:r>
            <w:r>
              <w:rPr>
                <w:rFonts w:ascii="宋体" w:hAnsi="宋体" w:eastAsia="宋体" w:cs="Times New Roman"/>
                <w:b w:val="0"/>
                <w:color w:val="auto"/>
                <w:sz w:val="18"/>
                <w:szCs w:val="18"/>
                <w:highlight w:val="none"/>
              </w:rPr>
              <w:t>单位</w:t>
            </w:r>
            <w:r>
              <w:rPr>
                <w:rFonts w:hint="eastAsia" w:ascii="宋体" w:hAnsi="宋体" w:eastAsia="宋体" w:cs="Times New Roman"/>
                <w:b w:val="0"/>
                <w:color w:val="auto"/>
                <w:sz w:val="18"/>
                <w:szCs w:val="18"/>
                <w:highlight w:val="none"/>
              </w:rPr>
              <w:t>）</w:t>
            </w:r>
            <w:r>
              <w:rPr>
                <w:rFonts w:ascii="宋体" w:hAnsi="宋体" w:eastAsia="宋体" w:cs="Times New Roman"/>
                <w:b w:val="0"/>
                <w:color w:val="auto"/>
                <w:sz w:val="18"/>
                <w:szCs w:val="18"/>
                <w:highlight w:val="none"/>
              </w:rPr>
              <w:t>消防安全制度</w:t>
            </w:r>
            <w:r>
              <w:rPr>
                <w:rFonts w:hint="eastAsia" w:ascii="宋体" w:hAnsi="宋体" w:eastAsia="宋体" w:cs="Times New Roman"/>
                <w:b w:val="0"/>
                <w:color w:val="auto"/>
                <w:sz w:val="18"/>
                <w:szCs w:val="18"/>
                <w:highlight w:val="none"/>
              </w:rPr>
              <w:t>的</w:t>
            </w:r>
            <w:r>
              <w:rPr>
                <w:rFonts w:ascii="宋体" w:hAnsi="宋体" w:eastAsia="宋体" w:cs="Times New Roman"/>
                <w:b w:val="0"/>
                <w:color w:val="auto"/>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.2</w:t>
            </w:r>
          </w:p>
        </w:tc>
        <w:tc>
          <w:tcPr>
            <w:tcW w:w="8650" w:type="dxa"/>
            <w:vAlign w:val="center"/>
          </w:tcPr>
          <w:p>
            <w:pPr>
              <w:pStyle w:val="30"/>
              <w:widowControl w:val="0"/>
              <w:tabs>
                <w:tab w:val="left" w:pos="0"/>
              </w:tabs>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未</w:t>
            </w:r>
            <w:r>
              <w:rPr>
                <w:rFonts w:ascii="宋体" w:hAnsi="宋体" w:eastAsia="宋体" w:cs="Times New Roman"/>
                <w:b w:val="0"/>
                <w:color w:val="auto"/>
                <w:sz w:val="18"/>
                <w:szCs w:val="18"/>
                <w:highlight w:val="none"/>
              </w:rPr>
              <w:t>落实消防安全岗位责任制，</w:t>
            </w:r>
            <w:r>
              <w:rPr>
                <w:rFonts w:hint="eastAsia" w:ascii="宋体" w:hAnsi="宋体" w:eastAsia="宋体" w:cs="Times New Roman"/>
                <w:b w:val="0"/>
                <w:color w:val="auto"/>
                <w:sz w:val="18"/>
                <w:szCs w:val="18"/>
                <w:highlight w:val="none"/>
              </w:rPr>
              <w:t>未</w:t>
            </w:r>
            <w:r>
              <w:rPr>
                <w:rFonts w:ascii="宋体" w:hAnsi="宋体" w:eastAsia="宋体" w:cs="Times New Roman"/>
                <w:b w:val="0"/>
                <w:color w:val="auto"/>
                <w:sz w:val="18"/>
                <w:szCs w:val="18"/>
                <w:highlight w:val="none"/>
              </w:rPr>
              <w:t>指定本</w:t>
            </w:r>
            <w:r>
              <w:rPr>
                <w:rFonts w:hint="eastAsia" w:ascii="宋体" w:hAnsi="宋体" w:eastAsia="宋体" w:cs="Times New Roman"/>
                <w:b w:val="0"/>
                <w:color w:val="auto"/>
                <w:sz w:val="18"/>
                <w:szCs w:val="18"/>
                <w:highlight w:val="none"/>
              </w:rPr>
              <w:t>公司（</w:t>
            </w:r>
            <w:r>
              <w:rPr>
                <w:rFonts w:ascii="宋体" w:hAnsi="宋体" w:eastAsia="宋体" w:cs="Times New Roman"/>
                <w:b w:val="0"/>
                <w:color w:val="auto"/>
                <w:sz w:val="18"/>
                <w:szCs w:val="18"/>
                <w:highlight w:val="none"/>
              </w:rPr>
              <w:t>单位</w:t>
            </w:r>
            <w:r>
              <w:rPr>
                <w:rFonts w:hint="eastAsia" w:ascii="宋体" w:hAnsi="宋体" w:eastAsia="宋体" w:cs="Times New Roman"/>
                <w:b w:val="0"/>
                <w:color w:val="auto"/>
                <w:sz w:val="18"/>
                <w:szCs w:val="18"/>
                <w:highlight w:val="none"/>
              </w:rPr>
              <w:t>）、消防安全关键岗位等消防安全责任人的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.3</w:t>
            </w:r>
          </w:p>
        </w:tc>
        <w:tc>
          <w:tcPr>
            <w:tcW w:w="8650" w:type="dxa"/>
            <w:vAlign w:val="center"/>
          </w:tcPr>
          <w:p>
            <w:pPr>
              <w:pStyle w:val="30"/>
              <w:widowControl w:val="0"/>
              <w:tabs>
                <w:tab w:val="left" w:pos="0"/>
              </w:tabs>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未</w:t>
            </w:r>
            <w:r>
              <w:rPr>
                <w:rFonts w:ascii="宋体" w:hAnsi="宋体" w:eastAsia="宋体" w:cs="Times New Roman"/>
                <w:b w:val="0"/>
                <w:color w:val="auto"/>
                <w:sz w:val="18"/>
                <w:szCs w:val="18"/>
                <w:highlight w:val="none"/>
              </w:rPr>
              <w:t>建立、健全本</w:t>
            </w:r>
            <w:r>
              <w:rPr>
                <w:rFonts w:hint="eastAsia" w:ascii="宋体" w:hAnsi="宋体" w:eastAsia="宋体" w:cs="Times New Roman"/>
                <w:b w:val="0"/>
                <w:color w:val="auto"/>
                <w:sz w:val="18"/>
                <w:szCs w:val="18"/>
                <w:highlight w:val="none"/>
              </w:rPr>
              <w:t>公司（</w:t>
            </w:r>
            <w:r>
              <w:rPr>
                <w:rFonts w:ascii="宋体" w:hAnsi="宋体" w:eastAsia="宋体" w:cs="Times New Roman"/>
                <w:b w:val="0"/>
                <w:color w:val="auto"/>
                <w:sz w:val="18"/>
                <w:szCs w:val="18"/>
                <w:highlight w:val="none"/>
              </w:rPr>
              <w:t>单位</w:t>
            </w:r>
            <w:r>
              <w:rPr>
                <w:rFonts w:hint="eastAsia" w:ascii="宋体" w:hAnsi="宋体" w:eastAsia="宋体" w:cs="Times New Roman"/>
                <w:b w:val="0"/>
                <w:color w:val="auto"/>
                <w:sz w:val="18"/>
                <w:szCs w:val="18"/>
                <w:highlight w:val="none"/>
              </w:rPr>
              <w:t>）</w:t>
            </w:r>
            <w:r>
              <w:rPr>
                <w:rFonts w:ascii="宋体" w:hAnsi="宋体" w:eastAsia="宋体" w:cs="Times New Roman"/>
                <w:b w:val="0"/>
                <w:color w:val="auto"/>
                <w:sz w:val="18"/>
                <w:szCs w:val="18"/>
                <w:highlight w:val="none"/>
              </w:rPr>
              <w:t>消防</w:t>
            </w:r>
            <w:r>
              <w:rPr>
                <w:rFonts w:hint="eastAsia" w:ascii="宋体" w:hAnsi="宋体" w:eastAsia="宋体" w:cs="Times New Roman"/>
                <w:b w:val="0"/>
                <w:color w:val="auto"/>
                <w:sz w:val="18"/>
                <w:szCs w:val="18"/>
                <w:highlight w:val="none"/>
              </w:rPr>
              <w:t>安全</w:t>
            </w:r>
            <w:r>
              <w:rPr>
                <w:rFonts w:ascii="宋体" w:hAnsi="宋体" w:eastAsia="宋体" w:cs="Times New Roman"/>
                <w:b w:val="0"/>
                <w:color w:val="auto"/>
                <w:sz w:val="18"/>
                <w:szCs w:val="18"/>
                <w:highlight w:val="none"/>
              </w:rPr>
              <w:t>档案</w:t>
            </w:r>
            <w:r>
              <w:rPr>
                <w:rFonts w:hint="eastAsia" w:ascii="宋体" w:hAnsi="宋体" w:eastAsia="宋体" w:cs="Times New Roman"/>
                <w:b w:val="0"/>
                <w:color w:val="auto"/>
                <w:sz w:val="18"/>
                <w:szCs w:val="18"/>
                <w:highlight w:val="none"/>
              </w:rPr>
              <w:t>、未建立完整的消防安全工作基础台账的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.4</w:t>
            </w:r>
          </w:p>
        </w:tc>
        <w:tc>
          <w:tcPr>
            <w:tcW w:w="8650" w:type="dxa"/>
            <w:vAlign w:val="center"/>
          </w:tcPr>
          <w:p>
            <w:pPr>
              <w:pStyle w:val="30"/>
              <w:widowControl w:val="0"/>
              <w:tabs>
                <w:tab w:val="left" w:pos="0"/>
              </w:tabs>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未制定本公司（单位）灭火和应急疏散预案的</w:t>
            </w:r>
          </w:p>
        </w:tc>
      </w:tr>
    </w:tbl>
    <w:p>
      <w:pPr>
        <w:spacing w:line="100" w:lineRule="exact"/>
        <w:ind w:firstLine="482" w:firstLineChars="200"/>
        <w:rPr>
          <w:rFonts w:ascii="宋体" w:hAnsi="宋体"/>
          <w:b/>
          <w:bCs/>
          <w:color w:val="auto"/>
          <w:highlight w:val="none"/>
        </w:rPr>
      </w:pP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项序</w:t>
            </w:r>
          </w:p>
        </w:tc>
        <w:tc>
          <w:tcPr>
            <w:tcW w:w="8650"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扣减违约金</w:t>
            </w:r>
            <w:r>
              <w:rPr>
                <w:rFonts w:ascii="宋体" w:hAnsi="宋体"/>
                <w:b/>
                <w:bCs/>
                <w:color w:val="auto"/>
                <w:sz w:val="18"/>
                <w:szCs w:val="18"/>
                <w:highlight w:val="none"/>
              </w:rPr>
              <w:t>10</w:t>
            </w:r>
            <w:r>
              <w:rPr>
                <w:rFonts w:hint="eastAsia" w:ascii="宋体" w:hAnsi="宋体"/>
                <w:b/>
                <w:bCs/>
                <w:color w:val="auto"/>
                <w:sz w:val="18"/>
                <w:szCs w:val="18"/>
                <w:highlight w:val="none"/>
              </w:rPr>
              <w:t>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.5</w:t>
            </w:r>
          </w:p>
        </w:tc>
        <w:tc>
          <w:tcPr>
            <w:tcW w:w="8650" w:type="dxa"/>
            <w:vAlign w:val="center"/>
          </w:tcPr>
          <w:p>
            <w:pPr>
              <w:widowControl w:val="0"/>
              <w:spacing w:line="240" w:lineRule="exact"/>
              <w:jc w:val="left"/>
              <w:rPr>
                <w:rFonts w:ascii="宋体" w:hAnsi="宋体"/>
                <w:b/>
                <w:bCs/>
                <w:color w:val="auto"/>
                <w:sz w:val="18"/>
                <w:szCs w:val="18"/>
                <w:highlight w:val="none"/>
              </w:rPr>
            </w:pPr>
            <w:r>
              <w:rPr>
                <w:rFonts w:hint="eastAsia" w:ascii="宋体" w:hAnsi="宋体"/>
                <w:color w:val="auto"/>
                <w:sz w:val="18"/>
                <w:szCs w:val="18"/>
                <w:highlight w:val="none"/>
              </w:rPr>
              <w:t>违规在一号航站楼内传递火种（火柴、火机等）、吸烟的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.6</w:t>
            </w:r>
          </w:p>
        </w:tc>
        <w:tc>
          <w:tcPr>
            <w:tcW w:w="8650" w:type="dxa"/>
            <w:vAlign w:val="center"/>
          </w:tcPr>
          <w:p>
            <w:pPr>
              <w:pStyle w:val="30"/>
              <w:widowControl w:val="0"/>
              <w:tabs>
                <w:tab w:val="left" w:pos="0"/>
              </w:tabs>
              <w:spacing w:line="240" w:lineRule="exact"/>
              <w:jc w:val="both"/>
              <w:rPr>
                <w:rFonts w:ascii="宋体" w:hAnsi="宋体" w:cs="Times New Roman"/>
                <w:color w:val="auto"/>
                <w:sz w:val="18"/>
                <w:szCs w:val="18"/>
                <w:highlight w:val="none"/>
              </w:rPr>
            </w:pPr>
            <w:r>
              <w:rPr>
                <w:rFonts w:hint="eastAsia" w:ascii="宋体" w:hAnsi="宋体" w:eastAsia="宋体" w:cs="Times New Roman"/>
                <w:b w:val="0"/>
                <w:color w:val="auto"/>
                <w:sz w:val="18"/>
                <w:szCs w:val="18"/>
                <w:highlight w:val="none"/>
              </w:rPr>
              <w:t>每次动火作业前，未按要求向一号航管分公司进行动火报备的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.7</w:t>
            </w:r>
          </w:p>
        </w:tc>
        <w:tc>
          <w:tcPr>
            <w:tcW w:w="8650" w:type="dxa"/>
            <w:vAlign w:val="center"/>
          </w:tcPr>
          <w:p>
            <w:pPr>
              <w:pStyle w:val="30"/>
              <w:widowControl w:val="0"/>
              <w:tabs>
                <w:tab w:val="left" w:pos="0"/>
              </w:tabs>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未按照规范标准配备本公司（单位）承租区域的消防器材的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.8</w:t>
            </w:r>
          </w:p>
        </w:tc>
        <w:tc>
          <w:tcPr>
            <w:tcW w:w="8650" w:type="dxa"/>
            <w:vAlign w:val="center"/>
          </w:tcPr>
          <w:p>
            <w:pPr>
              <w:pStyle w:val="30"/>
              <w:widowControl w:val="0"/>
              <w:tabs>
                <w:tab w:val="left" w:pos="0"/>
              </w:tabs>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未对本公司（单位）自行配置的消防器材进行检查、保养，未作好检查、保养记录的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.9</w:t>
            </w:r>
          </w:p>
        </w:tc>
        <w:tc>
          <w:tcPr>
            <w:tcW w:w="8650" w:type="dxa"/>
            <w:vAlign w:val="center"/>
          </w:tcPr>
          <w:p>
            <w:pPr>
              <w:pStyle w:val="30"/>
              <w:widowControl w:val="0"/>
              <w:tabs>
                <w:tab w:val="left" w:pos="0"/>
              </w:tabs>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所属员工不能熟练掌握消防技能，不懂得防火、灭火常识，不会使用消防器材及相适应的灭火程序的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.10</w:t>
            </w:r>
          </w:p>
        </w:tc>
        <w:tc>
          <w:tcPr>
            <w:tcW w:w="8650" w:type="dxa"/>
            <w:vAlign w:val="center"/>
          </w:tcPr>
          <w:p>
            <w:pPr>
              <w:pStyle w:val="30"/>
              <w:widowControl w:val="0"/>
              <w:tabs>
                <w:tab w:val="left" w:pos="0"/>
              </w:tabs>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未按规定每月定期开展防火安全自查，未做好检查记录的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.11</w:t>
            </w:r>
          </w:p>
        </w:tc>
        <w:tc>
          <w:tcPr>
            <w:tcW w:w="8650" w:type="dxa"/>
            <w:vAlign w:val="center"/>
          </w:tcPr>
          <w:p>
            <w:pPr>
              <w:pStyle w:val="30"/>
              <w:widowControl w:val="0"/>
              <w:tabs>
                <w:tab w:val="left" w:pos="0"/>
              </w:tabs>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未落实班前、班后日常检查制度，如实记录检查情况的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.12</w:t>
            </w:r>
          </w:p>
        </w:tc>
        <w:tc>
          <w:tcPr>
            <w:tcW w:w="8650" w:type="dxa"/>
            <w:vAlign w:val="center"/>
          </w:tcPr>
          <w:p>
            <w:pPr>
              <w:pStyle w:val="30"/>
              <w:widowControl w:val="0"/>
              <w:tabs>
                <w:tab w:val="left" w:pos="0"/>
              </w:tabs>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未落实当天工作（营业）结束后，检查承租（管辖）区域内的电气线路和、电器产品、设备使用情况，关闭承租区域电源及供水开关（除必用生产电器产品、设备之外）的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.13</w:t>
            </w:r>
          </w:p>
        </w:tc>
        <w:tc>
          <w:tcPr>
            <w:tcW w:w="8650" w:type="dxa"/>
            <w:vAlign w:val="center"/>
          </w:tcPr>
          <w:p>
            <w:pPr>
              <w:pStyle w:val="30"/>
              <w:widowControl w:val="0"/>
              <w:tabs>
                <w:tab w:val="left" w:pos="0"/>
              </w:tabs>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不积极配合甲方或上级主管部门开展消防安全检查的</w:t>
            </w:r>
          </w:p>
        </w:tc>
      </w:tr>
    </w:tbl>
    <w:p>
      <w:pPr>
        <w:spacing w:line="100" w:lineRule="exact"/>
        <w:ind w:firstLine="482" w:firstLineChars="200"/>
        <w:rPr>
          <w:rFonts w:ascii="宋体" w:hAnsi="宋体"/>
          <w:b/>
          <w:bCs/>
          <w:color w:val="auto"/>
          <w:highlight w:val="none"/>
        </w:rPr>
      </w:pP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项序</w:t>
            </w:r>
          </w:p>
        </w:tc>
        <w:tc>
          <w:tcPr>
            <w:tcW w:w="8650"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违约金</w:t>
            </w:r>
            <w:r>
              <w:rPr>
                <w:rFonts w:ascii="宋体" w:hAnsi="宋体"/>
                <w:b/>
                <w:bCs/>
                <w:color w:val="auto"/>
                <w:sz w:val="18"/>
                <w:szCs w:val="18"/>
                <w:highlight w:val="none"/>
              </w:rPr>
              <w:t>20</w:t>
            </w:r>
            <w:r>
              <w:rPr>
                <w:rFonts w:hint="eastAsia" w:ascii="宋体" w:hAnsi="宋体"/>
                <w:b/>
                <w:bCs/>
                <w:color w:val="auto"/>
                <w:sz w:val="18"/>
                <w:szCs w:val="18"/>
                <w:highlight w:val="none"/>
              </w:rPr>
              <w:t>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.14</w:t>
            </w:r>
          </w:p>
        </w:tc>
        <w:tc>
          <w:tcPr>
            <w:tcW w:w="8650" w:type="dxa"/>
            <w:vAlign w:val="center"/>
          </w:tcPr>
          <w:p>
            <w:pPr>
              <w:widowControl w:val="0"/>
              <w:tabs>
                <w:tab w:val="left" w:pos="1080"/>
                <w:tab w:val="left" w:pos="1440"/>
              </w:tabs>
              <w:spacing w:line="240" w:lineRule="exact"/>
              <w:jc w:val="both"/>
              <w:rPr>
                <w:rFonts w:ascii="宋体" w:hAnsi="宋体"/>
                <w:color w:val="auto"/>
                <w:sz w:val="18"/>
                <w:szCs w:val="18"/>
                <w:highlight w:val="none"/>
              </w:rPr>
            </w:pPr>
            <w:r>
              <w:rPr>
                <w:rFonts w:ascii="宋体" w:hAnsi="宋体"/>
                <w:color w:val="auto"/>
                <w:sz w:val="18"/>
                <w:szCs w:val="18"/>
                <w:highlight w:val="none"/>
              </w:rPr>
              <w:t>私拉乱接电线，使用超负荷电器的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.15</w:t>
            </w:r>
          </w:p>
        </w:tc>
        <w:tc>
          <w:tcPr>
            <w:tcW w:w="8650" w:type="dxa"/>
            <w:vAlign w:val="center"/>
          </w:tcPr>
          <w:p>
            <w:pPr>
              <w:widowControl w:val="0"/>
              <w:tabs>
                <w:tab w:val="left" w:pos="1080"/>
                <w:tab w:val="left" w:pos="1440"/>
              </w:tabs>
              <w:spacing w:line="240" w:lineRule="exact"/>
              <w:jc w:val="both"/>
              <w:rPr>
                <w:rFonts w:ascii="宋体" w:hAnsi="宋体"/>
                <w:color w:val="auto"/>
                <w:sz w:val="18"/>
                <w:szCs w:val="18"/>
                <w:highlight w:val="none"/>
              </w:rPr>
            </w:pPr>
            <w:r>
              <w:rPr>
                <w:rFonts w:ascii="宋体" w:hAnsi="宋体"/>
                <w:color w:val="auto"/>
                <w:sz w:val="18"/>
                <w:szCs w:val="18"/>
                <w:highlight w:val="none"/>
              </w:rPr>
              <w:t>违规使用易燃易爆危险化学物品的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.16</w:t>
            </w:r>
          </w:p>
        </w:tc>
        <w:tc>
          <w:tcPr>
            <w:tcW w:w="8650" w:type="dxa"/>
            <w:vAlign w:val="center"/>
          </w:tcPr>
          <w:p>
            <w:pPr>
              <w:widowControl w:val="0"/>
              <w:tabs>
                <w:tab w:val="left" w:pos="1080"/>
                <w:tab w:val="left" w:pos="1440"/>
              </w:tabs>
              <w:spacing w:line="240" w:lineRule="exact"/>
              <w:jc w:val="both"/>
              <w:rPr>
                <w:rFonts w:ascii="宋体" w:hAnsi="宋体"/>
                <w:color w:val="auto"/>
                <w:sz w:val="18"/>
                <w:szCs w:val="18"/>
                <w:highlight w:val="none"/>
              </w:rPr>
            </w:pPr>
            <w:r>
              <w:rPr>
                <w:rFonts w:ascii="宋体" w:hAnsi="宋体"/>
                <w:color w:val="auto"/>
                <w:sz w:val="18"/>
                <w:szCs w:val="18"/>
                <w:highlight w:val="none"/>
              </w:rPr>
              <w:t>违章操作或违章使用明火作业造成火情、火险的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.17</w:t>
            </w:r>
          </w:p>
        </w:tc>
        <w:tc>
          <w:tcPr>
            <w:tcW w:w="8650" w:type="dxa"/>
            <w:vAlign w:val="center"/>
          </w:tcPr>
          <w:p>
            <w:pPr>
              <w:widowControl w:val="0"/>
              <w:tabs>
                <w:tab w:val="left" w:pos="1080"/>
                <w:tab w:val="left" w:pos="144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动火现场安全措施不到位的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.18</w:t>
            </w:r>
          </w:p>
        </w:tc>
        <w:tc>
          <w:tcPr>
            <w:tcW w:w="8650" w:type="dxa"/>
            <w:vAlign w:val="center"/>
          </w:tcPr>
          <w:p>
            <w:pPr>
              <w:widowControl w:val="0"/>
              <w:tabs>
                <w:tab w:val="left" w:pos="1080"/>
                <w:tab w:val="left" w:pos="1440"/>
              </w:tabs>
              <w:spacing w:line="240" w:lineRule="exact"/>
              <w:jc w:val="both"/>
              <w:rPr>
                <w:rFonts w:ascii="宋体" w:hAnsi="宋体"/>
                <w:color w:val="auto"/>
                <w:sz w:val="18"/>
                <w:szCs w:val="18"/>
                <w:highlight w:val="none"/>
              </w:rPr>
            </w:pPr>
            <w:r>
              <w:rPr>
                <w:rFonts w:ascii="宋体" w:hAnsi="宋体"/>
                <w:color w:val="auto"/>
                <w:sz w:val="18"/>
                <w:szCs w:val="18"/>
                <w:highlight w:val="none"/>
              </w:rPr>
              <w:t>占用疏散通道，或在安全出口或者疏散通道上安装、摆放影响疏散的障碍物的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.19</w:t>
            </w:r>
          </w:p>
        </w:tc>
        <w:tc>
          <w:tcPr>
            <w:tcW w:w="8650" w:type="dxa"/>
            <w:vAlign w:val="center"/>
          </w:tcPr>
          <w:p>
            <w:pPr>
              <w:widowControl w:val="0"/>
              <w:tabs>
                <w:tab w:val="left" w:pos="1080"/>
                <w:tab w:val="left" w:pos="144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擅自</w:t>
            </w:r>
            <w:r>
              <w:rPr>
                <w:rFonts w:ascii="宋体" w:hAnsi="宋体"/>
                <w:color w:val="auto"/>
                <w:sz w:val="18"/>
                <w:szCs w:val="18"/>
                <w:highlight w:val="none"/>
              </w:rPr>
              <w:t>关闭消防设施、切断消防电源</w:t>
            </w:r>
            <w:r>
              <w:rPr>
                <w:rFonts w:hint="eastAsia" w:ascii="宋体" w:hAnsi="宋体"/>
                <w:color w:val="auto"/>
                <w:sz w:val="18"/>
                <w:szCs w:val="18"/>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.20</w:t>
            </w:r>
          </w:p>
        </w:tc>
        <w:tc>
          <w:tcPr>
            <w:tcW w:w="8650" w:type="dxa"/>
            <w:vAlign w:val="center"/>
          </w:tcPr>
          <w:p>
            <w:pPr>
              <w:widowControl w:val="0"/>
              <w:tabs>
                <w:tab w:val="left" w:pos="1080"/>
                <w:tab w:val="left" w:pos="1440"/>
              </w:tabs>
              <w:spacing w:line="240" w:lineRule="exact"/>
              <w:jc w:val="both"/>
              <w:rPr>
                <w:rFonts w:ascii="宋体" w:hAnsi="宋体"/>
                <w:color w:val="auto"/>
                <w:sz w:val="18"/>
                <w:szCs w:val="18"/>
                <w:highlight w:val="none"/>
              </w:rPr>
            </w:pPr>
            <w:r>
              <w:rPr>
                <w:rFonts w:ascii="宋体" w:hAnsi="宋体"/>
                <w:color w:val="auto"/>
                <w:sz w:val="18"/>
                <w:szCs w:val="18"/>
                <w:highlight w:val="none"/>
              </w:rPr>
              <w:t>遮挡或者覆盖消防安全疏散等指示标志的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.21</w:t>
            </w:r>
          </w:p>
        </w:tc>
        <w:tc>
          <w:tcPr>
            <w:tcW w:w="8650" w:type="dxa"/>
            <w:vAlign w:val="center"/>
          </w:tcPr>
          <w:p>
            <w:pPr>
              <w:widowControl w:val="0"/>
              <w:tabs>
                <w:tab w:val="left" w:pos="1080"/>
                <w:tab w:val="left" w:pos="1440"/>
              </w:tabs>
              <w:spacing w:line="240" w:lineRule="exact"/>
              <w:jc w:val="both"/>
              <w:rPr>
                <w:rFonts w:ascii="宋体" w:hAnsi="宋体"/>
                <w:color w:val="auto"/>
                <w:sz w:val="18"/>
                <w:szCs w:val="18"/>
                <w:highlight w:val="none"/>
              </w:rPr>
            </w:pPr>
            <w:r>
              <w:rPr>
                <w:rFonts w:ascii="宋体" w:hAnsi="宋体"/>
                <w:color w:val="auto"/>
                <w:sz w:val="18"/>
                <w:szCs w:val="18"/>
                <w:highlight w:val="none"/>
              </w:rPr>
              <w:t>改变消防设施的用途，</w:t>
            </w:r>
            <w:r>
              <w:rPr>
                <w:rFonts w:hint="eastAsia" w:ascii="宋体" w:hAnsi="宋体"/>
                <w:color w:val="auto"/>
                <w:sz w:val="18"/>
                <w:szCs w:val="18"/>
                <w:highlight w:val="none"/>
              </w:rPr>
              <w:t>或损坏、挪用、拆除、停用消防设施和器材的</w:t>
            </w:r>
          </w:p>
        </w:tc>
      </w:tr>
    </w:tbl>
    <w:p>
      <w:pPr>
        <w:spacing w:line="100" w:lineRule="exact"/>
        <w:ind w:firstLine="482" w:firstLineChars="200"/>
        <w:rPr>
          <w:rFonts w:ascii="宋体" w:hAnsi="宋体"/>
          <w:b/>
          <w:bCs/>
          <w:color w:val="auto"/>
          <w:highlight w:val="none"/>
        </w:rPr>
      </w:pP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项序</w:t>
            </w:r>
          </w:p>
        </w:tc>
        <w:tc>
          <w:tcPr>
            <w:tcW w:w="8650"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违约金5</w:t>
            </w:r>
            <w:r>
              <w:rPr>
                <w:rFonts w:ascii="宋体" w:hAnsi="宋体"/>
                <w:b/>
                <w:bCs/>
                <w:color w:val="auto"/>
                <w:sz w:val="18"/>
                <w:szCs w:val="18"/>
                <w:highlight w:val="none"/>
              </w:rPr>
              <w:t>000</w:t>
            </w:r>
            <w:r>
              <w:rPr>
                <w:rFonts w:hint="eastAsia" w:ascii="宋体" w:hAnsi="宋体"/>
                <w:b/>
                <w:bCs/>
                <w:color w:val="auto"/>
                <w:sz w:val="18"/>
                <w:szCs w:val="18"/>
                <w:highlight w:val="none"/>
              </w:rPr>
              <w:t>元/次-</w:t>
            </w:r>
            <w:r>
              <w:rPr>
                <w:rFonts w:ascii="宋体" w:hAnsi="宋体"/>
                <w:b/>
                <w:bCs/>
                <w:color w:val="auto"/>
                <w:sz w:val="18"/>
                <w:szCs w:val="18"/>
                <w:highlight w:val="none"/>
              </w:rPr>
              <w:t>20</w:t>
            </w:r>
            <w:r>
              <w:rPr>
                <w:rFonts w:hint="eastAsia" w:ascii="宋体" w:hAnsi="宋体"/>
                <w:b/>
                <w:bCs/>
                <w:color w:val="auto"/>
                <w:sz w:val="18"/>
                <w:szCs w:val="18"/>
                <w:highlight w:val="none"/>
              </w:rPr>
              <w:t>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2.22</w:t>
            </w:r>
          </w:p>
        </w:tc>
        <w:tc>
          <w:tcPr>
            <w:tcW w:w="8650" w:type="dxa"/>
            <w:vAlign w:val="center"/>
          </w:tcPr>
          <w:p>
            <w:pPr>
              <w:widowControl w:val="0"/>
              <w:spacing w:line="240" w:lineRule="exact"/>
              <w:jc w:val="left"/>
              <w:rPr>
                <w:rFonts w:ascii="宋体" w:hAnsi="宋体"/>
                <w:color w:val="auto"/>
                <w:sz w:val="18"/>
                <w:szCs w:val="18"/>
                <w:highlight w:val="none"/>
              </w:rPr>
            </w:pPr>
            <w:r>
              <w:rPr>
                <w:rFonts w:hint="eastAsia" w:ascii="宋体" w:hAnsi="宋体"/>
                <w:color w:val="auto"/>
                <w:sz w:val="18"/>
                <w:szCs w:val="18"/>
                <w:highlight w:val="none"/>
              </w:rPr>
              <w:t>其它违反消防安全法律、法规及机场管理机构消防安全管理相关要求的</w:t>
            </w:r>
          </w:p>
        </w:tc>
      </w:tr>
    </w:tbl>
    <w:p>
      <w:pPr>
        <w:spacing w:line="460" w:lineRule="exact"/>
        <w:ind w:firstLine="482" w:firstLineChars="200"/>
        <w:rPr>
          <w:rFonts w:ascii="宋体" w:hAnsi="宋体"/>
          <w:b/>
          <w:bCs/>
          <w:color w:val="auto"/>
          <w:highlight w:val="none"/>
        </w:rPr>
      </w:pPr>
      <w:r>
        <w:rPr>
          <w:rFonts w:hint="eastAsia" w:ascii="宋体" w:hAnsi="宋体"/>
          <w:b/>
          <w:bCs/>
          <w:color w:val="auto"/>
          <w:highlight w:val="none"/>
        </w:rPr>
        <w:t>（三）空防安全</w:t>
      </w: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3"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项序</w:t>
            </w:r>
          </w:p>
        </w:tc>
        <w:tc>
          <w:tcPr>
            <w:tcW w:w="8650"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违约金</w:t>
            </w:r>
            <w:r>
              <w:rPr>
                <w:rFonts w:ascii="宋体" w:hAnsi="宋体"/>
                <w:b/>
                <w:bCs/>
                <w:color w:val="auto"/>
                <w:sz w:val="18"/>
                <w:szCs w:val="18"/>
                <w:highlight w:val="none"/>
              </w:rPr>
              <w:t>5000</w:t>
            </w:r>
            <w:r>
              <w:rPr>
                <w:rFonts w:hint="eastAsia" w:ascii="宋体" w:hAnsi="宋体"/>
                <w:b/>
                <w:bCs/>
                <w:color w:val="auto"/>
                <w:sz w:val="18"/>
                <w:szCs w:val="18"/>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.1</w:t>
            </w:r>
          </w:p>
        </w:tc>
        <w:tc>
          <w:tcPr>
            <w:tcW w:w="8650" w:type="dxa"/>
          </w:tcPr>
          <w:p>
            <w:pPr>
              <w:widowControl w:val="0"/>
              <w:spacing w:line="240" w:lineRule="exact"/>
              <w:jc w:val="both"/>
              <w:rPr>
                <w:rFonts w:ascii="宋体" w:hAnsi="宋体"/>
                <w:color w:val="auto"/>
                <w:sz w:val="18"/>
                <w:szCs w:val="18"/>
                <w:highlight w:val="none"/>
              </w:rPr>
            </w:pPr>
            <w:r>
              <w:rPr>
                <w:rFonts w:ascii="宋体" w:hAnsi="宋体"/>
                <w:color w:val="auto"/>
                <w:sz w:val="18"/>
                <w:szCs w:val="18"/>
                <w:highlight w:val="none"/>
              </w:rPr>
              <w:t>未制定本</w:t>
            </w:r>
            <w:r>
              <w:rPr>
                <w:rFonts w:hint="eastAsia" w:ascii="宋体" w:hAnsi="宋体"/>
                <w:color w:val="auto"/>
                <w:sz w:val="18"/>
                <w:szCs w:val="18"/>
                <w:highlight w:val="none"/>
              </w:rPr>
              <w:t>公司（</w:t>
            </w:r>
            <w:r>
              <w:rPr>
                <w:rFonts w:ascii="宋体" w:hAnsi="宋体"/>
                <w:color w:val="auto"/>
                <w:sz w:val="18"/>
                <w:szCs w:val="18"/>
                <w:highlight w:val="none"/>
              </w:rPr>
              <w:t>单位</w:t>
            </w:r>
            <w:r>
              <w:rPr>
                <w:rFonts w:hint="eastAsia" w:ascii="宋体" w:hAnsi="宋体"/>
                <w:color w:val="auto"/>
                <w:sz w:val="18"/>
                <w:szCs w:val="18"/>
                <w:highlight w:val="none"/>
              </w:rPr>
              <w:t>）</w:t>
            </w:r>
            <w:r>
              <w:rPr>
                <w:rFonts w:ascii="宋体" w:hAnsi="宋体"/>
                <w:color w:val="auto"/>
                <w:sz w:val="18"/>
                <w:szCs w:val="18"/>
                <w:highlight w:val="none"/>
              </w:rPr>
              <w:t>空防安全管理制度</w:t>
            </w:r>
            <w:r>
              <w:rPr>
                <w:rFonts w:hint="eastAsia" w:ascii="宋体" w:hAnsi="宋体"/>
                <w:color w:val="auto"/>
                <w:sz w:val="18"/>
                <w:szCs w:val="18"/>
                <w:highlight w:val="none"/>
              </w:rPr>
              <w:t>、控制区通行证使用管理制度</w:t>
            </w:r>
            <w:r>
              <w:rPr>
                <w:rFonts w:ascii="宋体" w:hAnsi="宋体"/>
                <w:color w:val="auto"/>
                <w:sz w:val="18"/>
                <w:szCs w:val="18"/>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.2</w:t>
            </w:r>
          </w:p>
        </w:tc>
        <w:tc>
          <w:tcPr>
            <w:tcW w:w="8650" w:type="dxa"/>
          </w:tcPr>
          <w:p>
            <w:pPr>
              <w:widowControl w:val="0"/>
              <w:spacing w:line="240" w:lineRule="exact"/>
              <w:jc w:val="both"/>
              <w:rPr>
                <w:rFonts w:ascii="宋体" w:hAnsi="宋体"/>
                <w:color w:val="auto"/>
                <w:sz w:val="18"/>
                <w:szCs w:val="18"/>
                <w:highlight w:val="none"/>
              </w:rPr>
            </w:pPr>
            <w:r>
              <w:rPr>
                <w:rFonts w:ascii="宋体" w:hAnsi="宋体"/>
                <w:color w:val="auto"/>
                <w:sz w:val="18"/>
                <w:szCs w:val="18"/>
                <w:highlight w:val="none"/>
              </w:rPr>
              <w:t>未对本</w:t>
            </w:r>
            <w:r>
              <w:rPr>
                <w:rFonts w:hint="eastAsia" w:ascii="宋体" w:hAnsi="宋体"/>
                <w:color w:val="auto"/>
                <w:sz w:val="18"/>
                <w:szCs w:val="18"/>
                <w:highlight w:val="none"/>
              </w:rPr>
              <w:t>公司（</w:t>
            </w:r>
            <w:r>
              <w:rPr>
                <w:rFonts w:ascii="宋体" w:hAnsi="宋体"/>
                <w:color w:val="auto"/>
                <w:sz w:val="18"/>
                <w:szCs w:val="18"/>
                <w:highlight w:val="none"/>
              </w:rPr>
              <w:t>单位</w:t>
            </w:r>
            <w:r>
              <w:rPr>
                <w:rFonts w:hint="eastAsia" w:ascii="宋体" w:hAnsi="宋体"/>
                <w:color w:val="auto"/>
                <w:sz w:val="18"/>
                <w:szCs w:val="18"/>
                <w:highlight w:val="none"/>
              </w:rPr>
              <w:t>）</w:t>
            </w:r>
            <w:r>
              <w:rPr>
                <w:rFonts w:ascii="宋体" w:hAnsi="宋体"/>
                <w:color w:val="auto"/>
                <w:sz w:val="18"/>
                <w:szCs w:val="18"/>
                <w:highlight w:val="none"/>
              </w:rPr>
              <w:t>持控制区通行证人员的背景调查资料进行更新的，或未按规定向甲方提供审查的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.3</w:t>
            </w:r>
          </w:p>
        </w:tc>
        <w:tc>
          <w:tcPr>
            <w:tcW w:w="8650" w:type="dxa"/>
          </w:tcPr>
          <w:p>
            <w:pPr>
              <w:widowControl w:val="0"/>
              <w:spacing w:line="240" w:lineRule="exact"/>
              <w:jc w:val="both"/>
              <w:rPr>
                <w:rFonts w:ascii="宋体" w:hAnsi="宋体"/>
                <w:color w:val="auto"/>
                <w:sz w:val="18"/>
                <w:szCs w:val="18"/>
                <w:highlight w:val="none"/>
              </w:rPr>
            </w:pPr>
            <w:r>
              <w:rPr>
                <w:rFonts w:ascii="宋体" w:hAnsi="宋体"/>
                <w:color w:val="auto"/>
                <w:sz w:val="18"/>
                <w:szCs w:val="18"/>
                <w:highlight w:val="none"/>
              </w:rPr>
              <w:t>违规使用未接受过空防安全培训教育的人员上岗作业的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.4</w:t>
            </w:r>
          </w:p>
        </w:tc>
        <w:tc>
          <w:tcPr>
            <w:tcW w:w="8650" w:type="dxa"/>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未按规定</w:t>
            </w:r>
            <w:r>
              <w:rPr>
                <w:rFonts w:ascii="宋体" w:hAnsi="宋体"/>
                <w:color w:val="auto"/>
                <w:sz w:val="18"/>
                <w:szCs w:val="18"/>
                <w:highlight w:val="none"/>
              </w:rPr>
              <w:t>提供所属员工的背景调查资料或故意提供虚假信息，</w:t>
            </w:r>
            <w:r>
              <w:rPr>
                <w:rFonts w:hint="eastAsia" w:ascii="宋体" w:hAnsi="宋体"/>
                <w:color w:val="auto"/>
                <w:sz w:val="18"/>
                <w:szCs w:val="18"/>
                <w:highlight w:val="none"/>
              </w:rPr>
              <w:t>存在以下任一情况的:（1）</w:t>
            </w:r>
            <w:r>
              <w:rPr>
                <w:rFonts w:ascii="宋体" w:hAnsi="宋体"/>
                <w:color w:val="auto"/>
                <w:sz w:val="18"/>
                <w:szCs w:val="18"/>
                <w:highlight w:val="none"/>
              </w:rPr>
              <w:t>未受过刑事处罚或劳动教养</w:t>
            </w:r>
            <w:r>
              <w:rPr>
                <w:rFonts w:hint="eastAsia" w:ascii="宋体" w:hAnsi="宋体"/>
                <w:color w:val="auto"/>
                <w:sz w:val="18"/>
                <w:szCs w:val="18"/>
                <w:highlight w:val="none"/>
              </w:rPr>
              <w:t>；（2）</w:t>
            </w:r>
            <w:r>
              <w:rPr>
                <w:rFonts w:ascii="宋体" w:hAnsi="宋体"/>
                <w:color w:val="auto"/>
                <w:sz w:val="18"/>
                <w:szCs w:val="18"/>
                <w:highlight w:val="none"/>
              </w:rPr>
              <w:t>无未了结的刑事诉讼</w:t>
            </w:r>
            <w:r>
              <w:rPr>
                <w:rFonts w:hint="eastAsia" w:ascii="宋体" w:hAnsi="宋体"/>
                <w:color w:val="auto"/>
                <w:sz w:val="18"/>
                <w:szCs w:val="18"/>
                <w:highlight w:val="none"/>
              </w:rPr>
              <w:t>；（3）</w:t>
            </w:r>
            <w:r>
              <w:rPr>
                <w:rFonts w:ascii="宋体" w:hAnsi="宋体"/>
                <w:color w:val="auto"/>
                <w:sz w:val="18"/>
                <w:szCs w:val="18"/>
                <w:highlight w:val="none"/>
              </w:rPr>
              <w:t>无吸毒、赌博等违法行为</w:t>
            </w:r>
            <w:r>
              <w:rPr>
                <w:rFonts w:hint="eastAsia" w:ascii="宋体" w:hAnsi="宋体"/>
                <w:color w:val="auto"/>
                <w:sz w:val="18"/>
                <w:szCs w:val="18"/>
                <w:highlight w:val="none"/>
              </w:rPr>
              <w:t>；（4）</w:t>
            </w:r>
            <w:r>
              <w:rPr>
                <w:rFonts w:ascii="宋体" w:hAnsi="宋体"/>
                <w:color w:val="auto"/>
                <w:sz w:val="18"/>
                <w:szCs w:val="18"/>
                <w:highlight w:val="none"/>
              </w:rPr>
              <w:t>无参加过非法组织</w:t>
            </w:r>
            <w:r>
              <w:rPr>
                <w:rFonts w:hint="eastAsia" w:ascii="宋体" w:hAnsi="宋体"/>
                <w:color w:val="auto"/>
                <w:sz w:val="18"/>
                <w:szCs w:val="18"/>
                <w:highlight w:val="none"/>
              </w:rPr>
              <w:t>；（5）</w:t>
            </w:r>
            <w:r>
              <w:rPr>
                <w:rFonts w:ascii="宋体" w:hAnsi="宋体"/>
                <w:color w:val="auto"/>
                <w:sz w:val="18"/>
                <w:szCs w:val="18"/>
                <w:highlight w:val="none"/>
              </w:rPr>
              <w:t>无精神病史</w:t>
            </w:r>
            <w:r>
              <w:rPr>
                <w:rFonts w:hint="eastAsia" w:ascii="宋体" w:hAnsi="宋体"/>
                <w:color w:val="auto"/>
                <w:sz w:val="18"/>
                <w:szCs w:val="18"/>
                <w:highlight w:val="none"/>
              </w:rPr>
              <w:t>；（6）</w:t>
            </w:r>
            <w:r>
              <w:rPr>
                <w:rFonts w:ascii="宋体" w:hAnsi="宋体"/>
                <w:color w:val="auto"/>
                <w:sz w:val="18"/>
                <w:szCs w:val="18"/>
                <w:highlight w:val="none"/>
              </w:rPr>
              <w:t>无公安机关或调查单位认可的可能危害民用航空安全的其他情况。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.5</w:t>
            </w:r>
          </w:p>
        </w:tc>
        <w:tc>
          <w:tcPr>
            <w:tcW w:w="8650" w:type="dxa"/>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未落实证件管理责任制，未明确控制区通行证管理责任人的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.6</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未落实“上岗发放、离岗回收”</w:t>
            </w:r>
            <w:r>
              <w:rPr>
                <w:rFonts w:ascii="宋体" w:hAnsi="宋体"/>
                <w:color w:val="auto"/>
                <w:sz w:val="18"/>
                <w:szCs w:val="18"/>
                <w:highlight w:val="none"/>
              </w:rPr>
              <w:t xml:space="preserve"> </w:t>
            </w:r>
            <w:r>
              <w:rPr>
                <w:rFonts w:hint="eastAsia" w:ascii="宋体" w:hAnsi="宋体"/>
                <w:color w:val="auto"/>
                <w:sz w:val="18"/>
                <w:szCs w:val="18"/>
                <w:highlight w:val="none"/>
              </w:rPr>
              <w:t>统一保管制度的，未作好证件回收、发放台账记录的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.8</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乙方未建立并落实健全刀具和工具管理机制的。</w:t>
            </w:r>
          </w:p>
        </w:tc>
      </w:tr>
    </w:tbl>
    <w:p>
      <w:pPr>
        <w:spacing w:line="100" w:lineRule="exact"/>
        <w:ind w:firstLine="360" w:firstLineChars="200"/>
        <w:rPr>
          <w:rFonts w:ascii="宋体" w:hAnsi="宋体"/>
          <w:color w:val="auto"/>
          <w:sz w:val="18"/>
          <w:szCs w:val="18"/>
          <w:highlight w:val="none"/>
        </w:rPr>
      </w:pP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3"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项序</w:t>
            </w:r>
          </w:p>
        </w:tc>
        <w:tc>
          <w:tcPr>
            <w:tcW w:w="8650"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违约金</w:t>
            </w:r>
            <w:r>
              <w:rPr>
                <w:rFonts w:ascii="宋体" w:hAnsi="宋体"/>
                <w:b/>
                <w:bCs/>
                <w:color w:val="auto"/>
                <w:sz w:val="18"/>
                <w:szCs w:val="18"/>
                <w:highlight w:val="none"/>
              </w:rPr>
              <w:t>10</w:t>
            </w:r>
            <w:r>
              <w:rPr>
                <w:rFonts w:hint="eastAsia" w:ascii="宋体" w:hAnsi="宋体"/>
                <w:b/>
                <w:bCs/>
                <w:color w:val="auto"/>
                <w:sz w:val="18"/>
                <w:szCs w:val="18"/>
                <w:highlight w:val="none"/>
              </w:rPr>
              <w:t>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.9</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人员、车辆误入或未经批准擅自进入控制区的；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.10</w:t>
            </w:r>
          </w:p>
        </w:tc>
        <w:tc>
          <w:tcPr>
            <w:tcW w:w="8650" w:type="dxa"/>
            <w:vAlign w:val="center"/>
          </w:tcPr>
          <w:p>
            <w:pPr>
              <w:widowControl w:val="0"/>
              <w:spacing w:line="240" w:lineRule="exact"/>
              <w:jc w:val="both"/>
              <w:rPr>
                <w:rFonts w:ascii="宋体" w:hAnsi="宋体"/>
                <w:color w:val="auto"/>
                <w:sz w:val="18"/>
                <w:szCs w:val="18"/>
                <w:highlight w:val="none"/>
              </w:rPr>
            </w:pPr>
            <w:r>
              <w:rPr>
                <w:rFonts w:ascii="宋体" w:hAnsi="宋体"/>
                <w:color w:val="auto"/>
                <w:sz w:val="18"/>
                <w:szCs w:val="18"/>
                <w:highlight w:val="none"/>
              </w:rPr>
              <w:t>因工作变动、离退职</w:t>
            </w:r>
            <w:r>
              <w:rPr>
                <w:rFonts w:hint="eastAsia" w:ascii="宋体" w:hAnsi="宋体"/>
                <w:color w:val="auto"/>
                <w:sz w:val="18"/>
                <w:szCs w:val="18"/>
                <w:highlight w:val="none"/>
              </w:rPr>
              <w:t>、被开除</w:t>
            </w:r>
            <w:r>
              <w:rPr>
                <w:rFonts w:ascii="宋体" w:hAnsi="宋体"/>
                <w:color w:val="auto"/>
                <w:sz w:val="18"/>
                <w:szCs w:val="18"/>
                <w:highlight w:val="none"/>
              </w:rPr>
              <w:t>等原因，</w:t>
            </w:r>
            <w:r>
              <w:rPr>
                <w:rFonts w:hint="eastAsia" w:ascii="宋体" w:hAnsi="宋体"/>
                <w:color w:val="auto"/>
                <w:sz w:val="18"/>
                <w:szCs w:val="18"/>
                <w:highlight w:val="none"/>
              </w:rPr>
              <w:t>未及时上交</w:t>
            </w:r>
            <w:r>
              <w:rPr>
                <w:rFonts w:ascii="宋体" w:hAnsi="宋体"/>
                <w:color w:val="auto"/>
                <w:sz w:val="18"/>
                <w:szCs w:val="18"/>
                <w:highlight w:val="none"/>
              </w:rPr>
              <w:t>通行证的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.11</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引领他人在机场控制区活动期间，因未履行全程引领、监督职责造成被引领人的行为和安全处于失控状态的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3.12</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故意损坏门禁设备或故意导致门禁失效、失灵的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3.13</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采用不正确方法进出而导致门禁系统报警的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3.14</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在控制内未按规定佩戴控制区通行证，或不服从执勤人员查验证件的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3.15</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不听现场执勤人员劝阻，强行从没有安检通道或门禁通道进入隔离区的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3.16</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在多人进出门禁（包括门禁处于打开状态）时，不按规定每人刷卡逐一（即尾随他人）通过门禁的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3.17</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发现他人尾随进入门禁时，既不制止，又不履行及时举报义务的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3.18</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通过门禁后，没有确认门禁是否正常关闭即离开，导致被他人尾随进入的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3.19</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未获得有效门禁授予资格，擅自进入门禁授权以外区域（跨区域使用通行证）的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3.20</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未按规定使用控制区防返回传刷卡管理功能的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3.21</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利用门禁通道违反出入境边防检查、海关、动植物检验检疫等联检单位有关规定的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3.22</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利用门禁通道私放他人进入控制区域的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3.23</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利用门禁或其它渠道携带、传递违禁物品进入控制区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3.24</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利用门禁通道故意逃避安全检查进入控制区的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3.25</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将控制区通行证转借给他人使用的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3.26</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制作、使用假证件，或</w:t>
            </w:r>
            <w:r>
              <w:rPr>
                <w:rFonts w:ascii="宋体" w:hAnsi="宋体"/>
                <w:color w:val="auto"/>
                <w:sz w:val="18"/>
                <w:szCs w:val="18"/>
                <w:highlight w:val="none"/>
              </w:rPr>
              <w:t>伪造、变造</w:t>
            </w:r>
            <w:r>
              <w:rPr>
                <w:rFonts w:hint="eastAsia" w:ascii="宋体" w:hAnsi="宋体"/>
                <w:color w:val="auto"/>
                <w:sz w:val="18"/>
                <w:szCs w:val="18"/>
                <w:highlight w:val="none"/>
              </w:rPr>
              <w:t>、篡改证件，或冒用他人证件的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3.27</w:t>
            </w:r>
          </w:p>
        </w:tc>
        <w:tc>
          <w:tcPr>
            <w:tcW w:w="8650" w:type="dxa"/>
            <w:vAlign w:val="center"/>
          </w:tcPr>
          <w:p>
            <w:pPr>
              <w:widowControl w:val="0"/>
              <w:spacing w:line="240" w:lineRule="exact"/>
              <w:jc w:val="both"/>
              <w:rPr>
                <w:rFonts w:ascii="宋体" w:hAnsi="宋体"/>
                <w:color w:val="auto"/>
                <w:sz w:val="18"/>
                <w:szCs w:val="18"/>
                <w:highlight w:val="none"/>
              </w:rPr>
            </w:pPr>
            <w:r>
              <w:rPr>
                <w:rFonts w:ascii="宋体" w:hAnsi="宋体"/>
                <w:color w:val="auto"/>
                <w:sz w:val="18"/>
                <w:szCs w:val="18"/>
                <w:highlight w:val="none"/>
              </w:rPr>
              <w:t>使用本人过期无效的控制区通行证的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3.28</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使用失效的门禁卡、或无效控制区通行证强行进出门禁的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3.29</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非紧急情况下使用门禁紧急破碎按钮的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w:t>
            </w:r>
            <w:r>
              <w:rPr>
                <w:rFonts w:ascii="宋体" w:hAnsi="宋体"/>
                <w:color w:val="auto"/>
                <w:sz w:val="18"/>
                <w:szCs w:val="18"/>
                <w:highlight w:val="none"/>
              </w:rPr>
              <w:t>30</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未获得有效授予资格，擅自使用密码开启门禁的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.31</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不听现场执勤人员劝阻，强行硬闯防爆安检区域的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.32</w:t>
            </w:r>
          </w:p>
        </w:tc>
        <w:tc>
          <w:tcPr>
            <w:tcW w:w="8650" w:type="dxa"/>
            <w:vAlign w:val="center"/>
          </w:tcPr>
          <w:p>
            <w:pPr>
              <w:widowControl w:val="0"/>
              <w:spacing w:line="240" w:lineRule="exact"/>
              <w:jc w:val="both"/>
              <w:rPr>
                <w:rFonts w:ascii="宋体" w:hAnsi="宋体"/>
                <w:color w:val="auto"/>
                <w:sz w:val="18"/>
                <w:szCs w:val="18"/>
                <w:highlight w:val="none"/>
              </w:rPr>
            </w:pPr>
            <w:r>
              <w:rPr>
                <w:rFonts w:ascii="宋体" w:hAnsi="宋体"/>
                <w:color w:val="auto"/>
                <w:sz w:val="18"/>
                <w:szCs w:val="18"/>
                <w:highlight w:val="none"/>
              </w:rPr>
              <w:t>丢失控制区通行证</w:t>
            </w:r>
            <w:r>
              <w:rPr>
                <w:rFonts w:hint="eastAsia" w:ascii="宋体" w:hAnsi="宋体"/>
                <w:color w:val="auto"/>
                <w:sz w:val="18"/>
                <w:szCs w:val="18"/>
                <w:highlight w:val="none"/>
              </w:rPr>
              <w:t>的，</w:t>
            </w:r>
            <w:r>
              <w:rPr>
                <w:rFonts w:ascii="宋体" w:hAnsi="宋体"/>
                <w:color w:val="auto"/>
                <w:sz w:val="18"/>
                <w:szCs w:val="18"/>
                <w:highlight w:val="none"/>
              </w:rPr>
              <w:t>未</w:t>
            </w:r>
            <w:r>
              <w:rPr>
                <w:rFonts w:hint="eastAsia" w:ascii="宋体" w:hAnsi="宋体"/>
                <w:color w:val="auto"/>
                <w:sz w:val="18"/>
                <w:szCs w:val="18"/>
                <w:highlight w:val="none"/>
              </w:rPr>
              <w:t>立即向主管部门报告、报失的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.33</w:t>
            </w:r>
          </w:p>
        </w:tc>
        <w:tc>
          <w:tcPr>
            <w:tcW w:w="8650"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使用控制区通行证，与申办事由不相符的</w:t>
            </w:r>
          </w:p>
        </w:tc>
      </w:tr>
    </w:tbl>
    <w:p>
      <w:pPr>
        <w:spacing w:line="100" w:lineRule="exact"/>
        <w:ind w:firstLine="482" w:firstLineChars="200"/>
        <w:rPr>
          <w:rFonts w:ascii="宋体" w:hAnsi="宋体"/>
          <w:b/>
          <w:bCs/>
          <w:color w:val="auto"/>
          <w:highlight w:val="none"/>
        </w:rPr>
      </w:pP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项序</w:t>
            </w:r>
          </w:p>
        </w:tc>
        <w:tc>
          <w:tcPr>
            <w:tcW w:w="8650"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违约金5</w:t>
            </w:r>
            <w:r>
              <w:rPr>
                <w:rFonts w:ascii="宋体" w:hAnsi="宋体"/>
                <w:b/>
                <w:bCs/>
                <w:color w:val="auto"/>
                <w:sz w:val="18"/>
                <w:szCs w:val="18"/>
                <w:highlight w:val="none"/>
              </w:rPr>
              <w:t>000</w:t>
            </w:r>
            <w:r>
              <w:rPr>
                <w:rFonts w:hint="eastAsia" w:ascii="宋体" w:hAnsi="宋体"/>
                <w:b/>
                <w:bCs/>
                <w:color w:val="auto"/>
                <w:sz w:val="18"/>
                <w:szCs w:val="18"/>
                <w:highlight w:val="none"/>
              </w:rPr>
              <w:t>元/次-</w:t>
            </w:r>
            <w:r>
              <w:rPr>
                <w:rFonts w:ascii="宋体" w:hAnsi="宋体"/>
                <w:b/>
                <w:bCs/>
                <w:color w:val="auto"/>
                <w:sz w:val="18"/>
                <w:szCs w:val="18"/>
                <w:highlight w:val="none"/>
              </w:rPr>
              <w:t>20</w:t>
            </w:r>
            <w:r>
              <w:rPr>
                <w:rFonts w:hint="eastAsia" w:ascii="宋体" w:hAnsi="宋体"/>
                <w:b/>
                <w:bCs/>
                <w:color w:val="auto"/>
                <w:sz w:val="18"/>
                <w:szCs w:val="18"/>
                <w:highlight w:val="none"/>
              </w:rPr>
              <w:t>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3.34</w:t>
            </w:r>
          </w:p>
        </w:tc>
        <w:tc>
          <w:tcPr>
            <w:tcW w:w="8650" w:type="dxa"/>
            <w:vAlign w:val="center"/>
          </w:tcPr>
          <w:p>
            <w:pPr>
              <w:widowControl w:val="0"/>
              <w:spacing w:line="240" w:lineRule="exact"/>
              <w:jc w:val="left"/>
              <w:rPr>
                <w:rFonts w:ascii="宋体" w:hAnsi="宋体"/>
                <w:color w:val="auto"/>
                <w:sz w:val="18"/>
                <w:szCs w:val="18"/>
                <w:highlight w:val="none"/>
              </w:rPr>
            </w:pPr>
            <w:r>
              <w:rPr>
                <w:rFonts w:ascii="宋体" w:hAnsi="宋体"/>
                <w:color w:val="auto"/>
                <w:sz w:val="18"/>
                <w:szCs w:val="18"/>
                <w:highlight w:val="none"/>
              </w:rPr>
              <w:t>其他违反机场</w:t>
            </w:r>
            <w:r>
              <w:rPr>
                <w:rFonts w:hint="eastAsia" w:ascii="宋体" w:hAnsi="宋体"/>
                <w:color w:val="auto"/>
                <w:sz w:val="18"/>
                <w:szCs w:val="18"/>
                <w:highlight w:val="none"/>
              </w:rPr>
              <w:t>空防安全</w:t>
            </w:r>
            <w:r>
              <w:rPr>
                <w:rFonts w:ascii="宋体" w:hAnsi="宋体"/>
                <w:color w:val="auto"/>
                <w:sz w:val="18"/>
                <w:szCs w:val="18"/>
                <w:highlight w:val="none"/>
              </w:rPr>
              <w:t>的行为</w:t>
            </w:r>
            <w:r>
              <w:rPr>
                <w:rFonts w:hint="eastAsia" w:ascii="宋体" w:hAnsi="宋体"/>
                <w:color w:val="auto"/>
                <w:sz w:val="18"/>
                <w:szCs w:val="18"/>
                <w:highlight w:val="none"/>
              </w:rPr>
              <w:t>，以及空防安全法律、法规及机场管理机构空防安全管理相关要求的</w:t>
            </w:r>
          </w:p>
        </w:tc>
      </w:tr>
    </w:tbl>
    <w:p>
      <w:pPr>
        <w:spacing w:line="460" w:lineRule="exact"/>
        <w:ind w:firstLine="482" w:firstLineChars="200"/>
        <w:rPr>
          <w:rFonts w:ascii="宋体" w:hAnsi="宋体"/>
          <w:b/>
          <w:bCs/>
          <w:color w:val="auto"/>
          <w:highlight w:val="none"/>
        </w:rPr>
      </w:pPr>
      <w:r>
        <w:rPr>
          <w:rFonts w:hint="eastAsia" w:ascii="宋体" w:hAnsi="宋体"/>
          <w:b/>
          <w:bCs/>
          <w:color w:val="auto"/>
          <w:highlight w:val="none"/>
        </w:rPr>
        <w:t>（四）安全培训教育</w:t>
      </w: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项序</w:t>
            </w:r>
          </w:p>
        </w:tc>
        <w:tc>
          <w:tcPr>
            <w:tcW w:w="8650" w:type="dxa"/>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违约金</w:t>
            </w:r>
            <w:r>
              <w:rPr>
                <w:rFonts w:ascii="宋体" w:hAnsi="宋体"/>
                <w:b/>
                <w:bCs/>
                <w:color w:val="auto"/>
                <w:sz w:val="18"/>
                <w:szCs w:val="18"/>
                <w:highlight w:val="none"/>
              </w:rPr>
              <w:t>5000</w:t>
            </w:r>
            <w:r>
              <w:rPr>
                <w:rFonts w:hint="eastAsia" w:ascii="宋体" w:hAnsi="宋体"/>
                <w:b/>
                <w:bCs/>
                <w:color w:val="auto"/>
                <w:sz w:val="18"/>
                <w:szCs w:val="18"/>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4.1</w:t>
            </w:r>
          </w:p>
        </w:tc>
        <w:tc>
          <w:tcPr>
            <w:tcW w:w="8650" w:type="dxa"/>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未按照甲方要求建立本公司（单位）安全培训教育制度的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4.2</w:t>
            </w:r>
          </w:p>
        </w:tc>
        <w:tc>
          <w:tcPr>
            <w:tcW w:w="8650" w:type="dxa"/>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未按照甲方要求制定安全培训教育计划，并按甲方规定时限报备的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4.3</w:t>
            </w:r>
          </w:p>
        </w:tc>
        <w:tc>
          <w:tcPr>
            <w:tcW w:w="8650" w:type="dxa"/>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未按照安全培训教育计划执行，并做好培训台账记录、培训小结、培训考核等情况的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4.4</w:t>
            </w:r>
          </w:p>
        </w:tc>
        <w:tc>
          <w:tcPr>
            <w:tcW w:w="8650" w:type="dxa"/>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新入职人员未参加甲方组织开展的准入安全培训，未经考核通过即安排上岗的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4.5</w:t>
            </w:r>
          </w:p>
        </w:tc>
        <w:tc>
          <w:tcPr>
            <w:tcW w:w="8650" w:type="dxa"/>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未按照甲方要求定期组织开展在岗复训、换岗专训的，课时数未达到甲方要求的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4.6</w:t>
            </w:r>
          </w:p>
        </w:tc>
        <w:tc>
          <w:tcPr>
            <w:tcW w:w="8650" w:type="dxa"/>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 xml:space="preserve">未明确本公司（单位）与运行安全岗位有关的人员，并定期组织开展专业技能安全培训的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4.7</w:t>
            </w:r>
          </w:p>
        </w:tc>
        <w:tc>
          <w:tcPr>
            <w:tcW w:w="8650" w:type="dxa"/>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每个月的培训教育未全面覆盖本公司（单位）在岗员工的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4.8</w:t>
            </w:r>
          </w:p>
        </w:tc>
        <w:tc>
          <w:tcPr>
            <w:tcW w:w="8650" w:type="dxa"/>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安全培训教育台账记录不完善的（安全培训教育记录应包括培训教育日期、培训教育主题、培训教育主要内容、培训教育课时、培训考核结果、培训教育参加人数、培训教育现场图片、培训及教育小结等）</w:t>
            </w:r>
          </w:p>
        </w:tc>
      </w:tr>
    </w:tbl>
    <w:p>
      <w:pPr>
        <w:spacing w:line="400" w:lineRule="exact"/>
        <w:ind w:firstLine="482" w:firstLineChars="200"/>
        <w:rPr>
          <w:rFonts w:ascii="宋体" w:hAnsi="宋体"/>
          <w:b/>
          <w:bCs/>
          <w:color w:val="auto"/>
          <w:highlight w:val="none"/>
        </w:rPr>
      </w:pPr>
      <w:r>
        <w:rPr>
          <w:rFonts w:hint="eastAsia" w:ascii="宋体" w:hAnsi="宋体"/>
          <w:b/>
          <w:bCs/>
          <w:color w:val="auto"/>
          <w:highlight w:val="none"/>
        </w:rPr>
        <w:t>（五）危险品管理</w:t>
      </w: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3" w:type="dxa"/>
            <w:vAlign w:val="center"/>
          </w:tcPr>
          <w:p>
            <w:pPr>
              <w:widowControl w:val="0"/>
              <w:spacing w:line="240" w:lineRule="exact"/>
              <w:jc w:val="center"/>
              <w:rPr>
                <w:rFonts w:ascii="宋体" w:hAnsi="宋体"/>
                <w:b/>
                <w:bCs/>
                <w:color w:val="auto"/>
                <w:sz w:val="18"/>
                <w:szCs w:val="18"/>
                <w:highlight w:val="none"/>
              </w:rPr>
            </w:pPr>
            <w:bookmarkStart w:id="23" w:name="_Hlk15669611"/>
            <w:r>
              <w:rPr>
                <w:rFonts w:hint="eastAsia" w:ascii="宋体" w:hAnsi="宋体"/>
                <w:b/>
                <w:bCs/>
                <w:color w:val="auto"/>
                <w:sz w:val="18"/>
                <w:szCs w:val="18"/>
                <w:highlight w:val="none"/>
              </w:rPr>
              <w:t>项序</w:t>
            </w:r>
          </w:p>
        </w:tc>
        <w:tc>
          <w:tcPr>
            <w:tcW w:w="8650"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违约金</w:t>
            </w:r>
            <w:r>
              <w:rPr>
                <w:rFonts w:ascii="宋体" w:hAnsi="宋体"/>
                <w:b/>
                <w:bCs/>
                <w:color w:val="auto"/>
                <w:sz w:val="18"/>
                <w:szCs w:val="18"/>
                <w:highlight w:val="none"/>
              </w:rPr>
              <w:t>10000</w:t>
            </w:r>
            <w:r>
              <w:rPr>
                <w:rFonts w:hint="eastAsia" w:ascii="宋体" w:hAnsi="宋体"/>
                <w:b/>
                <w:bCs/>
                <w:color w:val="auto"/>
                <w:sz w:val="18"/>
                <w:szCs w:val="18"/>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5.1</w:t>
            </w:r>
          </w:p>
        </w:tc>
        <w:tc>
          <w:tcPr>
            <w:tcW w:w="8650" w:type="dxa"/>
            <w:vAlign w:val="center"/>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未建立危险化学品使用管理制度，未明确危险化学品使用管理责任人的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5.2</w:t>
            </w:r>
          </w:p>
        </w:tc>
        <w:tc>
          <w:tcPr>
            <w:tcW w:w="8650" w:type="dxa"/>
            <w:vAlign w:val="center"/>
          </w:tcPr>
          <w:p>
            <w:pPr>
              <w:widowControl w:val="0"/>
              <w:tabs>
                <w:tab w:val="left" w:pos="1620"/>
              </w:tabs>
              <w:spacing w:line="240" w:lineRule="exact"/>
              <w:jc w:val="both"/>
              <w:rPr>
                <w:rFonts w:ascii="宋体" w:hAnsi="宋体"/>
                <w:color w:val="auto"/>
                <w:sz w:val="18"/>
                <w:szCs w:val="18"/>
                <w:highlight w:val="none"/>
              </w:rPr>
            </w:pPr>
            <w:r>
              <w:rPr>
                <w:rFonts w:ascii="宋体" w:hAnsi="宋体"/>
                <w:color w:val="auto"/>
                <w:sz w:val="18"/>
                <w:szCs w:val="18"/>
                <w:highlight w:val="none"/>
              </w:rPr>
              <w:t>未</w:t>
            </w:r>
            <w:r>
              <w:rPr>
                <w:rFonts w:hint="eastAsia" w:ascii="宋体" w:hAnsi="宋体"/>
                <w:color w:val="auto"/>
                <w:sz w:val="18"/>
                <w:szCs w:val="18"/>
                <w:highlight w:val="none"/>
              </w:rPr>
              <w:t>经主管部门批准、</w:t>
            </w:r>
            <w:r>
              <w:rPr>
                <w:rFonts w:ascii="宋体" w:hAnsi="宋体"/>
                <w:color w:val="auto"/>
                <w:sz w:val="18"/>
                <w:szCs w:val="18"/>
                <w:highlight w:val="none"/>
              </w:rPr>
              <w:t>获甲方同意，乙方在承包区域存放易燃物品、挥发性大或气味浓烈的液体</w:t>
            </w:r>
            <w:r>
              <w:rPr>
                <w:rFonts w:hint="eastAsia" w:ascii="宋体" w:hAnsi="宋体"/>
                <w:color w:val="auto"/>
                <w:sz w:val="18"/>
                <w:szCs w:val="18"/>
                <w:highlight w:val="none"/>
              </w:rPr>
              <w:t>等危险化学物品的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5.3</w:t>
            </w:r>
          </w:p>
        </w:tc>
        <w:tc>
          <w:tcPr>
            <w:tcW w:w="8650" w:type="dxa"/>
            <w:vAlign w:val="center"/>
          </w:tcPr>
          <w:p>
            <w:pPr>
              <w:widowControl w:val="0"/>
              <w:tabs>
                <w:tab w:val="left" w:pos="1620"/>
              </w:tabs>
              <w:spacing w:line="240" w:lineRule="exact"/>
              <w:jc w:val="both"/>
              <w:rPr>
                <w:rFonts w:ascii="宋体" w:hAnsi="宋体"/>
                <w:color w:val="auto"/>
                <w:sz w:val="18"/>
                <w:szCs w:val="18"/>
                <w:highlight w:val="none"/>
              </w:rPr>
            </w:pPr>
            <w:r>
              <w:rPr>
                <w:rFonts w:ascii="宋体" w:hAnsi="宋体"/>
                <w:color w:val="auto"/>
                <w:sz w:val="18"/>
                <w:szCs w:val="18"/>
                <w:highlight w:val="none"/>
              </w:rPr>
              <w:t>从事储存、运输、使用危险化学物品或者处置废弃危险化学物品的人员，</w:t>
            </w:r>
            <w:r>
              <w:rPr>
                <w:rFonts w:hint="eastAsia" w:ascii="宋体" w:hAnsi="宋体"/>
                <w:color w:val="auto"/>
                <w:sz w:val="18"/>
                <w:szCs w:val="18"/>
                <w:highlight w:val="none"/>
              </w:rPr>
              <w:t>未</w:t>
            </w:r>
            <w:r>
              <w:rPr>
                <w:rFonts w:ascii="宋体" w:hAnsi="宋体"/>
                <w:color w:val="auto"/>
                <w:sz w:val="18"/>
                <w:szCs w:val="18"/>
                <w:highlight w:val="none"/>
              </w:rPr>
              <w:t>接受政府有关主管部门关于法律、法规、规章和安全知识、专业技术、职业卫生防护和应急救援知识的培训，</w:t>
            </w:r>
            <w:r>
              <w:rPr>
                <w:rFonts w:hint="eastAsia" w:ascii="宋体" w:hAnsi="宋体"/>
                <w:color w:val="auto"/>
                <w:sz w:val="18"/>
                <w:szCs w:val="18"/>
                <w:highlight w:val="none"/>
              </w:rPr>
              <w:t>上岗作业的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5.4</w:t>
            </w:r>
          </w:p>
        </w:tc>
        <w:tc>
          <w:tcPr>
            <w:tcW w:w="8650" w:type="dxa"/>
            <w:vAlign w:val="center"/>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未按照相关要求及时</w:t>
            </w:r>
            <w:r>
              <w:rPr>
                <w:rFonts w:ascii="宋体" w:hAnsi="宋体"/>
                <w:color w:val="auto"/>
                <w:sz w:val="18"/>
                <w:szCs w:val="18"/>
                <w:highlight w:val="none"/>
              </w:rPr>
              <w:t>处置废弃危险化学物品</w:t>
            </w:r>
            <w:r>
              <w:rPr>
                <w:rFonts w:hint="eastAsia" w:ascii="宋体" w:hAnsi="宋体"/>
                <w:color w:val="auto"/>
                <w:sz w:val="18"/>
                <w:szCs w:val="18"/>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5.5</w:t>
            </w:r>
          </w:p>
        </w:tc>
        <w:tc>
          <w:tcPr>
            <w:tcW w:w="8650" w:type="dxa"/>
            <w:vAlign w:val="center"/>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不接受</w:t>
            </w:r>
            <w:r>
              <w:rPr>
                <w:rFonts w:ascii="宋体" w:hAnsi="宋体"/>
                <w:color w:val="auto"/>
                <w:sz w:val="18"/>
                <w:szCs w:val="18"/>
                <w:highlight w:val="none"/>
              </w:rPr>
              <w:t>政府有关部门依法实施的检查，拒绝或阻挠检查实施</w:t>
            </w:r>
            <w:r>
              <w:rPr>
                <w:rFonts w:hint="eastAsia" w:ascii="宋体" w:hAnsi="宋体"/>
                <w:color w:val="auto"/>
                <w:sz w:val="18"/>
                <w:szCs w:val="18"/>
                <w:highlight w:val="none"/>
              </w:rPr>
              <w:t>的</w:t>
            </w:r>
          </w:p>
        </w:tc>
      </w:tr>
      <w:bookmarkEnd w:id="23"/>
    </w:tbl>
    <w:p>
      <w:pPr>
        <w:spacing w:line="400" w:lineRule="exact"/>
        <w:ind w:firstLine="482" w:firstLineChars="200"/>
        <w:rPr>
          <w:rFonts w:ascii="宋体" w:hAnsi="宋体"/>
          <w:b/>
          <w:bCs/>
          <w:color w:val="auto"/>
          <w:highlight w:val="none"/>
        </w:rPr>
      </w:pPr>
      <w:r>
        <w:rPr>
          <w:rFonts w:hint="eastAsia" w:ascii="宋体" w:hAnsi="宋体"/>
          <w:b/>
          <w:bCs/>
          <w:color w:val="auto"/>
          <w:highlight w:val="none"/>
        </w:rPr>
        <w:t>（六）生产（作业）安全</w:t>
      </w:r>
    </w:p>
    <w:p>
      <w:pPr>
        <w:spacing w:line="100" w:lineRule="exact"/>
        <w:ind w:firstLine="482" w:firstLineChars="200"/>
        <w:rPr>
          <w:rFonts w:ascii="宋体" w:hAnsi="宋体"/>
          <w:b/>
          <w:bCs/>
          <w:color w:val="auto"/>
          <w:highlight w:val="none"/>
        </w:rPr>
      </w:pP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3"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项序</w:t>
            </w:r>
          </w:p>
        </w:tc>
        <w:tc>
          <w:tcPr>
            <w:tcW w:w="8650"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违约金</w:t>
            </w:r>
            <w:r>
              <w:rPr>
                <w:rFonts w:ascii="宋体" w:hAnsi="宋体"/>
                <w:b/>
                <w:bCs/>
                <w:color w:val="auto"/>
                <w:sz w:val="18"/>
                <w:szCs w:val="18"/>
                <w:highlight w:val="none"/>
              </w:rPr>
              <w:t>5000</w:t>
            </w:r>
            <w:r>
              <w:rPr>
                <w:rFonts w:hint="eastAsia" w:ascii="宋体" w:hAnsi="宋体"/>
                <w:b/>
                <w:bCs/>
                <w:color w:val="auto"/>
                <w:sz w:val="18"/>
                <w:szCs w:val="18"/>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6.1</w:t>
            </w:r>
          </w:p>
        </w:tc>
        <w:tc>
          <w:tcPr>
            <w:tcW w:w="8650" w:type="dxa"/>
            <w:vAlign w:val="center"/>
          </w:tcPr>
          <w:p>
            <w:pPr>
              <w:pStyle w:val="30"/>
              <w:widowControl w:val="0"/>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使用机械设备前，未对机械设备及设施进行检查的（包括</w:t>
            </w:r>
            <w:r>
              <w:rPr>
                <w:rFonts w:ascii="宋体" w:hAnsi="宋体" w:eastAsia="宋体" w:cs="Times New Roman"/>
                <w:b w:val="0"/>
                <w:color w:val="auto"/>
                <w:sz w:val="18"/>
                <w:szCs w:val="18"/>
                <w:highlight w:val="none"/>
              </w:rPr>
              <w:t>检查电源、电线、插座板有无漏电，是否完好</w:t>
            </w:r>
            <w:r>
              <w:rPr>
                <w:rFonts w:hint="eastAsia" w:ascii="宋体" w:hAnsi="宋体" w:eastAsia="宋体" w:cs="Times New Roman"/>
                <w:b w:val="0"/>
                <w:color w:val="auto"/>
                <w:sz w:val="18"/>
                <w:szCs w:val="18"/>
                <w:highlight w:val="none"/>
              </w:rPr>
              <w:t>；</w:t>
            </w:r>
            <w:r>
              <w:rPr>
                <w:rFonts w:ascii="宋体" w:hAnsi="宋体" w:eastAsia="宋体" w:cs="Times New Roman"/>
                <w:b w:val="0"/>
                <w:color w:val="auto"/>
                <w:sz w:val="18"/>
                <w:szCs w:val="18"/>
                <w:highlight w:val="none"/>
              </w:rPr>
              <w:t>检查机械设备是否完好</w:t>
            </w:r>
            <w:r>
              <w:rPr>
                <w:rFonts w:hint="eastAsia" w:ascii="宋体" w:hAnsi="宋体" w:eastAsia="宋体" w:cs="Times New Roman"/>
                <w:b w:val="0"/>
                <w:color w:val="auto"/>
                <w:sz w:val="18"/>
                <w:szCs w:val="18"/>
                <w:highlight w:val="none"/>
              </w:rPr>
              <w:t>、</w:t>
            </w:r>
            <w:r>
              <w:rPr>
                <w:rFonts w:ascii="宋体" w:hAnsi="宋体" w:eastAsia="宋体" w:cs="Times New Roman"/>
                <w:b w:val="0"/>
                <w:color w:val="auto"/>
                <w:sz w:val="18"/>
                <w:szCs w:val="18"/>
                <w:highlight w:val="none"/>
              </w:rPr>
              <w:t>有无配件松动</w:t>
            </w:r>
            <w:r>
              <w:rPr>
                <w:rFonts w:hint="eastAsia" w:ascii="宋体" w:hAnsi="宋体" w:eastAsia="宋体" w:cs="Times New Roman"/>
                <w:b w:val="0"/>
                <w:color w:val="auto"/>
                <w:sz w:val="18"/>
                <w:szCs w:val="18"/>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6.2</w:t>
            </w:r>
          </w:p>
        </w:tc>
        <w:tc>
          <w:tcPr>
            <w:tcW w:w="8650" w:type="dxa"/>
            <w:vAlign w:val="center"/>
          </w:tcPr>
          <w:p>
            <w:pPr>
              <w:pStyle w:val="30"/>
              <w:widowControl w:val="0"/>
              <w:spacing w:line="240" w:lineRule="exact"/>
              <w:jc w:val="both"/>
              <w:rPr>
                <w:rFonts w:ascii="宋体" w:hAnsi="宋体" w:eastAsia="宋体"/>
                <w:b w:val="0"/>
                <w:color w:val="auto"/>
                <w:sz w:val="18"/>
                <w:szCs w:val="18"/>
                <w:highlight w:val="none"/>
              </w:rPr>
            </w:pPr>
            <w:r>
              <w:rPr>
                <w:rFonts w:ascii="宋体" w:hAnsi="宋体" w:eastAsia="宋体" w:cs="Times New Roman"/>
                <w:b w:val="0"/>
                <w:color w:val="auto"/>
                <w:sz w:val="18"/>
                <w:szCs w:val="18"/>
                <w:highlight w:val="none"/>
              </w:rPr>
              <w:t>生产（作业）时</w:t>
            </w:r>
            <w:r>
              <w:rPr>
                <w:rFonts w:hint="eastAsia" w:ascii="宋体" w:hAnsi="宋体" w:eastAsia="宋体" w:cs="Times New Roman"/>
                <w:b w:val="0"/>
                <w:color w:val="auto"/>
                <w:sz w:val="18"/>
                <w:szCs w:val="18"/>
                <w:highlight w:val="none"/>
              </w:rPr>
              <w:t>未</w:t>
            </w:r>
            <w:r>
              <w:rPr>
                <w:rFonts w:ascii="宋体" w:hAnsi="宋体" w:eastAsia="宋体" w:cs="Times New Roman"/>
                <w:b w:val="0"/>
                <w:color w:val="auto"/>
                <w:sz w:val="18"/>
                <w:szCs w:val="18"/>
                <w:highlight w:val="none"/>
              </w:rPr>
              <w:t>按照各种生产设备使用说明规定，性能规范操作</w:t>
            </w:r>
            <w:r>
              <w:rPr>
                <w:rFonts w:hint="eastAsia" w:ascii="宋体" w:hAnsi="宋体" w:eastAsia="宋体" w:cs="Times New Roman"/>
                <w:b w:val="0"/>
                <w:color w:val="auto"/>
                <w:sz w:val="18"/>
                <w:szCs w:val="18"/>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6.3</w:t>
            </w:r>
          </w:p>
        </w:tc>
        <w:tc>
          <w:tcPr>
            <w:tcW w:w="8650" w:type="dxa"/>
            <w:vAlign w:val="center"/>
          </w:tcPr>
          <w:p>
            <w:pPr>
              <w:pStyle w:val="30"/>
              <w:widowControl w:val="0"/>
              <w:spacing w:line="240" w:lineRule="exact"/>
              <w:jc w:val="both"/>
              <w:rPr>
                <w:rFonts w:ascii="宋体" w:hAnsi="宋体" w:eastAsia="宋体"/>
                <w:b w:val="0"/>
                <w:color w:val="auto"/>
                <w:sz w:val="18"/>
                <w:szCs w:val="18"/>
                <w:highlight w:val="none"/>
              </w:rPr>
            </w:pPr>
            <w:r>
              <w:rPr>
                <w:rFonts w:hint="eastAsia" w:ascii="宋体" w:hAnsi="宋体" w:eastAsia="宋体" w:cs="Times New Roman"/>
                <w:b w:val="0"/>
                <w:color w:val="auto"/>
                <w:sz w:val="18"/>
                <w:szCs w:val="18"/>
                <w:highlight w:val="none"/>
              </w:rPr>
              <w:t>未</w:t>
            </w:r>
            <w:r>
              <w:rPr>
                <w:rFonts w:ascii="宋体" w:hAnsi="宋体" w:eastAsia="宋体" w:cs="Times New Roman"/>
                <w:b w:val="0"/>
                <w:color w:val="auto"/>
                <w:sz w:val="18"/>
                <w:szCs w:val="18"/>
                <w:highlight w:val="none"/>
              </w:rPr>
              <w:t>对机械设备要进行月检、季检、年检登记，</w:t>
            </w:r>
            <w:r>
              <w:rPr>
                <w:rFonts w:hint="eastAsia" w:ascii="宋体" w:hAnsi="宋体" w:eastAsia="宋体" w:cs="Times New Roman"/>
                <w:b w:val="0"/>
                <w:color w:val="auto"/>
                <w:sz w:val="18"/>
                <w:szCs w:val="18"/>
                <w:highlight w:val="none"/>
              </w:rPr>
              <w:t>未做好</w:t>
            </w:r>
            <w:r>
              <w:rPr>
                <w:rFonts w:ascii="宋体" w:hAnsi="宋体" w:eastAsia="宋体" w:cs="Times New Roman"/>
                <w:b w:val="0"/>
                <w:color w:val="auto"/>
                <w:sz w:val="18"/>
                <w:szCs w:val="18"/>
                <w:highlight w:val="none"/>
              </w:rPr>
              <w:t>机械设备使用档案</w:t>
            </w:r>
            <w:r>
              <w:rPr>
                <w:rFonts w:hint="eastAsia" w:ascii="宋体" w:hAnsi="宋体" w:eastAsia="宋体" w:cs="Times New Roman"/>
                <w:b w:val="0"/>
                <w:color w:val="auto"/>
                <w:sz w:val="18"/>
                <w:szCs w:val="18"/>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6.4</w:t>
            </w:r>
          </w:p>
        </w:tc>
        <w:tc>
          <w:tcPr>
            <w:tcW w:w="8650" w:type="dxa"/>
            <w:vAlign w:val="center"/>
          </w:tcPr>
          <w:p>
            <w:pPr>
              <w:pStyle w:val="30"/>
              <w:widowControl w:val="0"/>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私自</w:t>
            </w:r>
            <w:r>
              <w:rPr>
                <w:rFonts w:ascii="宋体" w:hAnsi="宋体" w:eastAsia="宋体" w:cs="Times New Roman"/>
                <w:b w:val="0"/>
                <w:color w:val="auto"/>
                <w:sz w:val="18"/>
                <w:szCs w:val="18"/>
                <w:highlight w:val="none"/>
              </w:rPr>
              <w:t>在机场范围内从事拉客、拉票、拉货，不得在其使用、管理区域从事非法活动</w:t>
            </w:r>
            <w:r>
              <w:rPr>
                <w:rFonts w:hint="eastAsia" w:ascii="宋体" w:hAnsi="宋体" w:eastAsia="宋体" w:cs="Times New Roman"/>
                <w:b w:val="0"/>
                <w:color w:val="auto"/>
                <w:sz w:val="18"/>
                <w:szCs w:val="18"/>
                <w:highlight w:val="none"/>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6.5</w:t>
            </w:r>
          </w:p>
        </w:tc>
        <w:tc>
          <w:tcPr>
            <w:tcW w:w="8650" w:type="dxa"/>
            <w:vAlign w:val="center"/>
          </w:tcPr>
          <w:p>
            <w:pPr>
              <w:pStyle w:val="30"/>
              <w:widowControl w:val="0"/>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私自在承包区域内住宿的，对甲方或任何第三方进行滋扰性行为的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6.6</w:t>
            </w:r>
          </w:p>
        </w:tc>
        <w:tc>
          <w:tcPr>
            <w:tcW w:w="8650" w:type="dxa"/>
            <w:vAlign w:val="center"/>
          </w:tcPr>
          <w:p>
            <w:pPr>
              <w:pStyle w:val="30"/>
              <w:widowControl w:val="0"/>
              <w:spacing w:line="240" w:lineRule="exact"/>
              <w:jc w:val="both"/>
              <w:rPr>
                <w:rFonts w:ascii="宋体" w:hAnsi="宋体" w:eastAsia="宋体" w:cs="Times New Roman"/>
                <w:b w:val="0"/>
                <w:color w:val="auto"/>
                <w:sz w:val="18"/>
                <w:szCs w:val="18"/>
                <w:highlight w:val="none"/>
              </w:rPr>
            </w:pPr>
            <w:r>
              <w:rPr>
                <w:rFonts w:ascii="宋体" w:hAnsi="宋体" w:eastAsia="宋体" w:cs="Times New Roman"/>
                <w:b w:val="0"/>
                <w:color w:val="auto"/>
                <w:sz w:val="18"/>
                <w:szCs w:val="18"/>
                <w:highlight w:val="none"/>
              </w:rPr>
              <w:t>乙方所属人员在机场范围内驾驶</w:t>
            </w:r>
            <w:r>
              <w:rPr>
                <w:rFonts w:hint="eastAsia" w:ascii="宋体" w:hAnsi="宋体" w:eastAsia="宋体" w:cs="Times New Roman"/>
                <w:b w:val="0"/>
                <w:color w:val="auto"/>
                <w:sz w:val="18"/>
                <w:szCs w:val="18"/>
                <w:highlight w:val="none"/>
              </w:rPr>
              <w:t>五类车的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6.7</w:t>
            </w:r>
          </w:p>
        </w:tc>
        <w:tc>
          <w:tcPr>
            <w:tcW w:w="8650" w:type="dxa"/>
            <w:vAlign w:val="center"/>
          </w:tcPr>
          <w:p>
            <w:pPr>
              <w:pStyle w:val="30"/>
              <w:widowControl w:val="0"/>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乙方所属人员上班前饮酒的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6.8</w:t>
            </w:r>
          </w:p>
        </w:tc>
        <w:tc>
          <w:tcPr>
            <w:tcW w:w="8650" w:type="dxa"/>
            <w:vAlign w:val="center"/>
          </w:tcPr>
          <w:p>
            <w:pPr>
              <w:pStyle w:val="30"/>
              <w:widowControl w:val="0"/>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未经许可，在一号航站楼举行临时性活动的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6.9</w:t>
            </w:r>
          </w:p>
        </w:tc>
        <w:tc>
          <w:tcPr>
            <w:tcW w:w="8650" w:type="dxa"/>
            <w:vAlign w:val="center"/>
          </w:tcPr>
          <w:p>
            <w:pPr>
              <w:pStyle w:val="30"/>
              <w:widowControl w:val="0"/>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乙方私自在一号航站楼内摆放、张贴、悬挂等安置临时性物品的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6.10</w:t>
            </w:r>
          </w:p>
        </w:tc>
        <w:tc>
          <w:tcPr>
            <w:tcW w:w="8650" w:type="dxa"/>
            <w:vAlign w:val="center"/>
          </w:tcPr>
          <w:p>
            <w:pPr>
              <w:pStyle w:val="30"/>
              <w:widowControl w:val="0"/>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乙方私自在一号航站楼内骑行智能双轮车、电瓶车及其他驱动代步工具的</w:t>
            </w:r>
          </w:p>
        </w:tc>
      </w:tr>
    </w:tbl>
    <w:p>
      <w:pPr>
        <w:spacing w:line="100" w:lineRule="exact"/>
        <w:ind w:firstLine="482" w:firstLineChars="200"/>
        <w:rPr>
          <w:rFonts w:ascii="宋体" w:hAnsi="宋体"/>
          <w:b/>
          <w:bCs/>
          <w:color w:val="auto"/>
          <w:highlight w:val="none"/>
        </w:rPr>
      </w:pP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项序</w:t>
            </w:r>
          </w:p>
        </w:tc>
        <w:tc>
          <w:tcPr>
            <w:tcW w:w="8650"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违约金10000元/次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3" w:type="dxa"/>
            <w:gridSpan w:val="2"/>
            <w:vAlign w:val="center"/>
          </w:tcPr>
          <w:p>
            <w:pPr>
              <w:widowControl w:val="0"/>
              <w:spacing w:line="240" w:lineRule="exact"/>
              <w:jc w:val="left"/>
              <w:rPr>
                <w:rFonts w:ascii="宋体" w:hAnsi="宋体"/>
                <w:b/>
                <w:bCs/>
                <w:color w:val="auto"/>
                <w:sz w:val="18"/>
                <w:szCs w:val="18"/>
                <w:highlight w:val="none"/>
              </w:rPr>
            </w:pPr>
            <w:r>
              <w:rPr>
                <w:rFonts w:hint="eastAsia" w:ascii="宋体" w:hAnsi="宋体"/>
                <w:bCs/>
                <w:color w:val="auto"/>
                <w:sz w:val="18"/>
                <w:szCs w:val="18"/>
                <w:highlight w:val="none"/>
              </w:rPr>
              <w:t>高</w:t>
            </w:r>
            <w:r>
              <w:rPr>
                <w:rFonts w:hint="eastAsia" w:ascii="宋体" w:hAnsi="宋体"/>
                <w:color w:val="auto"/>
                <w:sz w:val="18"/>
                <w:szCs w:val="18"/>
                <w:highlight w:val="none"/>
              </w:rPr>
              <w:t>处（空）作业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6.11</w:t>
            </w:r>
          </w:p>
        </w:tc>
        <w:tc>
          <w:tcPr>
            <w:tcW w:w="8650" w:type="dxa"/>
            <w:vAlign w:val="center"/>
          </w:tcPr>
          <w:p>
            <w:pPr>
              <w:widowControl w:val="0"/>
              <w:jc w:val="both"/>
              <w:rPr>
                <w:rFonts w:ascii="宋体" w:hAnsi="宋体"/>
                <w:color w:val="auto"/>
                <w:sz w:val="18"/>
                <w:szCs w:val="18"/>
                <w:highlight w:val="none"/>
              </w:rPr>
            </w:pPr>
            <w:r>
              <w:rPr>
                <w:rFonts w:hint="eastAsia" w:ascii="宋体" w:hAnsi="宋体"/>
                <w:color w:val="auto"/>
                <w:sz w:val="18"/>
                <w:szCs w:val="18"/>
                <w:highlight w:val="none"/>
              </w:rPr>
              <w:t>实施高处（空）作业时，现场配置的作业人员数量不足三人的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.12</w:t>
            </w:r>
          </w:p>
        </w:tc>
        <w:tc>
          <w:tcPr>
            <w:tcW w:w="8650" w:type="dxa"/>
            <w:vAlign w:val="center"/>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实施高处（空）作业前，未对现场设备进行安全检查的，（包括检查升降机，确认高空架是否安全牢固）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.13</w:t>
            </w:r>
          </w:p>
        </w:tc>
        <w:tc>
          <w:tcPr>
            <w:tcW w:w="8650" w:type="dxa"/>
            <w:vAlign w:val="center"/>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高处（空）作业区周边应设立围栏，并放置安全提示牌，防止无关人员进入作业安全区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.14</w:t>
            </w:r>
          </w:p>
        </w:tc>
        <w:tc>
          <w:tcPr>
            <w:tcW w:w="8650" w:type="dxa"/>
            <w:vAlign w:val="center"/>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实施高处（空）作业前，未按甲方规定的时间进行，高空架、升降梯未在指定的地点放置的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.15</w:t>
            </w:r>
          </w:p>
        </w:tc>
        <w:tc>
          <w:tcPr>
            <w:tcW w:w="8650" w:type="dxa"/>
            <w:vAlign w:val="center"/>
          </w:tcPr>
          <w:p>
            <w:pPr>
              <w:pStyle w:val="30"/>
              <w:widowControl w:val="0"/>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实施高处（空）作业时，作业人员未戴安全帽、系安全带，作业区地面未安排人员看守的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.16</w:t>
            </w:r>
          </w:p>
        </w:tc>
        <w:tc>
          <w:tcPr>
            <w:tcW w:w="8650" w:type="dxa"/>
            <w:vAlign w:val="center"/>
          </w:tcPr>
          <w:p>
            <w:pPr>
              <w:pStyle w:val="30"/>
              <w:widowControl w:val="0"/>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生产（作业）人员超时作业的（高空作业人员作业时间不得连续超过</w:t>
            </w:r>
            <w:r>
              <w:rPr>
                <w:rFonts w:ascii="宋体" w:hAnsi="宋体" w:eastAsia="宋体" w:cs="Times New Roman"/>
                <w:b w:val="0"/>
                <w:color w:val="auto"/>
                <w:sz w:val="18"/>
                <w:szCs w:val="18"/>
                <w:highlight w:val="none"/>
              </w:rPr>
              <w:t>2小时</w:t>
            </w:r>
            <w:r>
              <w:rPr>
                <w:rFonts w:hint="eastAsia" w:ascii="宋体" w:hAnsi="宋体" w:eastAsia="宋体" w:cs="Times New Roman"/>
                <w:b w:val="0"/>
                <w:color w:val="auto"/>
                <w:sz w:val="18"/>
                <w:szCs w:val="18"/>
                <w:highlight w:val="none"/>
              </w:rPr>
              <w:t>，连续操作</w:t>
            </w:r>
            <w:r>
              <w:rPr>
                <w:rFonts w:ascii="宋体" w:hAnsi="宋体" w:eastAsia="宋体" w:cs="Times New Roman"/>
                <w:b w:val="0"/>
                <w:color w:val="auto"/>
                <w:sz w:val="18"/>
                <w:szCs w:val="18"/>
                <w:highlight w:val="none"/>
              </w:rPr>
              <w:t>2小时应及时更换作业人员</w:t>
            </w:r>
            <w:r>
              <w:rPr>
                <w:rFonts w:hint="eastAsia" w:ascii="宋体" w:hAnsi="宋体" w:eastAsia="宋体" w:cs="Times New Roman"/>
                <w:b w:val="0"/>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93" w:type="dxa"/>
            <w:gridSpan w:val="2"/>
            <w:vAlign w:val="center"/>
          </w:tcPr>
          <w:p>
            <w:pPr>
              <w:pStyle w:val="30"/>
              <w:widowControl w:val="0"/>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大功率电器使用管理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.17</w:t>
            </w:r>
          </w:p>
        </w:tc>
        <w:tc>
          <w:tcPr>
            <w:tcW w:w="8650" w:type="dxa"/>
            <w:vAlign w:val="center"/>
          </w:tcPr>
          <w:p>
            <w:pPr>
              <w:pStyle w:val="30"/>
              <w:widowControl w:val="0"/>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大功率电器设备使用时无人看管的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.18</w:t>
            </w:r>
          </w:p>
        </w:tc>
        <w:tc>
          <w:tcPr>
            <w:tcW w:w="8650" w:type="dxa"/>
            <w:vAlign w:val="center"/>
          </w:tcPr>
          <w:p>
            <w:pPr>
              <w:pStyle w:val="30"/>
              <w:widowControl w:val="0"/>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 xml:space="preserve">私自增加大功率电器设备专用线路上负荷容量的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.19</w:t>
            </w:r>
          </w:p>
        </w:tc>
        <w:tc>
          <w:tcPr>
            <w:tcW w:w="8650" w:type="dxa"/>
            <w:vAlign w:val="center"/>
          </w:tcPr>
          <w:p>
            <w:pPr>
              <w:pStyle w:val="30"/>
              <w:widowControl w:val="0"/>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损坏和擅自更改用电保护装置的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.20</w:t>
            </w:r>
          </w:p>
        </w:tc>
        <w:tc>
          <w:tcPr>
            <w:tcW w:w="8650" w:type="dxa"/>
            <w:vAlign w:val="center"/>
          </w:tcPr>
          <w:p>
            <w:pPr>
              <w:pStyle w:val="30"/>
              <w:widowControl w:val="0"/>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其它影响一号航站楼运行安全的生产（作业）的违规违章行为</w:t>
            </w:r>
          </w:p>
        </w:tc>
      </w:tr>
    </w:tbl>
    <w:p>
      <w:pPr>
        <w:spacing w:line="100" w:lineRule="exact"/>
        <w:ind w:firstLine="482" w:firstLineChars="200"/>
        <w:rPr>
          <w:rFonts w:ascii="宋体" w:hAnsi="宋体"/>
          <w:b/>
          <w:bCs/>
          <w:color w:val="auto"/>
          <w:highlight w:val="none"/>
        </w:rPr>
      </w:pP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3"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项序</w:t>
            </w:r>
          </w:p>
        </w:tc>
        <w:tc>
          <w:tcPr>
            <w:tcW w:w="8650"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违约金</w:t>
            </w:r>
            <w:r>
              <w:rPr>
                <w:rFonts w:ascii="宋体" w:hAnsi="宋体"/>
                <w:b/>
                <w:bCs/>
                <w:color w:val="auto"/>
                <w:sz w:val="18"/>
                <w:szCs w:val="18"/>
                <w:highlight w:val="none"/>
              </w:rPr>
              <w:t>5000</w:t>
            </w:r>
            <w:r>
              <w:rPr>
                <w:rFonts w:hint="eastAsia" w:ascii="宋体" w:hAnsi="宋体"/>
                <w:b/>
                <w:bCs/>
                <w:color w:val="auto"/>
                <w:sz w:val="18"/>
                <w:szCs w:val="18"/>
                <w:highlight w:val="none"/>
              </w:rPr>
              <w:t>元/次-</w:t>
            </w:r>
            <w:r>
              <w:rPr>
                <w:rFonts w:ascii="宋体" w:hAnsi="宋体"/>
                <w:b/>
                <w:bCs/>
                <w:color w:val="auto"/>
                <w:sz w:val="18"/>
                <w:szCs w:val="18"/>
                <w:highlight w:val="none"/>
              </w:rPr>
              <w:t>20000</w:t>
            </w:r>
            <w:r>
              <w:rPr>
                <w:rFonts w:hint="eastAsia" w:ascii="宋体" w:hAnsi="宋体"/>
                <w:b/>
                <w:bCs/>
                <w:color w:val="auto"/>
                <w:sz w:val="18"/>
                <w:szCs w:val="18"/>
                <w:highlight w:val="none"/>
              </w:rPr>
              <w:t>元</w:t>
            </w:r>
            <w:r>
              <w:rPr>
                <w:rFonts w:ascii="宋体" w:hAnsi="宋体"/>
                <w:b/>
                <w:bCs/>
                <w:color w:val="auto"/>
                <w:sz w:val="18"/>
                <w:szCs w:val="18"/>
                <w:highlight w:val="none"/>
              </w:rPr>
              <w:t>/</w:t>
            </w:r>
            <w:r>
              <w:rPr>
                <w:rFonts w:hint="eastAsia" w:ascii="宋体" w:hAnsi="宋体"/>
                <w:b/>
                <w:bCs/>
                <w:color w:val="auto"/>
                <w:sz w:val="18"/>
                <w:szCs w:val="1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6.21</w:t>
            </w:r>
          </w:p>
        </w:tc>
        <w:tc>
          <w:tcPr>
            <w:tcW w:w="8650" w:type="dxa"/>
            <w:vAlign w:val="center"/>
          </w:tcPr>
          <w:p>
            <w:pPr>
              <w:pStyle w:val="30"/>
              <w:widowControl w:val="0"/>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其它影响一号航站楼运行安全的生产（作业）行为的，视违规情况的影响程度和后果严重性予以扣减违约金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6</w:t>
            </w:r>
            <w:r>
              <w:rPr>
                <w:rFonts w:ascii="宋体" w:hAnsi="宋体"/>
                <w:color w:val="auto"/>
                <w:sz w:val="18"/>
                <w:szCs w:val="18"/>
                <w:highlight w:val="none"/>
              </w:rPr>
              <w:t>.22</w:t>
            </w:r>
          </w:p>
        </w:tc>
        <w:tc>
          <w:tcPr>
            <w:tcW w:w="8650" w:type="dxa"/>
            <w:vAlign w:val="center"/>
          </w:tcPr>
          <w:p>
            <w:pPr>
              <w:pStyle w:val="30"/>
              <w:widowControl w:val="0"/>
              <w:spacing w:line="240" w:lineRule="exact"/>
              <w:jc w:val="both"/>
              <w:rPr>
                <w:rFonts w:ascii="宋体" w:hAnsi="宋体" w:eastAsia="宋体" w:cs="Times New Roman"/>
                <w:b w:val="0"/>
                <w:color w:val="auto"/>
                <w:sz w:val="18"/>
                <w:szCs w:val="18"/>
                <w:highlight w:val="none"/>
              </w:rPr>
            </w:pPr>
            <w:r>
              <w:rPr>
                <w:rFonts w:hint="eastAsia" w:ascii="宋体" w:hAnsi="宋体" w:eastAsia="宋体" w:cs="Times New Roman"/>
                <w:b w:val="0"/>
                <w:color w:val="auto"/>
                <w:sz w:val="18"/>
                <w:szCs w:val="18"/>
                <w:highlight w:val="none"/>
              </w:rPr>
              <w:t>乙方出现违反《广州白云国际机场一号航站楼安全文明施工责任书》相关条款的，视违规情况的影响程度和后果严重性予以扣减违约金</w:t>
            </w:r>
          </w:p>
        </w:tc>
      </w:tr>
    </w:tbl>
    <w:p>
      <w:pPr>
        <w:spacing w:line="400" w:lineRule="exact"/>
        <w:ind w:firstLine="482" w:firstLineChars="200"/>
        <w:rPr>
          <w:rFonts w:ascii="宋体" w:hAnsi="宋体"/>
          <w:b/>
          <w:bCs/>
          <w:color w:val="auto"/>
          <w:highlight w:val="none"/>
        </w:rPr>
      </w:pPr>
      <w:r>
        <w:rPr>
          <w:rFonts w:hint="eastAsia" w:ascii="宋体" w:hAnsi="宋体"/>
          <w:b/>
          <w:bCs/>
          <w:color w:val="auto"/>
          <w:highlight w:val="none"/>
        </w:rPr>
        <w:t>（七）安全隐患排查与整改</w:t>
      </w: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3"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项序</w:t>
            </w:r>
          </w:p>
        </w:tc>
        <w:tc>
          <w:tcPr>
            <w:tcW w:w="8650"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违约金</w:t>
            </w:r>
            <w:r>
              <w:rPr>
                <w:rFonts w:ascii="宋体" w:hAnsi="宋体"/>
                <w:b/>
                <w:bCs/>
                <w:color w:val="auto"/>
                <w:sz w:val="18"/>
                <w:szCs w:val="18"/>
                <w:highlight w:val="none"/>
              </w:rPr>
              <w:t>10000</w:t>
            </w:r>
            <w:r>
              <w:rPr>
                <w:rFonts w:hint="eastAsia" w:ascii="宋体" w:hAnsi="宋体"/>
                <w:b/>
                <w:bCs/>
                <w:color w:val="auto"/>
                <w:sz w:val="18"/>
                <w:szCs w:val="18"/>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7.1</w:t>
            </w:r>
          </w:p>
        </w:tc>
        <w:tc>
          <w:tcPr>
            <w:tcW w:w="8650" w:type="dxa"/>
            <w:vAlign w:val="center"/>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乙方未建立本公司（单位）安全隐患排查与整改工作制度或机制。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7.2</w:t>
            </w:r>
          </w:p>
        </w:tc>
        <w:tc>
          <w:tcPr>
            <w:tcW w:w="8650" w:type="dxa"/>
            <w:vAlign w:val="center"/>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乙方未建立本公司（单位）安全隐患清单，并定期更新管理。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7.3</w:t>
            </w:r>
          </w:p>
        </w:tc>
        <w:tc>
          <w:tcPr>
            <w:tcW w:w="8650" w:type="dxa"/>
            <w:vAlign w:val="center"/>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乙方未建立本公司（单位）安全隐患排查与整改工作年度计划。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7.4</w:t>
            </w:r>
          </w:p>
        </w:tc>
        <w:tc>
          <w:tcPr>
            <w:tcW w:w="8650" w:type="dxa"/>
            <w:vAlign w:val="center"/>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乙方未履行安全隐患整改责任，未严格按照安全隐患排查与整改计划执行。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7.5</w:t>
            </w:r>
          </w:p>
        </w:tc>
        <w:tc>
          <w:tcPr>
            <w:tcW w:w="8650" w:type="dxa"/>
            <w:vAlign w:val="center"/>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乙方未建立安全隐患排查与整改台账记录，且台账记录不齐全的。（台账记录应包括安全隐患整改前后情况描述、安全隐患整改前后照片比对、日期、责任人等）</w:t>
            </w:r>
          </w:p>
        </w:tc>
      </w:tr>
    </w:tbl>
    <w:p>
      <w:pPr>
        <w:spacing w:line="100" w:lineRule="exact"/>
        <w:ind w:firstLine="480" w:firstLineChars="200"/>
        <w:rPr>
          <w:rFonts w:ascii="黑体" w:hAnsi="黑体" w:eastAsia="黑体"/>
          <w:color w:val="auto"/>
          <w:highlight w:val="none"/>
        </w:rPr>
      </w:pP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3"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项序</w:t>
            </w:r>
          </w:p>
        </w:tc>
        <w:tc>
          <w:tcPr>
            <w:tcW w:w="8650"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违约金</w:t>
            </w:r>
            <w:r>
              <w:rPr>
                <w:rFonts w:ascii="宋体" w:hAnsi="宋体"/>
                <w:b/>
                <w:bCs/>
                <w:color w:val="auto"/>
                <w:sz w:val="18"/>
                <w:szCs w:val="18"/>
                <w:highlight w:val="none"/>
              </w:rPr>
              <w:t>15000</w:t>
            </w:r>
            <w:r>
              <w:rPr>
                <w:rFonts w:hint="eastAsia" w:ascii="宋体" w:hAnsi="宋体"/>
                <w:b/>
                <w:bCs/>
                <w:color w:val="auto"/>
                <w:sz w:val="18"/>
                <w:szCs w:val="18"/>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7.6</w:t>
            </w:r>
          </w:p>
        </w:tc>
        <w:tc>
          <w:tcPr>
            <w:tcW w:w="8650" w:type="dxa"/>
            <w:vAlign w:val="center"/>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机场管理机构、或甲方提出的安全隐患，未在规定时限内书面回复整改完成情况的。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7.7</w:t>
            </w:r>
          </w:p>
        </w:tc>
        <w:tc>
          <w:tcPr>
            <w:tcW w:w="8650" w:type="dxa"/>
            <w:vAlign w:val="center"/>
          </w:tcPr>
          <w:p>
            <w:pPr>
              <w:widowControl w:val="0"/>
              <w:tabs>
                <w:tab w:val="left" w:pos="1620"/>
              </w:tabs>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机场管理机构、或甲方提出的安全隐患，未在规定时限内完成整改、且未提交延期整改时限的。</w:t>
            </w:r>
          </w:p>
        </w:tc>
      </w:tr>
    </w:tbl>
    <w:p>
      <w:pPr>
        <w:spacing w:line="100" w:lineRule="exact"/>
        <w:ind w:firstLine="480" w:firstLineChars="200"/>
        <w:rPr>
          <w:rFonts w:ascii="黑体" w:hAnsi="黑体" w:eastAsia="黑体"/>
          <w:color w:val="auto"/>
          <w:highlight w:val="none"/>
        </w:rPr>
      </w:pPr>
    </w:p>
    <w:tbl>
      <w:tblPr>
        <w:tblStyle w:val="2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3"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项序</w:t>
            </w:r>
          </w:p>
        </w:tc>
        <w:tc>
          <w:tcPr>
            <w:tcW w:w="8650"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违约金</w:t>
            </w:r>
            <w:r>
              <w:rPr>
                <w:rFonts w:ascii="宋体" w:hAnsi="宋体"/>
                <w:b/>
                <w:bCs/>
                <w:color w:val="auto"/>
                <w:sz w:val="18"/>
                <w:szCs w:val="18"/>
                <w:highlight w:val="none"/>
              </w:rPr>
              <w:t>20000</w:t>
            </w:r>
            <w:r>
              <w:rPr>
                <w:rFonts w:hint="eastAsia" w:ascii="宋体" w:hAnsi="宋体"/>
                <w:b/>
                <w:bCs/>
                <w:color w:val="auto"/>
                <w:sz w:val="18"/>
                <w:szCs w:val="18"/>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43"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7.8</w:t>
            </w:r>
          </w:p>
        </w:tc>
        <w:tc>
          <w:tcPr>
            <w:tcW w:w="8650" w:type="dxa"/>
            <w:vAlign w:val="center"/>
          </w:tcPr>
          <w:p>
            <w:pPr>
              <w:widowControl w:val="0"/>
              <w:spacing w:line="240" w:lineRule="exact"/>
              <w:jc w:val="left"/>
              <w:rPr>
                <w:rFonts w:ascii="宋体" w:hAnsi="宋体"/>
                <w:color w:val="auto"/>
                <w:sz w:val="18"/>
                <w:szCs w:val="18"/>
                <w:highlight w:val="none"/>
              </w:rPr>
            </w:pPr>
            <w:r>
              <w:rPr>
                <w:rFonts w:ascii="宋体" w:hAnsi="宋体"/>
                <w:color w:val="auto"/>
                <w:sz w:val="18"/>
                <w:szCs w:val="18"/>
                <w:highlight w:val="none"/>
              </w:rPr>
              <w:t>甲方对乙方出具安全隐患整改通知单提出建议及意见，乙方不予以配合、不服从管理或不落实整改、整改不符合要求的</w:t>
            </w:r>
            <w:r>
              <w:rPr>
                <w:rFonts w:hint="eastAsia" w:ascii="宋体" w:hAnsi="宋体"/>
                <w:color w:val="auto"/>
                <w:sz w:val="18"/>
                <w:szCs w:val="18"/>
                <w:highlight w:val="none"/>
              </w:rPr>
              <w:t>。</w:t>
            </w:r>
          </w:p>
        </w:tc>
      </w:tr>
    </w:tbl>
    <w:p>
      <w:pPr>
        <w:spacing w:line="100" w:lineRule="exact"/>
        <w:ind w:firstLine="480" w:firstLineChars="200"/>
        <w:rPr>
          <w:rFonts w:ascii="黑体" w:hAnsi="黑体" w:eastAsia="黑体"/>
          <w:color w:val="auto"/>
          <w:highlight w:val="none"/>
        </w:rPr>
      </w:pPr>
    </w:p>
    <w:p>
      <w:pPr>
        <w:spacing w:line="400" w:lineRule="exact"/>
        <w:ind w:firstLine="480" w:firstLineChars="200"/>
        <w:rPr>
          <w:rFonts w:ascii="黑体" w:hAnsi="黑体" w:eastAsia="黑体"/>
          <w:color w:val="auto"/>
          <w:highlight w:val="none"/>
        </w:rPr>
      </w:pPr>
      <w:r>
        <w:rPr>
          <w:rFonts w:hint="eastAsia" w:ascii="黑体" w:hAnsi="黑体" w:eastAsia="黑体"/>
          <w:color w:val="auto"/>
          <w:highlight w:val="none"/>
        </w:rPr>
        <w:t>三、加分项</w:t>
      </w:r>
    </w:p>
    <w:tbl>
      <w:tblPr>
        <w:tblStyle w:val="20"/>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968"/>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846"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项序</w:t>
            </w:r>
          </w:p>
        </w:tc>
        <w:tc>
          <w:tcPr>
            <w:tcW w:w="5968"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具体内容</w:t>
            </w:r>
          </w:p>
        </w:tc>
        <w:tc>
          <w:tcPr>
            <w:tcW w:w="2683" w:type="dxa"/>
            <w:vAlign w:val="center"/>
          </w:tcPr>
          <w:p>
            <w:pPr>
              <w:widowControl w:val="0"/>
              <w:spacing w:line="240" w:lineRule="exact"/>
              <w:jc w:val="center"/>
              <w:rPr>
                <w:rFonts w:ascii="宋体" w:hAnsi="宋体"/>
                <w:b/>
                <w:bCs/>
                <w:color w:val="auto"/>
                <w:sz w:val="18"/>
                <w:szCs w:val="18"/>
                <w:highlight w:val="none"/>
              </w:rPr>
            </w:pPr>
            <w:r>
              <w:rPr>
                <w:rFonts w:hint="eastAsia" w:ascii="宋体" w:hAnsi="宋体"/>
                <w:b/>
                <w:bCs/>
                <w:color w:val="auto"/>
                <w:sz w:val="18"/>
                <w:szCs w:val="18"/>
                <w:highlight w:val="none"/>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1</w:t>
            </w:r>
          </w:p>
        </w:tc>
        <w:tc>
          <w:tcPr>
            <w:tcW w:w="5968"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为一号航站楼安全防范工作积极建言献策，提出合理化建议，被采纳效果明显，经甲方或上级部门认可的，可给予加分。</w:t>
            </w:r>
          </w:p>
        </w:tc>
        <w:tc>
          <w:tcPr>
            <w:tcW w:w="268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每项加2分</w:t>
            </w:r>
          </w:p>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上级部门认可的每项加3分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2</w:t>
            </w:r>
          </w:p>
        </w:tc>
        <w:tc>
          <w:tcPr>
            <w:tcW w:w="5968"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主动举报违规行为或主动上报安全隐患，经甲方或上级部门认可的，可给予加分。</w:t>
            </w:r>
          </w:p>
        </w:tc>
        <w:tc>
          <w:tcPr>
            <w:tcW w:w="268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每项加2分</w:t>
            </w:r>
          </w:p>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上级部门认可的每项加3分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val="0"/>
              <w:spacing w:line="240" w:lineRule="exact"/>
              <w:jc w:val="center"/>
              <w:rPr>
                <w:rFonts w:ascii="宋体" w:hAnsi="宋体"/>
                <w:color w:val="auto"/>
                <w:sz w:val="18"/>
                <w:szCs w:val="18"/>
                <w:highlight w:val="none"/>
              </w:rPr>
            </w:pPr>
            <w:r>
              <w:rPr>
                <w:rFonts w:ascii="宋体" w:hAnsi="宋体"/>
                <w:color w:val="auto"/>
                <w:sz w:val="18"/>
                <w:szCs w:val="18"/>
                <w:highlight w:val="none"/>
              </w:rPr>
              <w:t>3</w:t>
            </w:r>
          </w:p>
        </w:tc>
        <w:tc>
          <w:tcPr>
            <w:tcW w:w="5968"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突发事件处置高效，守护旅客、工作人员生命财产等，成绩显著，经甲方或上级部门认可的，可给予加分。</w:t>
            </w:r>
          </w:p>
        </w:tc>
        <w:tc>
          <w:tcPr>
            <w:tcW w:w="268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每项加2分</w:t>
            </w:r>
          </w:p>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上级部门认可的每项加3分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4</w:t>
            </w:r>
          </w:p>
        </w:tc>
        <w:tc>
          <w:tcPr>
            <w:tcW w:w="5968"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机场管理机构认为应给予加分或奖励的事项，经甲方审核确认的，可给予加分。</w:t>
            </w:r>
          </w:p>
        </w:tc>
        <w:tc>
          <w:tcPr>
            <w:tcW w:w="268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每项加3分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5</w:t>
            </w:r>
          </w:p>
        </w:tc>
        <w:tc>
          <w:tcPr>
            <w:tcW w:w="5968" w:type="dxa"/>
            <w:vAlign w:val="center"/>
          </w:tcPr>
          <w:p>
            <w:pPr>
              <w:widowControl w:val="0"/>
              <w:spacing w:line="240" w:lineRule="exact"/>
              <w:jc w:val="both"/>
              <w:rPr>
                <w:rFonts w:ascii="宋体" w:hAnsi="宋体"/>
                <w:color w:val="auto"/>
                <w:sz w:val="18"/>
                <w:szCs w:val="18"/>
                <w:highlight w:val="none"/>
              </w:rPr>
            </w:pPr>
            <w:r>
              <w:rPr>
                <w:rFonts w:hint="eastAsia" w:ascii="宋体" w:hAnsi="宋体"/>
                <w:color w:val="auto"/>
                <w:sz w:val="18"/>
                <w:szCs w:val="18"/>
                <w:highlight w:val="none"/>
              </w:rPr>
              <w:t>拾金不昧、好人好事的，获得相关人员、旅客以感谢信或锦旗等形式进行表彰嘉奖并经甲方审核确认的，可给予加分。</w:t>
            </w:r>
          </w:p>
        </w:tc>
        <w:tc>
          <w:tcPr>
            <w:tcW w:w="2683" w:type="dxa"/>
            <w:vAlign w:val="center"/>
          </w:tcPr>
          <w:p>
            <w:pPr>
              <w:widowControl w:val="0"/>
              <w:spacing w:line="240" w:lineRule="exact"/>
              <w:jc w:val="center"/>
              <w:rPr>
                <w:rFonts w:ascii="宋体" w:hAnsi="宋体"/>
                <w:color w:val="auto"/>
                <w:sz w:val="18"/>
                <w:szCs w:val="18"/>
                <w:highlight w:val="none"/>
              </w:rPr>
            </w:pPr>
            <w:r>
              <w:rPr>
                <w:rFonts w:hint="eastAsia" w:ascii="宋体" w:hAnsi="宋体"/>
                <w:color w:val="auto"/>
                <w:sz w:val="18"/>
                <w:szCs w:val="18"/>
                <w:highlight w:val="none"/>
              </w:rPr>
              <w:t>每项加</w:t>
            </w:r>
            <w:r>
              <w:rPr>
                <w:rFonts w:ascii="宋体" w:hAnsi="宋体"/>
                <w:color w:val="auto"/>
                <w:sz w:val="18"/>
                <w:szCs w:val="18"/>
                <w:highlight w:val="none"/>
              </w:rPr>
              <w:t>0.5</w:t>
            </w:r>
            <w:r>
              <w:rPr>
                <w:rFonts w:hint="eastAsia" w:ascii="宋体" w:hAnsi="宋体"/>
                <w:color w:val="auto"/>
                <w:sz w:val="18"/>
                <w:szCs w:val="18"/>
                <w:highlight w:val="none"/>
              </w:rPr>
              <w:t>分，每月加分上限1</w:t>
            </w:r>
            <w:r>
              <w:rPr>
                <w:rFonts w:ascii="宋体" w:hAnsi="宋体"/>
                <w:color w:val="auto"/>
                <w:sz w:val="18"/>
                <w:szCs w:val="18"/>
                <w:highlight w:val="none"/>
              </w:rPr>
              <w:t>0</w:t>
            </w:r>
            <w:r>
              <w:rPr>
                <w:rFonts w:hint="eastAsia" w:ascii="宋体" w:hAnsi="宋体"/>
                <w:color w:val="auto"/>
                <w:sz w:val="18"/>
                <w:szCs w:val="18"/>
                <w:highlight w:val="none"/>
              </w:rPr>
              <w:t>分</w:t>
            </w:r>
          </w:p>
        </w:tc>
      </w:tr>
    </w:tbl>
    <w:p>
      <w:pPr>
        <w:tabs>
          <w:tab w:val="left" w:pos="1276"/>
        </w:tabs>
        <w:spacing w:line="460" w:lineRule="exact"/>
        <w:ind w:firstLine="480" w:firstLineChars="200"/>
        <w:rPr>
          <w:rFonts w:ascii="宋体" w:hAnsi="宋体"/>
          <w:color w:val="auto"/>
          <w:highlight w:val="none"/>
        </w:rPr>
      </w:pPr>
    </w:p>
    <w:p>
      <w:pPr>
        <w:rPr>
          <w:rFonts w:ascii="黑体" w:hAnsi="黑体" w:eastAsia="黑体"/>
          <w:color w:val="auto"/>
          <w:szCs w:val="28"/>
          <w:highlight w:val="none"/>
        </w:rPr>
      </w:pPr>
      <w:r>
        <w:rPr>
          <w:rFonts w:hint="eastAsia" w:ascii="黑体" w:hAnsi="黑体" w:eastAsia="黑体"/>
          <w:color w:val="auto"/>
          <w:szCs w:val="28"/>
          <w:highlight w:val="none"/>
        </w:rPr>
        <w:t>附件2</w:t>
      </w:r>
    </w:p>
    <w:p>
      <w:pPr>
        <w:jc w:val="center"/>
        <w:rPr>
          <w:rFonts w:ascii="宋体" w:hAnsi="宋体"/>
          <w:b/>
          <w:bCs/>
          <w:color w:val="auto"/>
          <w:sz w:val="44"/>
          <w:szCs w:val="44"/>
          <w:highlight w:val="none"/>
        </w:rPr>
      </w:pPr>
      <w:r>
        <w:rPr>
          <w:rFonts w:hint="eastAsia" w:ascii="宋体" w:hAnsi="宋体"/>
          <w:b/>
          <w:bCs/>
          <w:color w:val="auto"/>
          <w:sz w:val="44"/>
          <w:szCs w:val="44"/>
          <w:highlight w:val="none"/>
        </w:rPr>
        <w:t>同类性质不安全事件清单</w:t>
      </w:r>
    </w:p>
    <w:p>
      <w:pPr>
        <w:ind w:firstLine="482" w:firstLineChars="200"/>
        <w:rPr>
          <w:rFonts w:ascii="宋体" w:hAnsi="宋体"/>
          <w:b/>
          <w:bCs/>
          <w:color w:val="auto"/>
          <w:szCs w:val="21"/>
          <w:highlight w:val="none"/>
        </w:rPr>
      </w:pPr>
    </w:p>
    <w:p>
      <w:pPr>
        <w:spacing w:line="460" w:lineRule="exact"/>
        <w:ind w:firstLine="562"/>
        <w:rPr>
          <w:rFonts w:ascii="宋体" w:hAnsi="宋体"/>
          <w:b/>
          <w:bCs/>
          <w:color w:val="auto"/>
          <w:sz w:val="28"/>
          <w:szCs w:val="28"/>
          <w:highlight w:val="none"/>
        </w:rPr>
      </w:pPr>
      <w:r>
        <w:rPr>
          <w:rFonts w:hint="eastAsia" w:ascii="宋体" w:hAnsi="宋体"/>
          <w:b/>
          <w:bCs/>
          <w:color w:val="auto"/>
          <w:sz w:val="28"/>
          <w:szCs w:val="28"/>
          <w:highlight w:val="none"/>
        </w:rPr>
        <w:t>一、消防安全</w:t>
      </w:r>
    </w:p>
    <w:p>
      <w:pPr>
        <w:tabs>
          <w:tab w:val="left" w:pos="1080"/>
          <w:tab w:val="left" w:pos="1440"/>
        </w:tabs>
        <w:spacing w:line="460" w:lineRule="exact"/>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违规在一号航站楼内传递火种（火柴、火机等）、吸烟的；</w:t>
      </w:r>
    </w:p>
    <w:p>
      <w:pPr>
        <w:tabs>
          <w:tab w:val="left" w:pos="1080"/>
          <w:tab w:val="left" w:pos="1440"/>
        </w:tabs>
        <w:spacing w:line="460" w:lineRule="exact"/>
        <w:ind w:firstLine="48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.私拉乱接电线，使用超负荷电器的</w:t>
      </w:r>
      <w:r>
        <w:rPr>
          <w:rFonts w:hint="eastAsia" w:ascii="宋体" w:hAnsi="宋体"/>
          <w:color w:val="auto"/>
          <w:highlight w:val="none"/>
        </w:rPr>
        <w:t>；</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3.违规使用易燃易爆危险化学物品的；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4</w:t>
      </w:r>
      <w:r>
        <w:rPr>
          <w:rFonts w:hint="eastAsia" w:ascii="宋体" w:hAnsi="宋体"/>
          <w:color w:val="auto"/>
          <w:highlight w:val="none"/>
        </w:rPr>
        <w:t>.未按规定申办动火许可证、私自动火作业的；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5.违章操作或违章使用明火作业造成火情、火险的；</w:t>
      </w:r>
    </w:p>
    <w:p>
      <w:pPr>
        <w:tabs>
          <w:tab w:val="left" w:pos="1080"/>
          <w:tab w:val="left" w:pos="1440"/>
        </w:tabs>
        <w:spacing w:line="460" w:lineRule="exact"/>
        <w:ind w:firstLine="480" w:firstLineChars="200"/>
        <w:rPr>
          <w:rFonts w:ascii="宋体" w:hAnsi="宋体"/>
          <w:color w:val="auto"/>
          <w:highlight w:val="none"/>
        </w:rPr>
      </w:pPr>
      <w:r>
        <w:rPr>
          <w:rFonts w:hint="eastAsia" w:ascii="宋体" w:hAnsi="宋体"/>
          <w:color w:val="auto"/>
          <w:highlight w:val="none"/>
        </w:rPr>
        <w:t>6</w:t>
      </w:r>
      <w:r>
        <w:rPr>
          <w:rFonts w:ascii="宋体" w:hAnsi="宋体"/>
          <w:color w:val="auto"/>
          <w:highlight w:val="none"/>
        </w:rPr>
        <w:t>.</w:t>
      </w:r>
      <w:r>
        <w:rPr>
          <w:rFonts w:hint="eastAsia" w:ascii="宋体" w:hAnsi="宋体"/>
          <w:color w:val="auto"/>
          <w:highlight w:val="none"/>
        </w:rPr>
        <w:t>未在规定时间内动火作业的；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7</w:t>
      </w:r>
      <w:r>
        <w:rPr>
          <w:rFonts w:hint="eastAsia" w:ascii="宋体" w:hAnsi="宋体"/>
          <w:color w:val="auto"/>
          <w:highlight w:val="none"/>
        </w:rPr>
        <w:t>.动火现场安全措施不到位的；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 xml:space="preserve">8.占用疏散通道，或在安全出口或者疏散通道上安装、摆放影响疏散的障碍物的； </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9.</w:t>
      </w:r>
      <w:r>
        <w:rPr>
          <w:rFonts w:hint="eastAsia" w:ascii="宋体" w:hAnsi="宋体"/>
          <w:color w:val="auto"/>
          <w:highlight w:val="none"/>
        </w:rPr>
        <w:t>擅自</w:t>
      </w:r>
      <w:r>
        <w:rPr>
          <w:rFonts w:ascii="宋体" w:hAnsi="宋体"/>
          <w:color w:val="auto"/>
          <w:highlight w:val="none"/>
        </w:rPr>
        <w:t>关闭消防设施、切断消防电源的；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10.遮挡或者覆盖消防安全疏散等指示标志的；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11.改变消防设施的用途，</w:t>
      </w:r>
      <w:r>
        <w:rPr>
          <w:rFonts w:hint="eastAsia" w:ascii="宋体" w:hAnsi="宋体"/>
          <w:color w:val="auto"/>
          <w:highlight w:val="none"/>
        </w:rPr>
        <w:t>或损坏、挪用、拆除、停用消防设施和器材的；</w:t>
      </w:r>
    </w:p>
    <w:p>
      <w:pPr>
        <w:tabs>
          <w:tab w:val="left" w:pos="1080"/>
          <w:tab w:val="left" w:pos="1440"/>
        </w:tabs>
        <w:spacing w:line="460" w:lineRule="exact"/>
        <w:ind w:firstLine="480" w:firstLineChars="200"/>
        <w:rPr>
          <w:rFonts w:ascii="宋体" w:hAnsi="宋体"/>
          <w:color w:val="auto"/>
          <w:highlight w:val="none"/>
        </w:rPr>
      </w:pPr>
      <w:bookmarkStart w:id="24" w:name="_Hlk15933975"/>
      <w:r>
        <w:rPr>
          <w:rFonts w:hint="eastAsia" w:ascii="宋体" w:hAnsi="宋体"/>
          <w:color w:val="auto"/>
          <w:highlight w:val="none"/>
        </w:rPr>
        <w:t>12.甲方认定的其他性质类似的行为；</w:t>
      </w:r>
    </w:p>
    <w:p>
      <w:pPr>
        <w:tabs>
          <w:tab w:val="left" w:pos="1080"/>
          <w:tab w:val="left" w:pos="1440"/>
        </w:tabs>
        <w:spacing w:line="460" w:lineRule="exact"/>
        <w:rPr>
          <w:rFonts w:ascii="宋体" w:hAnsi="宋体"/>
          <w:color w:val="auto"/>
          <w:highlight w:val="none"/>
        </w:rPr>
      </w:pPr>
      <w:r>
        <w:rPr>
          <w:rFonts w:hint="eastAsia" w:ascii="宋体" w:hAnsi="宋体"/>
          <w:color w:val="auto"/>
          <w:highlight w:val="none"/>
        </w:rPr>
        <w:t xml:space="preserve">    以上属于消防安全同类违规行为，将受到叠加处理。</w:t>
      </w:r>
    </w:p>
    <w:bookmarkEnd w:id="24"/>
    <w:p>
      <w:pPr>
        <w:spacing w:line="460" w:lineRule="exact"/>
        <w:ind w:firstLine="562" w:firstLineChars="200"/>
        <w:rPr>
          <w:rFonts w:ascii="宋体" w:hAnsi="宋体"/>
          <w:b/>
          <w:bCs/>
          <w:color w:val="auto"/>
          <w:sz w:val="28"/>
          <w:szCs w:val="28"/>
          <w:highlight w:val="none"/>
        </w:rPr>
      </w:pPr>
    </w:p>
    <w:p>
      <w:pPr>
        <w:spacing w:line="4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二、空防安全</w:t>
      </w:r>
    </w:p>
    <w:p>
      <w:pPr>
        <w:tabs>
          <w:tab w:val="left" w:pos="1080"/>
          <w:tab w:val="left" w:pos="1440"/>
        </w:tabs>
        <w:spacing w:line="460" w:lineRule="exact"/>
        <w:ind w:firstLine="48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人员、车辆误入或未经批准擅自进入控制区的；</w:t>
      </w:r>
    </w:p>
    <w:p>
      <w:pPr>
        <w:tabs>
          <w:tab w:val="left" w:pos="1080"/>
          <w:tab w:val="left" w:pos="1440"/>
        </w:tabs>
        <w:spacing w:line="460" w:lineRule="exact"/>
        <w:ind w:firstLine="48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.因工作变动、离退职</w:t>
      </w:r>
      <w:r>
        <w:rPr>
          <w:rFonts w:hint="eastAsia" w:ascii="宋体" w:hAnsi="宋体"/>
          <w:color w:val="auto"/>
          <w:highlight w:val="none"/>
        </w:rPr>
        <w:t>、被开除</w:t>
      </w:r>
      <w:r>
        <w:rPr>
          <w:rFonts w:ascii="宋体" w:hAnsi="宋体"/>
          <w:color w:val="auto"/>
          <w:highlight w:val="none"/>
        </w:rPr>
        <w:t>等原因，</w:t>
      </w:r>
      <w:r>
        <w:rPr>
          <w:rFonts w:hint="eastAsia" w:ascii="宋体" w:hAnsi="宋体"/>
          <w:color w:val="auto"/>
          <w:highlight w:val="none"/>
        </w:rPr>
        <w:t>未及时上交</w:t>
      </w:r>
      <w:r>
        <w:rPr>
          <w:rFonts w:ascii="宋体" w:hAnsi="宋体"/>
          <w:color w:val="auto"/>
          <w:highlight w:val="none"/>
        </w:rPr>
        <w:t>通行证的</w:t>
      </w:r>
      <w:r>
        <w:rPr>
          <w:rFonts w:hint="eastAsia" w:ascii="宋体" w:hAnsi="宋体"/>
          <w:color w:val="auto"/>
          <w:highlight w:val="none"/>
        </w:rPr>
        <w:t>；</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3.</w:t>
      </w:r>
      <w:r>
        <w:rPr>
          <w:rFonts w:hint="eastAsia" w:ascii="宋体" w:hAnsi="宋体"/>
          <w:color w:val="auto"/>
          <w:highlight w:val="none"/>
        </w:rPr>
        <w:t>引领他人在机场控制区活动期间，因未履行全程引领、监督职责造成被引领人的行为和安全处于失控状态的；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4.</w:t>
      </w:r>
      <w:r>
        <w:rPr>
          <w:rFonts w:hint="eastAsia" w:ascii="宋体" w:hAnsi="宋体"/>
          <w:color w:val="auto"/>
          <w:highlight w:val="none"/>
        </w:rPr>
        <w:t>故意损坏门禁设备或故意导致门禁失效、失灵的；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5.</w:t>
      </w:r>
      <w:r>
        <w:rPr>
          <w:rFonts w:hint="eastAsia" w:ascii="宋体" w:hAnsi="宋体"/>
          <w:color w:val="auto"/>
          <w:highlight w:val="none"/>
        </w:rPr>
        <w:t>采用不正确方法进出而导致门禁系统报警的；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6.</w:t>
      </w:r>
      <w:r>
        <w:rPr>
          <w:rFonts w:hint="eastAsia" w:ascii="宋体" w:hAnsi="宋体"/>
          <w:color w:val="auto"/>
          <w:highlight w:val="none"/>
        </w:rPr>
        <w:t>在控制内未按规定佩戴控制区通行证，或不服从执勤人员查验证件的；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7.</w:t>
      </w:r>
      <w:r>
        <w:rPr>
          <w:rFonts w:hint="eastAsia" w:ascii="宋体" w:hAnsi="宋体"/>
          <w:color w:val="auto"/>
          <w:highlight w:val="none"/>
        </w:rPr>
        <w:t>不听现场执勤人员劝阻，强行从没有安检通道或门禁通道进入隔离区的；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8.</w:t>
      </w:r>
      <w:r>
        <w:rPr>
          <w:rFonts w:hint="eastAsia" w:ascii="宋体" w:hAnsi="宋体"/>
          <w:color w:val="auto"/>
          <w:highlight w:val="none"/>
        </w:rPr>
        <w:t>在多人进出门禁（包括门禁处于打开状态）时，不按规定每人刷卡逐一（即尾随他人）通过门禁的；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9.</w:t>
      </w:r>
      <w:r>
        <w:rPr>
          <w:rFonts w:hint="eastAsia" w:ascii="宋体" w:hAnsi="宋体"/>
          <w:color w:val="auto"/>
          <w:highlight w:val="none"/>
        </w:rPr>
        <w:t>发现他人尾随进入门禁时，既不制止，又不履行及时举报义务的；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10.</w:t>
      </w:r>
      <w:r>
        <w:rPr>
          <w:rFonts w:hint="eastAsia" w:ascii="宋体" w:hAnsi="宋体"/>
          <w:color w:val="auto"/>
          <w:highlight w:val="none"/>
        </w:rPr>
        <w:t>通过门禁后，没有确认门禁是否正常关闭即离开，导致被他人尾随进入的；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11.</w:t>
      </w:r>
      <w:r>
        <w:rPr>
          <w:rFonts w:hint="eastAsia" w:ascii="宋体" w:hAnsi="宋体"/>
          <w:color w:val="auto"/>
          <w:highlight w:val="none"/>
        </w:rPr>
        <w:t>未获得有效门禁授予资格，擅自进入门禁授权以外区域（跨区域使用通行证）的；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12.</w:t>
      </w:r>
      <w:r>
        <w:rPr>
          <w:rFonts w:hint="eastAsia" w:ascii="宋体" w:hAnsi="宋体"/>
          <w:color w:val="auto"/>
          <w:highlight w:val="none"/>
        </w:rPr>
        <w:t>未按规定使用控制区防返回传刷卡管理功能的；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13.</w:t>
      </w:r>
      <w:r>
        <w:rPr>
          <w:rFonts w:hint="eastAsia" w:ascii="宋体" w:hAnsi="宋体"/>
          <w:color w:val="auto"/>
          <w:highlight w:val="none"/>
        </w:rPr>
        <w:t>利用门禁通道违反出入境边防检查、海关、动植物检验检疫等联检单位有关规定的；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14.</w:t>
      </w:r>
      <w:r>
        <w:rPr>
          <w:rFonts w:hint="eastAsia" w:ascii="宋体" w:hAnsi="宋体"/>
          <w:color w:val="auto"/>
          <w:highlight w:val="none"/>
        </w:rPr>
        <w:t>利用门禁通道私放他人进入控制区域的；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15.</w:t>
      </w:r>
      <w:r>
        <w:rPr>
          <w:rFonts w:hint="eastAsia" w:ascii="宋体" w:hAnsi="宋体"/>
          <w:color w:val="auto"/>
          <w:highlight w:val="none"/>
        </w:rPr>
        <w:t>利用门禁或其它渠道携带、传递违禁物品进入控制区的；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16.</w:t>
      </w:r>
      <w:r>
        <w:rPr>
          <w:rFonts w:hint="eastAsia" w:ascii="宋体" w:hAnsi="宋体"/>
          <w:color w:val="auto"/>
          <w:highlight w:val="none"/>
        </w:rPr>
        <w:t>利用门禁通道故意逃避安全检查进入控制区的；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17.</w:t>
      </w:r>
      <w:r>
        <w:rPr>
          <w:rFonts w:hint="eastAsia" w:ascii="宋体" w:hAnsi="宋体"/>
          <w:color w:val="auto"/>
          <w:highlight w:val="none"/>
        </w:rPr>
        <w:t>转借、涂改，制作、使用假证件，或</w:t>
      </w:r>
      <w:r>
        <w:rPr>
          <w:rFonts w:ascii="宋体" w:hAnsi="宋体"/>
          <w:color w:val="auto"/>
          <w:highlight w:val="none"/>
        </w:rPr>
        <w:t>伪造、变造</w:t>
      </w:r>
      <w:r>
        <w:rPr>
          <w:rFonts w:hint="eastAsia" w:ascii="宋体" w:hAnsi="宋体"/>
          <w:color w:val="auto"/>
          <w:highlight w:val="none"/>
        </w:rPr>
        <w:t>、篡改证件，或冒用他人证件的；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18.使用本人过期无效的控制区通行证的</w:t>
      </w:r>
      <w:r>
        <w:rPr>
          <w:rFonts w:hint="eastAsia" w:ascii="宋体" w:hAnsi="宋体"/>
          <w:color w:val="auto"/>
          <w:highlight w:val="none"/>
        </w:rPr>
        <w:t>；</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19.</w:t>
      </w:r>
      <w:r>
        <w:rPr>
          <w:rFonts w:hint="eastAsia" w:ascii="宋体" w:hAnsi="宋体"/>
          <w:color w:val="auto"/>
          <w:highlight w:val="none"/>
        </w:rPr>
        <w:t>使用失效的门禁卡、或无效控制区通行证强行进出门禁的；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20.</w:t>
      </w:r>
      <w:r>
        <w:rPr>
          <w:rFonts w:hint="eastAsia" w:ascii="宋体" w:hAnsi="宋体"/>
          <w:color w:val="auto"/>
          <w:highlight w:val="none"/>
        </w:rPr>
        <w:t>非紧急情况下使用门禁紧急破碎按钮的；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21.</w:t>
      </w:r>
      <w:r>
        <w:rPr>
          <w:rFonts w:hint="eastAsia" w:ascii="宋体" w:hAnsi="宋体"/>
          <w:color w:val="auto"/>
          <w:highlight w:val="none"/>
        </w:rPr>
        <w:t>未获得有效授予资格，擅自使用密码开启门禁的；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22.</w:t>
      </w:r>
      <w:r>
        <w:rPr>
          <w:rFonts w:hint="eastAsia" w:ascii="宋体" w:hAnsi="宋体"/>
          <w:color w:val="auto"/>
          <w:highlight w:val="none"/>
        </w:rPr>
        <w:t>不听现场执勤人员劝阻强行硬闯防爆安检区域的；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23.丢失控制区通行证</w:t>
      </w:r>
      <w:r>
        <w:rPr>
          <w:rFonts w:hint="eastAsia" w:ascii="宋体" w:hAnsi="宋体"/>
          <w:color w:val="auto"/>
          <w:highlight w:val="none"/>
        </w:rPr>
        <w:t>的，</w:t>
      </w:r>
      <w:r>
        <w:rPr>
          <w:rFonts w:ascii="宋体" w:hAnsi="宋体"/>
          <w:color w:val="auto"/>
          <w:highlight w:val="none"/>
        </w:rPr>
        <w:t>未</w:t>
      </w:r>
      <w:r>
        <w:rPr>
          <w:rFonts w:hint="eastAsia" w:ascii="宋体" w:hAnsi="宋体"/>
          <w:color w:val="auto"/>
          <w:highlight w:val="none"/>
        </w:rPr>
        <w:t>立即向主管部门报告、报失的；</w:t>
      </w:r>
    </w:p>
    <w:p>
      <w:pPr>
        <w:tabs>
          <w:tab w:val="left" w:pos="1080"/>
          <w:tab w:val="left" w:pos="1440"/>
        </w:tabs>
        <w:spacing w:line="460" w:lineRule="exact"/>
        <w:ind w:firstLine="48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4</w:t>
      </w:r>
      <w:r>
        <w:rPr>
          <w:rFonts w:hint="eastAsia" w:ascii="宋体" w:hAnsi="宋体"/>
          <w:color w:val="auto"/>
          <w:highlight w:val="none"/>
        </w:rPr>
        <w:t>.未落实证件管理责任制，未实行“上岗发放、离岗回收”的统一保管制度，并规范证件的使用与管理的；</w:t>
      </w:r>
    </w:p>
    <w:p>
      <w:pPr>
        <w:tabs>
          <w:tab w:val="left" w:pos="1080"/>
          <w:tab w:val="left" w:pos="1440"/>
        </w:tabs>
        <w:spacing w:line="460" w:lineRule="exact"/>
        <w:ind w:firstLine="480" w:firstLineChars="200"/>
        <w:rPr>
          <w:rFonts w:ascii="宋体" w:hAnsi="宋体"/>
          <w:color w:val="auto"/>
          <w:highlight w:val="none"/>
        </w:rPr>
      </w:pPr>
      <w:r>
        <w:rPr>
          <w:rFonts w:hint="eastAsia" w:ascii="宋体" w:hAnsi="宋体"/>
          <w:color w:val="auto"/>
          <w:highlight w:val="none"/>
        </w:rPr>
        <w:t>2</w:t>
      </w:r>
      <w:r>
        <w:rPr>
          <w:rFonts w:ascii="宋体" w:hAnsi="宋体"/>
          <w:color w:val="auto"/>
          <w:highlight w:val="none"/>
        </w:rPr>
        <w:t>5.</w:t>
      </w:r>
      <w:r>
        <w:rPr>
          <w:rFonts w:hint="eastAsia" w:ascii="宋体" w:hAnsi="宋体"/>
          <w:color w:val="auto"/>
          <w:highlight w:val="none"/>
        </w:rPr>
        <w:t>使用控制区通行证，与申办事由不相符的；</w:t>
      </w:r>
    </w:p>
    <w:p>
      <w:pPr>
        <w:tabs>
          <w:tab w:val="left" w:pos="1080"/>
          <w:tab w:val="left" w:pos="1440"/>
        </w:tabs>
        <w:spacing w:line="460" w:lineRule="exact"/>
        <w:ind w:firstLine="480" w:firstLineChars="200"/>
        <w:rPr>
          <w:rFonts w:ascii="宋体" w:hAnsi="宋体"/>
          <w:color w:val="auto"/>
          <w:highlight w:val="none"/>
        </w:rPr>
      </w:pPr>
      <w:r>
        <w:rPr>
          <w:rFonts w:ascii="宋体" w:hAnsi="宋体"/>
          <w:color w:val="auto"/>
          <w:highlight w:val="none"/>
        </w:rPr>
        <w:t>26</w:t>
      </w:r>
      <w:r>
        <w:rPr>
          <w:rFonts w:hint="eastAsia" w:ascii="宋体" w:hAnsi="宋体"/>
          <w:color w:val="auto"/>
          <w:highlight w:val="none"/>
        </w:rPr>
        <w:t>.甲方认定的其他性质类似的行为；</w:t>
      </w:r>
    </w:p>
    <w:p>
      <w:pPr>
        <w:tabs>
          <w:tab w:val="left" w:pos="1080"/>
          <w:tab w:val="left" w:pos="1440"/>
        </w:tabs>
        <w:spacing w:line="460" w:lineRule="exact"/>
        <w:ind w:firstLine="480"/>
        <w:rPr>
          <w:rFonts w:ascii="宋体" w:hAnsi="宋体"/>
          <w:color w:val="auto"/>
          <w:highlight w:val="none"/>
        </w:rPr>
      </w:pPr>
      <w:r>
        <w:rPr>
          <w:rFonts w:hint="eastAsia" w:ascii="宋体" w:hAnsi="宋体"/>
          <w:color w:val="auto"/>
          <w:highlight w:val="none"/>
        </w:rPr>
        <w:t>以上属于空防安全同类违规行为，将受到叠加处理。</w:t>
      </w:r>
    </w:p>
    <w:p>
      <w:pPr>
        <w:spacing w:line="460" w:lineRule="exact"/>
        <w:ind w:firstLine="562" w:firstLineChars="200"/>
        <w:rPr>
          <w:rFonts w:ascii="宋体" w:hAnsi="宋体"/>
          <w:b/>
          <w:bCs/>
          <w:color w:val="auto"/>
          <w:sz w:val="28"/>
          <w:szCs w:val="28"/>
          <w:highlight w:val="none"/>
        </w:rPr>
      </w:pPr>
    </w:p>
    <w:p>
      <w:pPr>
        <w:spacing w:line="4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三、其它</w:t>
      </w:r>
    </w:p>
    <w:p>
      <w:pPr>
        <w:tabs>
          <w:tab w:val="left" w:pos="1080"/>
          <w:tab w:val="left" w:pos="1440"/>
        </w:tabs>
        <w:spacing w:line="460" w:lineRule="exact"/>
        <w:ind w:firstLine="480"/>
        <w:rPr>
          <w:rFonts w:ascii="宋体" w:hAnsi="宋体"/>
          <w:color w:val="auto"/>
          <w:highlight w:val="none"/>
        </w:rPr>
      </w:pPr>
      <w:r>
        <w:rPr>
          <w:rFonts w:hint="eastAsia" w:ascii="宋体" w:hAnsi="宋体"/>
          <w:color w:val="auto"/>
          <w:highlight w:val="none"/>
        </w:rPr>
        <w:t>其它甲方认定的同等性质类似的行为，将受到叠加处理。</w:t>
      </w:r>
    </w:p>
    <w:p>
      <w:pPr>
        <w:rPr>
          <w:color w:val="auto"/>
          <w:highlight w:val="none"/>
        </w:rPr>
      </w:pPr>
    </w:p>
    <w:p>
      <w:pPr>
        <w:pStyle w:val="8"/>
        <w:spacing w:line="600" w:lineRule="auto"/>
        <w:rPr>
          <w:color w:val="auto"/>
          <w:sz w:val="21"/>
          <w:szCs w:val="21"/>
          <w:highlight w:val="none"/>
        </w:rPr>
      </w:pPr>
    </w:p>
    <w:p>
      <w:pPr>
        <w:pStyle w:val="8"/>
        <w:spacing w:line="600" w:lineRule="auto"/>
        <w:rPr>
          <w:color w:val="auto"/>
          <w:sz w:val="21"/>
          <w:szCs w:val="21"/>
          <w:highlight w:val="none"/>
        </w:rPr>
      </w:pPr>
    </w:p>
    <w:p>
      <w:pPr>
        <w:pStyle w:val="8"/>
        <w:spacing w:line="600" w:lineRule="auto"/>
        <w:rPr>
          <w:color w:val="auto"/>
          <w:sz w:val="21"/>
          <w:szCs w:val="21"/>
          <w:highlight w:val="none"/>
        </w:rPr>
      </w:pPr>
    </w:p>
    <w:p>
      <w:pPr>
        <w:pStyle w:val="8"/>
        <w:spacing w:line="600" w:lineRule="auto"/>
        <w:rPr>
          <w:color w:val="auto"/>
          <w:sz w:val="21"/>
          <w:szCs w:val="21"/>
          <w:highlight w:val="none"/>
        </w:rPr>
      </w:pPr>
    </w:p>
    <w:p>
      <w:pPr>
        <w:pStyle w:val="8"/>
        <w:spacing w:line="600" w:lineRule="auto"/>
        <w:rPr>
          <w:color w:val="auto"/>
          <w:sz w:val="21"/>
          <w:szCs w:val="21"/>
          <w:highlight w:val="none"/>
        </w:rPr>
      </w:pPr>
    </w:p>
    <w:bookmarkEnd w:id="25"/>
    <w:sectPr>
      <w:footerReference r:id="rId3" w:type="default"/>
      <w:pgSz w:w="11906" w:h="16838"/>
      <w:pgMar w:top="2098" w:right="1531" w:bottom="2098" w:left="1531" w:header="851" w:footer="992"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tentative="0">
      <w:start w:val="1"/>
      <w:numFmt w:val="decimal"/>
      <w:lvlText w:val="（%1）"/>
      <w:lvlJc w:val="left"/>
      <w:pPr>
        <w:tabs>
          <w:tab w:val="left" w:pos="481"/>
        </w:tabs>
        <w:ind w:left="481" w:hanging="720"/>
      </w:pPr>
      <w:rPr>
        <w:rFonts w:hint="default"/>
      </w:rPr>
    </w:lvl>
    <w:lvl w:ilvl="1" w:tentative="0">
      <w:start w:val="1"/>
      <w:numFmt w:val="decimal"/>
      <w:pStyle w:val="4"/>
      <w:lvlText w:val="%2."/>
      <w:lvlJc w:val="left"/>
      <w:pPr>
        <w:tabs>
          <w:tab w:val="left" w:pos="1029"/>
        </w:tabs>
        <w:ind w:left="1029" w:hanging="720"/>
      </w:pPr>
      <w:rPr>
        <w:rFonts w:hint="default"/>
      </w:rPr>
    </w:lvl>
    <w:lvl w:ilvl="2" w:tentative="0">
      <w:start w:val="1"/>
      <w:numFmt w:val="decimal"/>
      <w:lvlText w:val="(%3) "/>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26"/>
    <w:multiLevelType w:val="multilevel"/>
    <w:tmpl w:val="00000026"/>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pStyle w:val="6"/>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102D0210"/>
    <w:multiLevelType w:val="singleLevel"/>
    <w:tmpl w:val="102D0210"/>
    <w:lvl w:ilvl="0" w:tentative="0">
      <w:start w:val="4"/>
      <w:numFmt w:val="chineseCounting"/>
      <w:suff w:val="nothing"/>
      <w:lvlText w:val="（%1）"/>
      <w:lvlJc w:val="left"/>
      <w:rPr>
        <w:rFonts w:hint="eastAsia"/>
      </w:rPr>
    </w:lvl>
  </w:abstractNum>
  <w:abstractNum w:abstractNumId="3">
    <w:nsid w:val="3F206C1F"/>
    <w:multiLevelType w:val="singleLevel"/>
    <w:tmpl w:val="3F206C1F"/>
    <w:lvl w:ilvl="0" w:tentative="0">
      <w:start w:val="3"/>
      <w:numFmt w:val="decimal"/>
      <w:suff w:val="nothing"/>
      <w:lvlText w:val="（%1）"/>
      <w:lvlJc w:val="left"/>
    </w:lvl>
  </w:abstractNum>
  <w:abstractNum w:abstractNumId="4">
    <w:nsid w:val="4EB8D209"/>
    <w:multiLevelType w:val="singleLevel"/>
    <w:tmpl w:val="4EB8D209"/>
    <w:lvl w:ilvl="0" w:tentative="0">
      <w:start w:val="5"/>
      <w:numFmt w:val="chineseCounting"/>
      <w:suff w:val="nothing"/>
      <w:lvlText w:val="%1、"/>
      <w:lvlJc w:val="left"/>
      <w:pPr>
        <w:ind w:left="421" w:firstLine="0"/>
      </w:pPr>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NWJmZjNmZWU4NzllYzRhOGFjYzQ4ZDY3YmVlMDgifQ=="/>
  </w:docVars>
  <w:rsids>
    <w:rsidRoot w:val="36CC636B"/>
    <w:rsid w:val="000A518F"/>
    <w:rsid w:val="0010152F"/>
    <w:rsid w:val="001A4DB8"/>
    <w:rsid w:val="002E28A5"/>
    <w:rsid w:val="00403BDE"/>
    <w:rsid w:val="00443EFE"/>
    <w:rsid w:val="0053652C"/>
    <w:rsid w:val="00700D14"/>
    <w:rsid w:val="008A42FF"/>
    <w:rsid w:val="009915F2"/>
    <w:rsid w:val="00C02D0F"/>
    <w:rsid w:val="00C14112"/>
    <w:rsid w:val="00D005D2"/>
    <w:rsid w:val="00FE3896"/>
    <w:rsid w:val="011E7C43"/>
    <w:rsid w:val="01D76054"/>
    <w:rsid w:val="01E7435F"/>
    <w:rsid w:val="029A3F7B"/>
    <w:rsid w:val="02EF0A92"/>
    <w:rsid w:val="02F7104C"/>
    <w:rsid w:val="0311673E"/>
    <w:rsid w:val="03C524B0"/>
    <w:rsid w:val="03EB174C"/>
    <w:rsid w:val="04A07BB0"/>
    <w:rsid w:val="04B16249"/>
    <w:rsid w:val="052422D3"/>
    <w:rsid w:val="053B7B32"/>
    <w:rsid w:val="05DE0203"/>
    <w:rsid w:val="06CF68BA"/>
    <w:rsid w:val="06EA01FD"/>
    <w:rsid w:val="08424AE2"/>
    <w:rsid w:val="0892200F"/>
    <w:rsid w:val="08D43E14"/>
    <w:rsid w:val="08E40992"/>
    <w:rsid w:val="08F477CC"/>
    <w:rsid w:val="09734D12"/>
    <w:rsid w:val="0A254387"/>
    <w:rsid w:val="0B13373D"/>
    <w:rsid w:val="0BCC7439"/>
    <w:rsid w:val="0CC851BC"/>
    <w:rsid w:val="0D253B89"/>
    <w:rsid w:val="0DA527D6"/>
    <w:rsid w:val="0DCF67ED"/>
    <w:rsid w:val="0E284C01"/>
    <w:rsid w:val="0E472EA9"/>
    <w:rsid w:val="0E9C63D9"/>
    <w:rsid w:val="0E9F0557"/>
    <w:rsid w:val="0EAD610C"/>
    <w:rsid w:val="0F512D2F"/>
    <w:rsid w:val="0F99266D"/>
    <w:rsid w:val="0FD97759"/>
    <w:rsid w:val="100F0156"/>
    <w:rsid w:val="10106A91"/>
    <w:rsid w:val="10401AEF"/>
    <w:rsid w:val="104B0561"/>
    <w:rsid w:val="1060484C"/>
    <w:rsid w:val="10B361A8"/>
    <w:rsid w:val="10CC6D2F"/>
    <w:rsid w:val="112514BC"/>
    <w:rsid w:val="13317FB3"/>
    <w:rsid w:val="134E419C"/>
    <w:rsid w:val="145D58FE"/>
    <w:rsid w:val="14B055F3"/>
    <w:rsid w:val="163559E8"/>
    <w:rsid w:val="168E2555"/>
    <w:rsid w:val="169F3861"/>
    <w:rsid w:val="16C24349"/>
    <w:rsid w:val="16F1635C"/>
    <w:rsid w:val="17053ADE"/>
    <w:rsid w:val="17355410"/>
    <w:rsid w:val="174D3FF4"/>
    <w:rsid w:val="17653A48"/>
    <w:rsid w:val="177B04C4"/>
    <w:rsid w:val="17C51DE1"/>
    <w:rsid w:val="17D758C0"/>
    <w:rsid w:val="18227C19"/>
    <w:rsid w:val="185165D3"/>
    <w:rsid w:val="18C261ED"/>
    <w:rsid w:val="190219F0"/>
    <w:rsid w:val="19AC0B17"/>
    <w:rsid w:val="19F21B13"/>
    <w:rsid w:val="1A1345C6"/>
    <w:rsid w:val="1AE7295E"/>
    <w:rsid w:val="1B1614D2"/>
    <w:rsid w:val="1B88028D"/>
    <w:rsid w:val="1C0A1830"/>
    <w:rsid w:val="1C3418B8"/>
    <w:rsid w:val="1C6E325B"/>
    <w:rsid w:val="1CC22A1F"/>
    <w:rsid w:val="1D7A73D8"/>
    <w:rsid w:val="1D922F95"/>
    <w:rsid w:val="1E3E4E32"/>
    <w:rsid w:val="1EB5082A"/>
    <w:rsid w:val="1EB61BD3"/>
    <w:rsid w:val="1F523A6F"/>
    <w:rsid w:val="1F7312EF"/>
    <w:rsid w:val="1F7A0D79"/>
    <w:rsid w:val="20CA62E4"/>
    <w:rsid w:val="20D22E42"/>
    <w:rsid w:val="20DB4EF0"/>
    <w:rsid w:val="21CE6821"/>
    <w:rsid w:val="21D00E99"/>
    <w:rsid w:val="22160DCA"/>
    <w:rsid w:val="222B1547"/>
    <w:rsid w:val="228972EF"/>
    <w:rsid w:val="234159AA"/>
    <w:rsid w:val="23722D69"/>
    <w:rsid w:val="239B6F65"/>
    <w:rsid w:val="244E27BF"/>
    <w:rsid w:val="24C74292"/>
    <w:rsid w:val="24E73571"/>
    <w:rsid w:val="24FE66AC"/>
    <w:rsid w:val="250A6E6E"/>
    <w:rsid w:val="2562472F"/>
    <w:rsid w:val="259F0C63"/>
    <w:rsid w:val="25F23A48"/>
    <w:rsid w:val="26EC52AA"/>
    <w:rsid w:val="27C76599"/>
    <w:rsid w:val="281A5FD2"/>
    <w:rsid w:val="28501285"/>
    <w:rsid w:val="28D67826"/>
    <w:rsid w:val="28E07686"/>
    <w:rsid w:val="2908424E"/>
    <w:rsid w:val="29F16809"/>
    <w:rsid w:val="2A286B92"/>
    <w:rsid w:val="2A2D713F"/>
    <w:rsid w:val="2AC52C4A"/>
    <w:rsid w:val="2B7D72CF"/>
    <w:rsid w:val="2BB8685B"/>
    <w:rsid w:val="2BD65FA7"/>
    <w:rsid w:val="2BFC0C40"/>
    <w:rsid w:val="2C211A67"/>
    <w:rsid w:val="2C317612"/>
    <w:rsid w:val="2C417C41"/>
    <w:rsid w:val="2CE82A28"/>
    <w:rsid w:val="2DD56DF7"/>
    <w:rsid w:val="2DE32BA7"/>
    <w:rsid w:val="2E425D38"/>
    <w:rsid w:val="2E9F000E"/>
    <w:rsid w:val="2EF3059B"/>
    <w:rsid w:val="2F0B2D45"/>
    <w:rsid w:val="2F523965"/>
    <w:rsid w:val="2F8464F5"/>
    <w:rsid w:val="2FB15740"/>
    <w:rsid w:val="30060C1D"/>
    <w:rsid w:val="3076627D"/>
    <w:rsid w:val="30816FAD"/>
    <w:rsid w:val="314F1C3A"/>
    <w:rsid w:val="32DD4AD3"/>
    <w:rsid w:val="33877099"/>
    <w:rsid w:val="33E96E9F"/>
    <w:rsid w:val="34005F8C"/>
    <w:rsid w:val="341353C2"/>
    <w:rsid w:val="34A1087C"/>
    <w:rsid w:val="35513C36"/>
    <w:rsid w:val="35563FFE"/>
    <w:rsid w:val="360B765C"/>
    <w:rsid w:val="36CC636B"/>
    <w:rsid w:val="36D74495"/>
    <w:rsid w:val="36FF211A"/>
    <w:rsid w:val="37B43167"/>
    <w:rsid w:val="386D036C"/>
    <w:rsid w:val="38FB3CBD"/>
    <w:rsid w:val="390850E5"/>
    <w:rsid w:val="39192504"/>
    <w:rsid w:val="39343BD3"/>
    <w:rsid w:val="3989738E"/>
    <w:rsid w:val="3A070D14"/>
    <w:rsid w:val="3A8D7D25"/>
    <w:rsid w:val="3AEE291E"/>
    <w:rsid w:val="3B1A3312"/>
    <w:rsid w:val="3BA430E6"/>
    <w:rsid w:val="3BD2167A"/>
    <w:rsid w:val="3C1420AB"/>
    <w:rsid w:val="3C2947FD"/>
    <w:rsid w:val="3C925A65"/>
    <w:rsid w:val="3CB303A5"/>
    <w:rsid w:val="3DCE5F0E"/>
    <w:rsid w:val="3DCF4CE2"/>
    <w:rsid w:val="3DE36B82"/>
    <w:rsid w:val="3E6C5B29"/>
    <w:rsid w:val="3E9904A9"/>
    <w:rsid w:val="3EA625B4"/>
    <w:rsid w:val="3F0B7D9F"/>
    <w:rsid w:val="3F3A4CBE"/>
    <w:rsid w:val="404D2799"/>
    <w:rsid w:val="405327BB"/>
    <w:rsid w:val="407E2EA1"/>
    <w:rsid w:val="40D24540"/>
    <w:rsid w:val="41A67473"/>
    <w:rsid w:val="41C63F40"/>
    <w:rsid w:val="41FE72B6"/>
    <w:rsid w:val="423C1B41"/>
    <w:rsid w:val="42AF5B88"/>
    <w:rsid w:val="437F20BF"/>
    <w:rsid w:val="439B4353"/>
    <w:rsid w:val="44985B0C"/>
    <w:rsid w:val="44F63A7D"/>
    <w:rsid w:val="44FA65CA"/>
    <w:rsid w:val="45B55AFD"/>
    <w:rsid w:val="46591DA6"/>
    <w:rsid w:val="468B7B32"/>
    <w:rsid w:val="46C739F9"/>
    <w:rsid w:val="470116DB"/>
    <w:rsid w:val="482B5AAB"/>
    <w:rsid w:val="487625F1"/>
    <w:rsid w:val="488D5A49"/>
    <w:rsid w:val="48AE5612"/>
    <w:rsid w:val="48CF2046"/>
    <w:rsid w:val="48E94BAA"/>
    <w:rsid w:val="496227AC"/>
    <w:rsid w:val="49E52411"/>
    <w:rsid w:val="49E95F23"/>
    <w:rsid w:val="4A07524A"/>
    <w:rsid w:val="4B197E2A"/>
    <w:rsid w:val="4B7A0F4E"/>
    <w:rsid w:val="4BDE43FC"/>
    <w:rsid w:val="4BF20896"/>
    <w:rsid w:val="4C9651B2"/>
    <w:rsid w:val="4CEA6302"/>
    <w:rsid w:val="4D1854FF"/>
    <w:rsid w:val="4DBC7DC4"/>
    <w:rsid w:val="4DD9360B"/>
    <w:rsid w:val="4EBE7FA6"/>
    <w:rsid w:val="4ED25A1F"/>
    <w:rsid w:val="4F353BE1"/>
    <w:rsid w:val="4F5A6D5B"/>
    <w:rsid w:val="501C3355"/>
    <w:rsid w:val="50456922"/>
    <w:rsid w:val="50B86A6C"/>
    <w:rsid w:val="50BC5AF4"/>
    <w:rsid w:val="50E62B47"/>
    <w:rsid w:val="51436DA6"/>
    <w:rsid w:val="514F1A45"/>
    <w:rsid w:val="51B87CC6"/>
    <w:rsid w:val="52014C17"/>
    <w:rsid w:val="524B2F71"/>
    <w:rsid w:val="524F4AFF"/>
    <w:rsid w:val="52F661F4"/>
    <w:rsid w:val="5308675D"/>
    <w:rsid w:val="531D0095"/>
    <w:rsid w:val="53623847"/>
    <w:rsid w:val="537B492C"/>
    <w:rsid w:val="53A24700"/>
    <w:rsid w:val="543A0019"/>
    <w:rsid w:val="547A30C7"/>
    <w:rsid w:val="54D01938"/>
    <w:rsid w:val="54F8374E"/>
    <w:rsid w:val="5528152D"/>
    <w:rsid w:val="555F2DD5"/>
    <w:rsid w:val="55941136"/>
    <w:rsid w:val="55EB131D"/>
    <w:rsid w:val="566D3F72"/>
    <w:rsid w:val="56E9153D"/>
    <w:rsid w:val="56F3267C"/>
    <w:rsid w:val="56F813C4"/>
    <w:rsid w:val="575A3634"/>
    <w:rsid w:val="578A6A46"/>
    <w:rsid w:val="57EA30DE"/>
    <w:rsid w:val="58193915"/>
    <w:rsid w:val="582718D3"/>
    <w:rsid w:val="5829553C"/>
    <w:rsid w:val="583D0237"/>
    <w:rsid w:val="58487577"/>
    <w:rsid w:val="59931A23"/>
    <w:rsid w:val="59B77603"/>
    <w:rsid w:val="59FA1D92"/>
    <w:rsid w:val="5A0A4F4E"/>
    <w:rsid w:val="5A5E5A29"/>
    <w:rsid w:val="5AF821EF"/>
    <w:rsid w:val="5B9050B7"/>
    <w:rsid w:val="5C132781"/>
    <w:rsid w:val="5C314AB3"/>
    <w:rsid w:val="5D0136F9"/>
    <w:rsid w:val="5D157615"/>
    <w:rsid w:val="5D802451"/>
    <w:rsid w:val="5DD67A50"/>
    <w:rsid w:val="5E787C4A"/>
    <w:rsid w:val="5EE27870"/>
    <w:rsid w:val="5EF32642"/>
    <w:rsid w:val="5F05280E"/>
    <w:rsid w:val="60441EAC"/>
    <w:rsid w:val="6049204D"/>
    <w:rsid w:val="609549D7"/>
    <w:rsid w:val="61520478"/>
    <w:rsid w:val="61C20DFC"/>
    <w:rsid w:val="62160AD3"/>
    <w:rsid w:val="627327CB"/>
    <w:rsid w:val="63272A7A"/>
    <w:rsid w:val="63AB4FDF"/>
    <w:rsid w:val="643F7000"/>
    <w:rsid w:val="64437F3D"/>
    <w:rsid w:val="64821802"/>
    <w:rsid w:val="64E869E3"/>
    <w:rsid w:val="65CE3564"/>
    <w:rsid w:val="66A063EB"/>
    <w:rsid w:val="66D03BD1"/>
    <w:rsid w:val="67C119B1"/>
    <w:rsid w:val="6A3B1B42"/>
    <w:rsid w:val="6A8B566E"/>
    <w:rsid w:val="6C242496"/>
    <w:rsid w:val="6C577A6D"/>
    <w:rsid w:val="6CCD26D6"/>
    <w:rsid w:val="6D21521F"/>
    <w:rsid w:val="6D397296"/>
    <w:rsid w:val="6D4C071F"/>
    <w:rsid w:val="6DA50691"/>
    <w:rsid w:val="6EB95FEE"/>
    <w:rsid w:val="7033028E"/>
    <w:rsid w:val="7076455C"/>
    <w:rsid w:val="70786FB6"/>
    <w:rsid w:val="70F33305"/>
    <w:rsid w:val="71946468"/>
    <w:rsid w:val="71DB53F1"/>
    <w:rsid w:val="71FB4441"/>
    <w:rsid w:val="725A66CF"/>
    <w:rsid w:val="72CA09C0"/>
    <w:rsid w:val="72D62720"/>
    <w:rsid w:val="72E6611B"/>
    <w:rsid w:val="72E67E22"/>
    <w:rsid w:val="73420760"/>
    <w:rsid w:val="73C42DF7"/>
    <w:rsid w:val="74923881"/>
    <w:rsid w:val="75373F73"/>
    <w:rsid w:val="75796E58"/>
    <w:rsid w:val="75E924BF"/>
    <w:rsid w:val="767A0E8B"/>
    <w:rsid w:val="769F37DE"/>
    <w:rsid w:val="76E577A3"/>
    <w:rsid w:val="77194A2F"/>
    <w:rsid w:val="77417444"/>
    <w:rsid w:val="77544187"/>
    <w:rsid w:val="78555071"/>
    <w:rsid w:val="79132F7E"/>
    <w:rsid w:val="79322120"/>
    <w:rsid w:val="79DA3D02"/>
    <w:rsid w:val="79EC2A16"/>
    <w:rsid w:val="7A0964E7"/>
    <w:rsid w:val="7ADC2385"/>
    <w:rsid w:val="7B8050ED"/>
    <w:rsid w:val="7BEC4781"/>
    <w:rsid w:val="7C90281F"/>
    <w:rsid w:val="7DEA3186"/>
    <w:rsid w:val="7E742D58"/>
    <w:rsid w:val="7FA35EA6"/>
    <w:rsid w:val="7FE229F3"/>
    <w:rsid w:val="7FEA6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lang w:val="zh-CN"/>
    </w:rPr>
  </w:style>
  <w:style w:type="paragraph" w:styleId="4">
    <w:name w:val="heading 2"/>
    <w:basedOn w:val="1"/>
    <w:next w:val="5"/>
    <w:qFormat/>
    <w:uiPriority w:val="0"/>
    <w:pPr>
      <w:keepNext/>
      <w:keepLines/>
      <w:widowControl w:val="0"/>
      <w:numPr>
        <w:ilvl w:val="1"/>
        <w:numId w:val="1"/>
      </w:numPr>
      <w:tabs>
        <w:tab w:val="left" w:pos="540"/>
        <w:tab w:val="clear" w:pos="1029"/>
      </w:tabs>
      <w:adjustRightInd w:val="0"/>
      <w:spacing w:before="720" w:line="360" w:lineRule="auto"/>
      <w:ind w:right="840" w:rightChars="400"/>
      <w:outlineLvl w:val="1"/>
    </w:pPr>
    <w:rPr>
      <w:rFonts w:ascii="宋体" w:hAnsi="宋体"/>
      <w:b/>
      <w:sz w:val="28"/>
      <w:szCs w:val="28"/>
    </w:rPr>
  </w:style>
  <w:style w:type="paragraph" w:styleId="6">
    <w:name w:val="heading 4"/>
    <w:basedOn w:val="1"/>
    <w:next w:val="5"/>
    <w:qFormat/>
    <w:uiPriority w:val="0"/>
    <w:pPr>
      <w:keepNext/>
      <w:keepLines/>
      <w:widowControl w:val="0"/>
      <w:numPr>
        <w:ilvl w:val="3"/>
        <w:numId w:val="2"/>
      </w:numPr>
      <w:spacing w:before="280" w:after="290" w:line="376" w:lineRule="auto"/>
      <w:jc w:val="both"/>
      <w:outlineLvl w:val="3"/>
    </w:pPr>
    <w:rPr>
      <w:rFonts w:ascii="Arial" w:hAnsi="Arial" w:eastAsia="黑体"/>
      <w:b/>
      <w:kern w:val="2"/>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Lines="25" w:afterLines="25"/>
    </w:pPr>
    <w:rPr>
      <w:spacing w:val="10"/>
    </w:rPr>
  </w:style>
  <w:style w:type="paragraph" w:styleId="5">
    <w:name w:val="Normal Indent"/>
    <w:basedOn w:val="1"/>
    <w:qFormat/>
    <w:uiPriority w:val="0"/>
    <w:pPr>
      <w:ind w:firstLine="420"/>
    </w:pPr>
  </w:style>
  <w:style w:type="paragraph" w:styleId="7">
    <w:name w:val="table of authorities"/>
    <w:basedOn w:val="1"/>
    <w:next w:val="1"/>
    <w:qFormat/>
    <w:uiPriority w:val="0"/>
    <w:pPr>
      <w:ind w:left="200" w:leftChars="200"/>
    </w:pPr>
  </w:style>
  <w:style w:type="paragraph" w:styleId="8">
    <w:name w:val="Body Text 3"/>
    <w:basedOn w:val="1"/>
    <w:qFormat/>
    <w:uiPriority w:val="0"/>
    <w:pPr>
      <w:widowControl w:val="0"/>
      <w:spacing w:after="120"/>
      <w:jc w:val="both"/>
    </w:pPr>
    <w:rPr>
      <w:kern w:val="2"/>
      <w:sz w:val="16"/>
      <w:szCs w:val="16"/>
    </w:rPr>
  </w:style>
  <w:style w:type="paragraph" w:styleId="9">
    <w:name w:val="Body Text"/>
    <w:basedOn w:val="1"/>
    <w:next w:val="1"/>
    <w:qFormat/>
    <w:uiPriority w:val="0"/>
    <w:pPr>
      <w:spacing w:after="120"/>
    </w:pPr>
    <w:rPr>
      <w:lang w:val="zh-CN"/>
    </w:rPr>
  </w:style>
  <w:style w:type="paragraph" w:styleId="10">
    <w:name w:val="Body Text Indent"/>
    <w:basedOn w:val="1"/>
    <w:qFormat/>
    <w:uiPriority w:val="0"/>
    <w:pPr>
      <w:ind w:left="540" w:leftChars="257" w:firstLine="20" w:firstLineChars="7"/>
    </w:pPr>
    <w:rPr>
      <w:sz w:val="28"/>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link w:val="25"/>
    <w:qFormat/>
    <w:uiPriority w:val="0"/>
    <w:pPr>
      <w:tabs>
        <w:tab w:val="center" w:pos="4153"/>
        <w:tab w:val="right" w:pos="8306"/>
      </w:tabs>
      <w:snapToGrid w:val="0"/>
      <w:jc w:val="center"/>
    </w:pPr>
    <w:rPr>
      <w:sz w:val="18"/>
      <w:szCs w:val="18"/>
    </w:rPr>
  </w:style>
  <w:style w:type="paragraph" w:styleId="14">
    <w:name w:val="index heading"/>
    <w:basedOn w:val="1"/>
    <w:next w:val="15"/>
    <w:qFormat/>
    <w:uiPriority w:val="0"/>
    <w:rPr>
      <w:rFonts w:ascii="Calibri" w:hAnsi="Calibri"/>
    </w:rPr>
  </w:style>
  <w:style w:type="paragraph" w:styleId="15">
    <w:name w:val="index 1"/>
    <w:basedOn w:val="1"/>
    <w:next w:val="1"/>
    <w:qFormat/>
    <w:uiPriority w:val="0"/>
  </w:style>
  <w:style w:type="paragraph" w:styleId="16">
    <w:name w:val="Normal (Web)"/>
    <w:basedOn w:val="1"/>
    <w:qFormat/>
    <w:uiPriority w:val="0"/>
    <w:pPr>
      <w:spacing w:beforeAutospacing="1" w:afterAutospacing="1"/>
    </w:pPr>
  </w:style>
  <w:style w:type="paragraph" w:styleId="17">
    <w:name w:val="Title"/>
    <w:basedOn w:val="1"/>
    <w:next w:val="1"/>
    <w:qFormat/>
    <w:uiPriority w:val="10"/>
    <w:pPr>
      <w:widowControl/>
      <w:adjustRightInd w:val="0"/>
      <w:spacing w:before="240" w:after="60" w:line="420" w:lineRule="atLeast"/>
      <w:jc w:val="center"/>
      <w:textAlignment w:val="baseline"/>
      <w:outlineLvl w:val="0"/>
    </w:pPr>
    <w:rPr>
      <w:rFonts w:ascii="Arial" w:hAnsi="Arial" w:eastAsia="宋体"/>
      <w:b/>
      <w:kern w:val="0"/>
      <w:sz w:val="32"/>
      <w:szCs w:val="20"/>
      <w:lang w:val="zh-CN"/>
    </w:rPr>
  </w:style>
  <w:style w:type="paragraph" w:styleId="18">
    <w:name w:val="Body Text First Indent 2"/>
    <w:basedOn w:val="10"/>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paragraph" w:customStyle="1" w:styleId="24">
    <w:name w:val="图"/>
    <w:basedOn w:val="1"/>
    <w:qFormat/>
    <w:uiPriority w:val="0"/>
    <w:pPr>
      <w:keepNext/>
      <w:adjustRightInd w:val="0"/>
      <w:spacing w:before="60" w:after="60" w:line="300" w:lineRule="auto"/>
      <w:jc w:val="center"/>
      <w:textAlignment w:val="center"/>
    </w:pPr>
    <w:rPr>
      <w:snapToGrid w:val="0"/>
      <w:spacing w:val="20"/>
    </w:rPr>
  </w:style>
  <w:style w:type="character" w:customStyle="1" w:styleId="25">
    <w:name w:val="页眉 字符"/>
    <w:basedOn w:val="21"/>
    <w:link w:val="13"/>
    <w:qFormat/>
    <w:uiPriority w:val="0"/>
    <w:rPr>
      <w:sz w:val="18"/>
      <w:szCs w:val="18"/>
    </w:rPr>
  </w:style>
  <w:style w:type="paragraph" w:customStyle="1" w:styleId="26">
    <w:name w:val="列出段落1"/>
    <w:basedOn w:val="1"/>
    <w:qFormat/>
    <w:uiPriority w:val="99"/>
    <w:pPr>
      <w:ind w:firstLine="420" w:firstLineChars="200"/>
    </w:pPr>
    <w:rPr>
      <w:rFonts w:ascii="宋体" w:hAnsi="宋体" w:cs="宋体"/>
    </w:rPr>
  </w:style>
  <w:style w:type="paragraph" w:customStyle="1" w:styleId="27">
    <w:name w:val="CM16"/>
    <w:basedOn w:val="28"/>
    <w:next w:val="28"/>
    <w:qFormat/>
    <w:uiPriority w:val="99"/>
    <w:pPr>
      <w:spacing w:after="198"/>
    </w:pPr>
    <w:rPr>
      <w:rFonts w:cs="Times New Roman"/>
      <w:color w:val="auto"/>
    </w:rPr>
  </w:style>
  <w:style w:type="paragraph" w:customStyle="1" w:styleId="2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一级目录"/>
    <w:basedOn w:val="1"/>
    <w:qFormat/>
    <w:uiPriority w:val="0"/>
    <w:pPr>
      <w:spacing w:line="360" w:lineRule="auto"/>
      <w:jc w:val="center"/>
      <w:outlineLvl w:val="0"/>
    </w:pPr>
    <w:rPr>
      <w:rFonts w:ascii="黑体" w:hAnsi="黑体" w:eastAsia="黑体"/>
      <w:b/>
      <w:sz w:val="32"/>
      <w:szCs w:val="32"/>
    </w:rPr>
  </w:style>
  <w:style w:type="paragraph" w:customStyle="1" w:styleId="30">
    <w:name w:val="二级目录"/>
    <w:basedOn w:val="26"/>
    <w:qFormat/>
    <w:uiPriority w:val="0"/>
    <w:pPr>
      <w:spacing w:line="360" w:lineRule="auto"/>
      <w:ind w:firstLine="0" w:firstLineChars="0"/>
    </w:pPr>
    <w:rPr>
      <w:rFonts w:ascii="仿宋_GB2312" w:hAnsi="黑体" w:eastAsia="仿宋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1016</Words>
  <Characters>5794</Characters>
  <Lines>48</Lines>
  <Paragraphs>13</Paragraphs>
  <TotalTime>47</TotalTime>
  <ScaleCrop>false</ScaleCrop>
  <LinksUpToDate>false</LinksUpToDate>
  <CharactersWithSpaces>6797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2023-10-27T01:22:00Z</dcterms:created>
  <dc:creator>李敏静</dc:creator>
  <cp:lastModifiedBy>晏思佳</cp:lastModifiedBy>
  <dcterms:modified xsi:type="dcterms:W3CDTF">2023-11-15T02:10:33Z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613BA1C5DFB1465F99E44F2E386B6999_13</vt:lpwstr>
  </property>
</Properties>
</file>