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hint="eastAsia" w:ascii="宋体" w:hAnsi="宋体" w:eastAsia="宋体" w:cs="宋体"/>
          <w:b/>
          <w:bCs w:val="0"/>
          <w:color w:val="auto"/>
          <w:highlight w:val="none"/>
        </w:rPr>
      </w:pP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广东机场白云信息科技</w:t>
      </w:r>
      <w:r>
        <w:rPr>
          <w:rFonts w:hint="eastAsia" w:ascii="宋体" w:hAnsi="宋体" w:cs="宋体"/>
          <w:b/>
          <w:bCs w:val="0"/>
          <w:sz w:val="48"/>
          <w:szCs w:val="22"/>
          <w:lang w:val="en-US" w:eastAsia="zh-CN"/>
        </w:rPr>
        <w:t>股份</w:t>
      </w:r>
      <w:r>
        <w:rPr>
          <w:rFonts w:hint="eastAsia" w:ascii="宋体" w:hAnsi="宋体" w:eastAsia="宋体" w:cs="宋体"/>
          <w:b/>
          <w:bCs w:val="0"/>
          <w:sz w:val="48"/>
          <w:szCs w:val="22"/>
          <w:lang w:val="en-US" w:eastAsia="zh-CN"/>
        </w:rPr>
        <w:t>有限公司</w:t>
      </w:r>
    </w:p>
    <w:p>
      <w:pPr>
        <w:spacing w:line="960" w:lineRule="auto"/>
        <w:jc w:val="center"/>
        <w:rPr>
          <w:rFonts w:hint="eastAsia" w:ascii="宋体" w:hAnsi="宋体" w:eastAsia="宋体" w:cs="宋体"/>
          <w:b/>
          <w:bCs w:val="0"/>
          <w:color w:val="auto"/>
          <w:sz w:val="32"/>
          <w:highlight w:val="none"/>
        </w:rPr>
      </w:pPr>
      <w:r>
        <w:rPr>
          <w:rFonts w:hint="eastAsia" w:ascii="宋体" w:hAnsi="宋体" w:eastAsia="宋体" w:cs="宋体"/>
          <w:b/>
          <w:bCs w:val="0"/>
          <w:sz w:val="48"/>
          <w:szCs w:val="22"/>
        </w:rPr>
        <w:t>旅客查询终端</w:t>
      </w:r>
      <w:r>
        <w:rPr>
          <w:rFonts w:hint="eastAsia" w:ascii="宋体" w:hAnsi="宋体" w:cs="宋体"/>
          <w:b/>
          <w:bCs w:val="0"/>
          <w:sz w:val="48"/>
          <w:szCs w:val="22"/>
          <w:lang w:val="en-US" w:eastAsia="zh-CN"/>
        </w:rPr>
        <w:t>服务</w:t>
      </w:r>
      <w:r>
        <w:rPr>
          <w:rFonts w:hint="eastAsia" w:ascii="宋体" w:hAnsi="宋体" w:eastAsia="宋体" w:cs="宋体"/>
          <w:b/>
          <w:bCs w:val="0"/>
          <w:sz w:val="48"/>
          <w:szCs w:val="22"/>
        </w:rPr>
        <w:t>采购项目</w:t>
      </w:r>
      <w:r>
        <w:rPr>
          <w:rFonts w:hint="eastAsia" w:ascii="宋体" w:hAnsi="宋体" w:eastAsia="宋体" w:cs="宋体"/>
          <w:b/>
          <w:bCs w:val="0"/>
          <w:color w:val="auto"/>
          <w:sz w:val="48"/>
          <w:highlight w:val="none"/>
        </w:rPr>
        <w:t>综合评审文件</w:t>
      </w:r>
    </w:p>
    <w:p>
      <w:pPr>
        <w:jc w:val="center"/>
        <w:rPr>
          <w:rFonts w:eastAsia="黑体"/>
          <w:color w:val="auto"/>
          <w:sz w:val="32"/>
          <w:highlight w:val="none"/>
        </w:rPr>
      </w:pPr>
    </w:p>
    <w:p>
      <w:pPr>
        <w:jc w:val="center"/>
        <w:rPr>
          <w:rFonts w:eastAsia="黑体"/>
          <w:color w:val="auto"/>
          <w:sz w:val="32"/>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r>
        <w:rPr>
          <w:rFonts w:hint="eastAsia" w:eastAsia="黑体"/>
          <w:color w:val="auto"/>
          <w:sz w:val="44"/>
          <w:highlight w:val="none"/>
        </w:rPr>
        <w:t xml:space="preserve">   </w:t>
      </w: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hint="eastAsia" w:eastAsia="黑体"/>
          <w:color w:val="auto"/>
          <w:sz w:val="32"/>
          <w:highlight w:val="none"/>
          <w:lang w:eastAsia="zh-CN"/>
        </w:rPr>
      </w:pPr>
      <w:r>
        <w:rPr>
          <w:rFonts w:hint="eastAsia" w:eastAsia="黑体"/>
          <w:color w:val="auto"/>
          <w:sz w:val="32"/>
          <w:highlight w:val="none"/>
        </w:rPr>
        <w:t>采购人：</w:t>
      </w:r>
      <w:r>
        <w:rPr>
          <w:rFonts w:hint="eastAsia" w:eastAsia="黑体"/>
          <w:color w:val="auto"/>
          <w:sz w:val="32"/>
          <w:highlight w:val="none"/>
          <w:lang w:eastAsia="zh-CN"/>
        </w:rPr>
        <w:t>广东机场白云信息科技股份有限公司</w:t>
      </w:r>
    </w:p>
    <w:p>
      <w:pPr>
        <w:jc w:val="center"/>
        <w:rPr>
          <w:rFonts w:eastAsia="黑体"/>
          <w:color w:val="auto"/>
          <w:sz w:val="32"/>
          <w:highlight w:val="none"/>
        </w:rPr>
      </w:pPr>
      <w:r>
        <w:rPr>
          <w:rFonts w:hint="eastAsia" w:eastAsia="黑体"/>
          <w:color w:val="auto"/>
          <w:sz w:val="32"/>
          <w:highlight w:val="none"/>
        </w:rPr>
        <w:t>二○二三年</w:t>
      </w:r>
      <w:r>
        <w:rPr>
          <w:rFonts w:hint="eastAsia" w:eastAsia="黑体"/>
          <w:color w:val="auto"/>
          <w:sz w:val="32"/>
          <w:highlight w:val="none"/>
          <w:lang w:val="en-US" w:eastAsia="zh-CN"/>
        </w:rPr>
        <w:t>七</w:t>
      </w:r>
      <w:r>
        <w:rPr>
          <w:rFonts w:hint="eastAsia" w:eastAsia="黑体"/>
          <w:color w:val="auto"/>
          <w:sz w:val="32"/>
          <w:highlight w:val="none"/>
        </w:rPr>
        <w:t>月</w:t>
      </w:r>
    </w:p>
    <w:p>
      <w:pPr>
        <w:jc w:val="center"/>
        <w:rPr>
          <w:rFonts w:eastAsia="黑体"/>
          <w:b/>
          <w:color w:val="auto"/>
          <w:sz w:val="32"/>
          <w:highlight w:val="none"/>
        </w:rPr>
        <w:sectPr>
          <w:headerReference r:id="rId3" w:type="default"/>
          <w:footerReference r:id="rId4" w:type="default"/>
          <w:pgSz w:w="11906" w:h="16838"/>
          <w:pgMar w:top="1286" w:right="1531" w:bottom="1246" w:left="1531" w:header="737" w:footer="680" w:gutter="0"/>
          <w:cols w:space="720" w:num="1"/>
          <w:titlePg/>
          <w:docGrid w:type="lines" w:linePitch="312" w:charSpace="0"/>
        </w:sect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color w:val="auto"/>
          <w:sz w:val="44"/>
          <w:highlight w:val="none"/>
        </w:rPr>
      </w:pPr>
      <w:r>
        <w:rPr>
          <w:rFonts w:hint="eastAsia" w:eastAsia="黑体"/>
          <w:color w:val="auto"/>
          <w:sz w:val="44"/>
          <w:highlight w:val="none"/>
        </w:rPr>
        <w:t>总  目  录</w:t>
      </w:r>
    </w:p>
    <w:p>
      <w:pPr>
        <w:jc w:val="center"/>
        <w:rPr>
          <w:rFonts w:eastAsia="黑体"/>
          <w:bCs/>
          <w:color w:val="auto"/>
          <w:sz w:val="44"/>
          <w:highlight w:val="none"/>
        </w:rPr>
      </w:pPr>
    </w:p>
    <w:p>
      <w:pPr>
        <w:jc w:val="center"/>
        <w:rPr>
          <w:rFonts w:eastAsia="黑体"/>
          <w:bCs/>
          <w:color w:val="auto"/>
          <w:sz w:val="44"/>
          <w:highlight w:val="none"/>
        </w:rPr>
      </w:pPr>
    </w:p>
    <w:p>
      <w:pPr>
        <w:jc w:val="center"/>
        <w:rPr>
          <w:rFonts w:eastAsia="黑体"/>
          <w:bCs/>
          <w:color w:val="auto"/>
          <w:sz w:val="44"/>
          <w:highlight w:val="none"/>
        </w:rPr>
      </w:pPr>
    </w:p>
    <w:p>
      <w:pPr>
        <w:ind w:left="1470" w:leftChars="700"/>
        <w:jc w:val="left"/>
        <w:rPr>
          <w:rFonts w:eastAsia="黑体"/>
          <w:bCs/>
          <w:color w:val="auto"/>
          <w:sz w:val="32"/>
          <w:highlight w:val="none"/>
        </w:rPr>
      </w:pPr>
      <w:r>
        <w:rPr>
          <w:rFonts w:hint="eastAsia" w:eastAsia="黑体"/>
          <w:bCs/>
          <w:color w:val="auto"/>
          <w:sz w:val="32"/>
          <w:highlight w:val="none"/>
        </w:rPr>
        <w:t>第一部分               综合评审邀请函</w:t>
      </w:r>
    </w:p>
    <w:p>
      <w:pPr>
        <w:ind w:left="1470" w:leftChars="700"/>
        <w:jc w:val="left"/>
        <w:rPr>
          <w:rFonts w:eastAsia="黑体"/>
          <w:bCs/>
          <w:color w:val="auto"/>
          <w:sz w:val="32"/>
          <w:highlight w:val="none"/>
        </w:rPr>
      </w:pPr>
    </w:p>
    <w:p>
      <w:pPr>
        <w:ind w:left="1470" w:leftChars="700"/>
        <w:jc w:val="left"/>
        <w:rPr>
          <w:rFonts w:eastAsia="黑体"/>
          <w:bCs/>
          <w:color w:val="auto"/>
          <w:sz w:val="32"/>
          <w:highlight w:val="none"/>
        </w:rPr>
      </w:pPr>
      <w:r>
        <w:rPr>
          <w:rFonts w:hint="eastAsia" w:eastAsia="黑体"/>
          <w:bCs/>
          <w:color w:val="auto"/>
          <w:sz w:val="32"/>
          <w:highlight w:val="none"/>
        </w:rPr>
        <w:t>第二部分               供应商须知</w:t>
      </w:r>
    </w:p>
    <w:p>
      <w:pPr>
        <w:ind w:left="1470" w:leftChars="700"/>
        <w:jc w:val="left"/>
        <w:rPr>
          <w:rFonts w:eastAsia="黑体"/>
          <w:bCs/>
          <w:color w:val="auto"/>
          <w:sz w:val="32"/>
          <w:highlight w:val="none"/>
        </w:rPr>
      </w:pPr>
    </w:p>
    <w:p>
      <w:pPr>
        <w:tabs>
          <w:tab w:val="left" w:pos="5844"/>
        </w:tabs>
        <w:ind w:left="1470" w:leftChars="700"/>
        <w:jc w:val="left"/>
        <w:rPr>
          <w:rFonts w:eastAsia="黑体"/>
          <w:bCs/>
          <w:color w:val="auto"/>
          <w:sz w:val="32"/>
          <w:highlight w:val="none"/>
        </w:rPr>
      </w:pPr>
      <w:r>
        <w:rPr>
          <w:rFonts w:hint="eastAsia" w:eastAsia="黑体"/>
          <w:bCs/>
          <w:color w:val="auto"/>
          <w:sz w:val="32"/>
          <w:highlight w:val="none"/>
        </w:rPr>
        <w:t>第三部分               合同条款</w:t>
      </w:r>
    </w:p>
    <w:p>
      <w:pPr>
        <w:ind w:left="1470" w:leftChars="700"/>
        <w:jc w:val="left"/>
        <w:rPr>
          <w:rFonts w:eastAsia="黑体"/>
          <w:bCs/>
          <w:color w:val="auto"/>
          <w:sz w:val="32"/>
          <w:highlight w:val="none"/>
        </w:rPr>
      </w:pPr>
    </w:p>
    <w:p>
      <w:pPr>
        <w:numPr>
          <w:ilvl w:val="0"/>
          <w:numId w:val="6"/>
        </w:numPr>
        <w:ind w:left="1470" w:leftChars="700"/>
        <w:jc w:val="left"/>
        <w:rPr>
          <w:rFonts w:hint="eastAsia" w:eastAsia="黑体"/>
          <w:bCs/>
          <w:color w:val="auto"/>
          <w:sz w:val="32"/>
          <w:highlight w:val="none"/>
        </w:rPr>
      </w:pPr>
      <w:r>
        <w:rPr>
          <w:rFonts w:hint="eastAsia" w:eastAsia="黑体"/>
          <w:bCs/>
          <w:color w:val="auto"/>
          <w:sz w:val="32"/>
          <w:highlight w:val="none"/>
        </w:rPr>
        <w:t xml:space="preserve">              项目报价文件格式</w:t>
      </w:r>
    </w:p>
    <w:p>
      <w:pPr>
        <w:tabs>
          <w:tab w:val="left" w:pos="5844"/>
        </w:tabs>
        <w:ind w:left="1470" w:leftChars="700"/>
        <w:jc w:val="left"/>
        <w:rPr>
          <w:rFonts w:hint="eastAsia" w:eastAsia="黑体"/>
          <w:bCs/>
          <w:color w:val="auto"/>
          <w:sz w:val="32"/>
          <w:highlight w:val="none"/>
        </w:rPr>
      </w:pPr>
      <w:r>
        <w:rPr>
          <w:rFonts w:hint="eastAsia" w:eastAsia="黑体"/>
          <w:bCs/>
          <w:color w:val="auto"/>
          <w:sz w:val="32"/>
          <w:highlight w:val="none"/>
          <w:lang w:val="en-US" w:eastAsia="zh-CN"/>
        </w:rPr>
        <w:t xml:space="preserve">             </w:t>
      </w:r>
    </w:p>
    <w:p>
      <w:pPr>
        <w:ind w:left="1470" w:leftChars="700"/>
        <w:jc w:val="left"/>
        <w:rPr>
          <w:rFonts w:eastAsia="黑体"/>
          <w:bCs/>
          <w:color w:val="auto"/>
          <w:sz w:val="32"/>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b/>
          <w:color w:val="auto"/>
          <w:sz w:val="32"/>
          <w:highlight w:val="none"/>
        </w:rPr>
      </w:pPr>
    </w:p>
    <w:p>
      <w:pPr>
        <w:pStyle w:val="2"/>
        <w:ind w:left="420"/>
        <w:rPr>
          <w:color w:val="auto"/>
          <w:highlight w:val="none"/>
        </w:rPr>
      </w:pPr>
    </w:p>
    <w:p>
      <w:pPr>
        <w:rPr>
          <w:color w:val="auto"/>
          <w:highlight w:val="none"/>
        </w:rPr>
      </w:pPr>
    </w:p>
    <w:p>
      <w:pPr>
        <w:pStyle w:val="2"/>
        <w:ind w:left="420"/>
        <w:rPr>
          <w:color w:val="auto"/>
          <w:highlight w:val="none"/>
        </w:rPr>
      </w:pPr>
    </w:p>
    <w:p>
      <w:pPr>
        <w:widowControl/>
        <w:tabs>
          <w:tab w:val="left" w:pos="567"/>
        </w:tabs>
        <w:autoSpaceDE w:val="0"/>
        <w:autoSpaceDN w:val="0"/>
        <w:ind w:left="567" w:hanging="567"/>
        <w:jc w:val="center"/>
        <w:textAlignment w:val="bottom"/>
        <w:rPr>
          <w:rFonts w:eastAsia="黑体"/>
          <w:color w:val="auto"/>
          <w:sz w:val="52"/>
          <w:highlight w:val="none"/>
        </w:rPr>
      </w:pPr>
      <w:r>
        <w:rPr>
          <w:rFonts w:hint="eastAsia" w:eastAsia="黑体"/>
          <w:color w:val="auto"/>
          <w:sz w:val="52"/>
          <w:highlight w:val="none"/>
        </w:rPr>
        <w:t>第一部分</w:t>
      </w:r>
    </w:p>
    <w:p>
      <w:pPr>
        <w:widowControl/>
        <w:tabs>
          <w:tab w:val="left" w:pos="567"/>
        </w:tabs>
        <w:autoSpaceDE w:val="0"/>
        <w:autoSpaceDN w:val="0"/>
        <w:ind w:left="567" w:hanging="567"/>
        <w:jc w:val="center"/>
        <w:textAlignment w:val="bottom"/>
        <w:rPr>
          <w:rFonts w:eastAsia="黑体"/>
          <w:color w:val="auto"/>
          <w:sz w:val="52"/>
          <w:highlight w:val="none"/>
        </w:rPr>
      </w:pPr>
    </w:p>
    <w:p>
      <w:pPr>
        <w:spacing w:line="312" w:lineRule="auto"/>
        <w:jc w:val="center"/>
        <w:rPr>
          <w:rFonts w:eastAsia="黑体"/>
          <w:color w:val="auto"/>
          <w:sz w:val="52"/>
          <w:highlight w:val="none"/>
        </w:rPr>
      </w:pPr>
      <w:r>
        <w:rPr>
          <w:rFonts w:hint="eastAsia" w:eastAsia="黑体"/>
          <w:color w:val="auto"/>
          <w:sz w:val="52"/>
          <w:highlight w:val="none"/>
        </w:rPr>
        <w:t>综合评审邀请函</w:t>
      </w:r>
    </w:p>
    <w:p>
      <w:pPr>
        <w:spacing w:line="312" w:lineRule="auto"/>
        <w:jc w:val="center"/>
        <w:outlineLvl w:val="0"/>
        <w:rPr>
          <w:b/>
          <w:color w:val="auto"/>
          <w:sz w:val="32"/>
          <w:szCs w:val="32"/>
          <w:highlight w:val="none"/>
        </w:rPr>
      </w:pPr>
      <w:r>
        <w:rPr>
          <w:rFonts w:eastAsia="黑体"/>
          <w:b/>
          <w:color w:val="auto"/>
          <w:sz w:val="52"/>
          <w:highlight w:val="none"/>
        </w:rPr>
        <w:br w:type="page"/>
      </w:r>
      <w:r>
        <w:rPr>
          <w:rFonts w:hint="eastAsia" w:ascii="黑体" w:hAnsi="黑体" w:eastAsia="黑体" w:cs="黑体"/>
          <w:b/>
          <w:color w:val="auto"/>
          <w:sz w:val="32"/>
          <w:szCs w:val="32"/>
          <w:highlight w:val="none"/>
        </w:rPr>
        <w:t>第一部分  综合评审邀请函</w:t>
      </w: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lang w:eastAsia="zh-CN"/>
        </w:rPr>
        <w:t>广东机场白云信息科技股份有限公司</w:t>
      </w:r>
      <w:r>
        <w:rPr>
          <w:rFonts w:hint="eastAsia" w:ascii="宋体"/>
          <w:color w:val="auto"/>
          <w:szCs w:val="21"/>
          <w:highlight w:val="none"/>
        </w:rPr>
        <w:t>（以下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就旅客查询终端</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旅客查询终端</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w:t>
      </w:r>
    </w:p>
    <w:p>
      <w:pPr>
        <w:numPr>
          <w:ilvl w:val="-1"/>
          <w:numId w:val="0"/>
        </w:numPr>
        <w:tabs>
          <w:tab w:val="left" w:pos="540"/>
        </w:tabs>
        <w:spacing w:line="360" w:lineRule="auto"/>
        <w:rPr>
          <w:rFonts w:hint="default"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2）</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i w:val="0"/>
          <w:caps w:val="0"/>
          <w:color w:val="333333"/>
          <w:spacing w:val="0"/>
          <w:sz w:val="21"/>
          <w:szCs w:val="21"/>
          <w:shd w:val="clear" w:fill="FFFFFF"/>
        </w:rPr>
        <w:t>20230728-01530</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供货</w:t>
      </w:r>
      <w:r>
        <w:rPr>
          <w:rFonts w:hint="eastAsia" w:ascii="宋体" w:hAnsi="Times New Roman"/>
          <w:color w:val="auto"/>
          <w:szCs w:val="21"/>
          <w:highlight w:val="none"/>
          <w:lang w:val="en-US"/>
        </w:rPr>
        <w:t>期</w:t>
      </w:r>
      <w:r>
        <w:rPr>
          <w:rFonts w:hint="eastAsia" w:hAnsi="宋体"/>
          <w:color w:val="auto"/>
          <w:szCs w:val="21"/>
          <w:highlight w:val="none"/>
          <w:lang w:val="zh-CN"/>
        </w:rPr>
        <w:t>：</w:t>
      </w:r>
      <w:r>
        <w:rPr>
          <w:rFonts w:hint="eastAsia" w:hAnsi="宋体"/>
          <w:color w:val="auto"/>
          <w:szCs w:val="21"/>
          <w:highlight w:val="none"/>
          <w:lang w:val="en-US" w:eastAsia="zh-CN"/>
        </w:rPr>
        <w:t>合同签订后40日历日内</w:t>
      </w:r>
      <w:r>
        <w:rPr>
          <w:rFonts w:hint="eastAsia" w:ascii="宋体" w:cs="Times New Roman"/>
          <w:color w:val="auto"/>
          <w:szCs w:val="21"/>
          <w:highlight w:val="none"/>
          <w:lang w:val="en-US" w:eastAsia="zh-CN"/>
        </w:rPr>
        <w:t>。</w:t>
      </w:r>
    </w:p>
    <w:p>
      <w:pPr>
        <w:numPr>
          <w:ilvl w:val="-1"/>
          <w:numId w:val="0"/>
        </w:numPr>
        <w:tabs>
          <w:tab w:val="left" w:pos="540"/>
        </w:tabs>
        <w:spacing w:line="360" w:lineRule="auto"/>
        <w:rPr>
          <w:rFonts w:hint="eastAsia" w:ascii="宋体" w:hAnsi="宋体" w:cs="宋体"/>
          <w:szCs w:val="21"/>
          <w:lang w:eastAsia="zh-CN"/>
        </w:rPr>
      </w:pP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hAnsi="宋体" w:eastAsia="宋体" w:cs="宋体"/>
          <w:b/>
          <w:bCs/>
          <w:i w:val="0"/>
          <w:color w:val="000000"/>
          <w:kern w:val="0"/>
          <w:sz w:val="24"/>
          <w:szCs w:val="24"/>
          <w:u w:val="none"/>
          <w:lang w:val="en-US" w:eastAsia="zh-CN" w:bidi="ar"/>
        </w:rPr>
        <w:t>旅客查询终端14台。</w:t>
      </w:r>
      <w:r>
        <w:rPr>
          <w:rFonts w:hint="eastAsia" w:ascii="宋体" w:hAnsi="宋体" w:eastAsia="宋体" w:cs="宋体"/>
          <w:szCs w:val="21"/>
        </w:rPr>
        <w:t>详见第二部分报价人须知</w:t>
      </w:r>
      <w:r>
        <w:rPr>
          <w:rFonts w:hint="eastAsia" w:ascii="宋体" w:hAnsi="宋体" w:cs="宋体"/>
          <w:szCs w:val="21"/>
          <w:lang w:eastAsia="zh-CN"/>
        </w:rPr>
        <w:t>。</w:t>
      </w:r>
    </w:p>
    <w:tbl>
      <w:tblPr>
        <w:tblStyle w:val="5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7"/>
        <w:gridCol w:w="1261"/>
        <w:gridCol w:w="768"/>
        <w:gridCol w:w="4270"/>
        <w:gridCol w:w="610"/>
        <w:gridCol w:w="545"/>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序号</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物料名称</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243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旅客查询终端</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243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1、电子引导屏终端设计要求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2、电子引导屏设备主体要求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3、触摸屏</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4、工业液晶设备参数要求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5、内置工控机参数要求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6、多功能证件阅读器参数要求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7、脸识别摄像头参数要求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8、登机牌阅读器参数要求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9、阵列麦克风及喇叭</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10、设计外观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11、供货及质保（详见附件清单）</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航行家</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bl>
    <w:p>
      <w:pPr>
        <w:pStyle w:val="2"/>
        <w:rPr>
          <w:rFonts w:hint="eastAsia"/>
          <w:lang w:eastAsia="zh-CN"/>
        </w:rPr>
      </w:pP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w:t>
      </w:r>
      <w:r>
        <w:rPr>
          <w:rFonts w:hint="eastAsia" w:ascii="宋体" w:hAnsi="宋体" w:eastAsia="宋体" w:cs="宋体"/>
          <w:b/>
          <w:bCs/>
          <w:color w:val="auto"/>
          <w:sz w:val="21"/>
          <w:szCs w:val="21"/>
          <w:highlight w:val="none"/>
          <w:lang w:val="en-US" w:eastAsia="zh-CN"/>
        </w:rPr>
        <w:t>73.752万</w:t>
      </w:r>
      <w:r>
        <w:rPr>
          <w:rFonts w:hint="eastAsia" w:ascii="宋体" w:hAnsi="宋体" w:eastAsia="宋体" w:cs="宋体"/>
          <w:b/>
          <w:bCs/>
          <w:color w:val="auto"/>
          <w:sz w:val="21"/>
          <w:szCs w:val="21"/>
          <w:highlight w:val="none"/>
        </w:rPr>
        <w:t>元</w:t>
      </w:r>
      <w:r>
        <w:rPr>
          <w:rFonts w:hint="eastAsia" w:ascii="宋体" w:cs="Times New Roman"/>
          <w:b/>
          <w:bCs/>
          <w:color w:val="auto"/>
          <w:szCs w:val="21"/>
          <w:highlight w:val="none"/>
          <w:lang w:val="en-US" w:eastAsia="zh-CN"/>
        </w:rPr>
        <w:t>。</w:t>
      </w:r>
    </w:p>
    <w:p>
      <w:pPr>
        <w:spacing w:line="312" w:lineRule="auto"/>
        <w:ind w:firstLine="420" w:firstLineChars="200"/>
        <w:outlineLvl w:val="0"/>
        <w:rPr>
          <w:rFonts w:ascii="宋体"/>
          <w:color w:val="auto"/>
          <w:szCs w:val="21"/>
          <w:highlight w:val="none"/>
        </w:rPr>
      </w:pPr>
      <w:bookmarkStart w:id="0" w:name="_Hlk14636694"/>
      <w:r>
        <w:rPr>
          <w:rFonts w:hint="eastAsia" w:ascii="宋体" w:hAnsi="宋体" w:cs="宋体"/>
          <w:kern w:val="2"/>
          <w:sz w:val="21"/>
          <w:szCs w:val="21"/>
          <w:lang w:val="en-US" w:eastAsia="zh-CN" w:bidi="ar-SA"/>
        </w:rPr>
        <w:t>报价</w:t>
      </w:r>
      <w:r>
        <w:rPr>
          <w:rFonts w:hint="eastAsia" w:ascii="宋体" w:hAnsi="宋体" w:eastAsia="宋体" w:cs="宋体"/>
          <w:color w:val="auto"/>
          <w:sz w:val="21"/>
          <w:szCs w:val="21"/>
          <w:highlight w:val="none"/>
          <w:u w:val="none"/>
          <w:lang w:eastAsia="zh-CN"/>
        </w:rPr>
        <w:t>包括了</w:t>
      </w:r>
      <w:r>
        <w:rPr>
          <w:rFonts w:hint="eastAsia" w:ascii="宋体" w:hAnsi="宋体" w:eastAsia="宋体" w:cs="宋体"/>
          <w:color w:val="auto"/>
          <w:sz w:val="21"/>
          <w:szCs w:val="21"/>
          <w:highlight w:val="none"/>
          <w:u w:val="none"/>
          <w:lang w:val="en-US" w:eastAsia="zh-CN"/>
        </w:rPr>
        <w:t>标的物的</w:t>
      </w:r>
      <w:r>
        <w:rPr>
          <w:rFonts w:hint="eastAsia" w:ascii="宋体" w:hAnsi="宋体" w:eastAsia="宋体" w:cs="宋体"/>
          <w:color w:val="auto"/>
          <w:sz w:val="21"/>
          <w:szCs w:val="21"/>
          <w:highlight w:val="none"/>
          <w:u w:val="none"/>
          <w:lang w:eastAsia="zh-CN"/>
        </w:rPr>
        <w:t>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lang w:eastAsia="zh-CN"/>
        </w:rPr>
        <w:t>和货物再支付任何费用。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8</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 xml:space="preserve">8 </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14：00</w:t>
      </w:r>
      <w:r>
        <w:rPr>
          <w:rFonts w:ascii="宋体" w:hAnsi="Times New Roman" w:eastAsia="宋体" w:cs="Times New Roman"/>
          <w:color w:val="auto"/>
          <w:kern w:val="2"/>
          <w:szCs w:val="21"/>
          <w:highlight w:val="none"/>
        </w:rPr>
        <w:t>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8</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14</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14：00</w:t>
      </w:r>
      <w:r>
        <w:rPr>
          <w:rFonts w:ascii="宋体" w:hAnsi="Times New Roman" w:eastAsia="宋体" w:cs="Times New Roman"/>
          <w:color w:val="auto"/>
          <w:kern w:val="2"/>
          <w:szCs w:val="21"/>
          <w:highlight w:val="none"/>
        </w:rPr>
        <w:t>（节假日除外）的（北京时间），由供应商代表将登记表（详见附件1）及法定代表人证明书、法定代表人授权委托书</w:t>
      </w:r>
      <w:r>
        <w:rPr>
          <w:rFonts w:hint="eastAsia" w:ascii="宋体" w:cs="Times New Roman"/>
          <w:color w:val="auto"/>
          <w:kern w:val="2"/>
          <w:szCs w:val="21"/>
          <w:highlight w:val="none"/>
          <w:lang w:eastAsia="zh-CN"/>
        </w:rPr>
        <w:t>（</w:t>
      </w:r>
      <w:r>
        <w:rPr>
          <w:rFonts w:hint="eastAsia" w:ascii="宋体" w:cs="Times New Roman"/>
          <w:color w:val="auto"/>
          <w:kern w:val="2"/>
          <w:szCs w:val="21"/>
          <w:highlight w:val="none"/>
          <w:lang w:val="en-US" w:eastAsia="zh-CN"/>
        </w:rPr>
        <w:t>附件2</w:t>
      </w:r>
      <w:r>
        <w:rPr>
          <w:rFonts w:hint="eastAsia" w:ascii="宋体" w:cs="Times New Roman"/>
          <w:color w:val="auto"/>
          <w:kern w:val="2"/>
          <w:szCs w:val="21"/>
          <w:highlight w:val="none"/>
          <w:lang w:eastAsia="zh-CN"/>
        </w:rPr>
        <w:t>）</w:t>
      </w:r>
      <w:r>
        <w:rPr>
          <w:rFonts w:ascii="宋体" w:hAnsi="Times New Roman" w:eastAsia="宋体" w:cs="Times New Roman"/>
          <w:color w:val="auto"/>
          <w:kern w:val="2"/>
          <w:szCs w:val="21"/>
          <w:highlight w:val="none"/>
        </w:rPr>
        <w:t>（非法定代表人登记登记时提供）的电子版文件以邮件形式发送至采购人邮箱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7"/>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numPr>
          <w:ilvl w:val="1"/>
          <w:numId w:val="7"/>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7"/>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16</w:t>
      </w:r>
      <w:bookmarkStart w:id="37" w:name="_GoBack"/>
      <w:bookmarkEnd w:id="37"/>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7"/>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7"/>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w:t>
      </w:r>
      <w:r>
        <w:rPr>
          <w:rFonts w:hint="eastAsia"/>
          <w:color w:val="auto"/>
          <w:szCs w:val="21"/>
          <w:highlight w:val="none"/>
          <w:lang w:val="en-US" w:eastAsia="zh-CN"/>
        </w:rPr>
        <w:t>5</w:t>
      </w:r>
      <w:r>
        <w:rPr>
          <w:rFonts w:hint="eastAsia"/>
          <w:color w:val="auto"/>
          <w:szCs w:val="21"/>
          <w:highlight w:val="none"/>
        </w:rPr>
        <w:t>日</w:t>
      </w:r>
      <w:r>
        <w:rPr>
          <w:rFonts w:hint="eastAsia"/>
          <w:color w:val="auto"/>
          <w:szCs w:val="21"/>
          <w:highlight w:val="none"/>
          <w:lang w:val="en-US" w:eastAsia="zh-CN"/>
        </w:rPr>
        <w:t>后</w:t>
      </w:r>
      <w:r>
        <w:rPr>
          <w:rFonts w:hint="eastAsia"/>
          <w:color w:val="auto"/>
          <w:szCs w:val="21"/>
          <w:highlight w:val="none"/>
        </w:rPr>
        <w:t>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广东机场白云信息科技股份有限公司纪检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广东机场白云信息科技股份有限公司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b/>
          <w:color w:val="auto"/>
          <w:sz w:val="44"/>
          <w:highlight w:val="none"/>
        </w:rPr>
      </w:pPr>
      <w:r>
        <w:rPr>
          <w:rFonts w:hint="eastAsia" w:eastAsia="黑体"/>
          <w:b/>
          <w:color w:val="auto"/>
          <w:sz w:val="52"/>
          <w:highlight w:val="none"/>
        </w:rPr>
        <w:t>第二部分</w:t>
      </w: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bookmarkStart w:id="2" w:name="_Hlk36998736"/>
      <w:r>
        <w:rPr>
          <w:rFonts w:hint="eastAsia" w:eastAsia="黑体"/>
          <w:b/>
          <w:color w:val="auto"/>
          <w:sz w:val="52"/>
          <w:highlight w:val="none"/>
        </w:rPr>
        <w:t>供应商须知</w:t>
      </w:r>
    </w:p>
    <w:bookmarkEnd w:id="2"/>
    <w:p>
      <w:pPr>
        <w:rPr>
          <w:rFonts w:eastAsia="黑体"/>
          <w:color w:val="auto"/>
          <w:highlight w:val="none"/>
        </w:rPr>
      </w:pPr>
    </w:p>
    <w:p>
      <w:pPr>
        <w:rPr>
          <w:rFonts w:eastAsia="黑体"/>
          <w:color w:val="auto"/>
          <w:highlight w:val="none"/>
        </w:rPr>
      </w:pPr>
    </w:p>
    <w:p>
      <w:pPr>
        <w:spacing w:line="312" w:lineRule="auto"/>
        <w:outlineLvl w:val="0"/>
        <w:rPr>
          <w:b/>
          <w:color w:val="auto"/>
          <w:sz w:val="32"/>
          <w:szCs w:val="32"/>
          <w:highlight w:val="none"/>
        </w:rPr>
      </w:pPr>
      <w:r>
        <w:rPr>
          <w:rFonts w:eastAsia="黑体"/>
          <w:color w:val="auto"/>
          <w:highlight w:val="none"/>
        </w:rPr>
        <w:br w:type="page"/>
      </w:r>
      <w:bookmarkStart w:id="3" w:name="_Toc22149442"/>
    </w:p>
    <w:p>
      <w:pPr>
        <w:numPr>
          <w:ilvl w:val="0"/>
          <w:numId w:val="8"/>
        </w:numPr>
        <w:spacing w:line="312" w:lineRule="auto"/>
        <w:jc w:val="center"/>
        <w:outlineLvl w:val="0"/>
        <w:rPr>
          <w:b/>
          <w:color w:val="auto"/>
          <w:sz w:val="32"/>
          <w:szCs w:val="32"/>
          <w:highlight w:val="none"/>
        </w:rPr>
      </w:pPr>
      <w:r>
        <w:rPr>
          <w:rFonts w:hint="eastAsia"/>
          <w:b/>
          <w:color w:val="auto"/>
          <w:sz w:val="32"/>
          <w:szCs w:val="32"/>
          <w:highlight w:val="none"/>
        </w:rPr>
        <w:t>报价人须知</w:t>
      </w:r>
    </w:p>
    <w:p>
      <w:pPr>
        <w:pStyle w:val="2"/>
        <w:ind w:left="0" w:leftChars="0"/>
        <w:rPr>
          <w:color w:val="auto"/>
          <w:highlight w:val="none"/>
        </w:rPr>
      </w:pPr>
    </w:p>
    <w:p>
      <w:pPr>
        <w:pStyle w:val="40"/>
        <w:snapToGrid w:val="0"/>
        <w:spacing w:line="360" w:lineRule="auto"/>
        <w:ind w:left="0"/>
        <w:jc w:val="both"/>
        <w:rPr>
          <w:rFonts w:ascii="黑体" w:hAnsi="黑体" w:eastAsia="黑体" w:cs="黑体"/>
          <w:bCs/>
          <w:smallCaps w:val="0"/>
          <w:color w:val="auto"/>
          <w:highlight w:val="none"/>
        </w:rPr>
      </w:pPr>
      <w:bookmarkStart w:id="4" w:name="_Toc22149441"/>
    </w:p>
    <w:p>
      <w:pPr>
        <w:pStyle w:val="40"/>
        <w:snapToGrid w:val="0"/>
        <w:spacing w:line="360" w:lineRule="auto"/>
        <w:ind w:left="0"/>
        <w:jc w:val="both"/>
        <w:rPr>
          <w:rFonts w:cs="宋体"/>
          <w:bCs/>
          <w:smallCaps w:val="0"/>
          <w:color w:val="auto"/>
          <w:highlight w:val="none"/>
        </w:rPr>
      </w:pPr>
      <w:r>
        <w:rPr>
          <w:rFonts w:hint="eastAsia" w:cs="宋体"/>
          <w:bCs/>
          <w:smallCaps w:val="0"/>
          <w:color w:val="auto"/>
          <w:highlight w:val="none"/>
        </w:rPr>
        <w:t>一、项目说明</w:t>
      </w:r>
      <w:bookmarkEnd w:id="4"/>
    </w:p>
    <w:p>
      <w:pPr>
        <w:pStyle w:val="6"/>
        <w:spacing w:after="120" w:line="400" w:lineRule="exact"/>
        <w:ind w:firstLineChars="200"/>
        <w:rPr>
          <w:color w:val="auto"/>
          <w:highlight w:val="none"/>
        </w:rPr>
      </w:pPr>
      <w:r>
        <w:rPr>
          <w:rFonts w:hint="eastAsia"/>
          <w:color w:val="auto"/>
          <w:highlight w:val="none"/>
          <w:lang w:eastAsia="zh-CN"/>
        </w:rPr>
        <w:t>广东机场白云信息科技股份有限公司</w:t>
      </w:r>
      <w:r>
        <w:rPr>
          <w:rFonts w:hint="eastAsia"/>
          <w:color w:val="auto"/>
          <w:highlight w:val="none"/>
        </w:rPr>
        <w:t>（以下简称“采购人”）拟就</w:t>
      </w:r>
      <w:r>
        <w:rPr>
          <w:rFonts w:hint="eastAsia" w:ascii="宋体" w:hAnsi="Times New Roman" w:cs="Times New Roman"/>
          <w:color w:val="auto"/>
          <w:szCs w:val="21"/>
          <w:highlight w:val="none"/>
        </w:rPr>
        <w:t>旅客查询终端</w:t>
      </w:r>
      <w:r>
        <w:rPr>
          <w:rFonts w:hint="eastAsia" w:ascii="宋体" w:cs="Times New Roman"/>
          <w:color w:val="auto"/>
          <w:szCs w:val="21"/>
          <w:highlight w:val="none"/>
          <w:lang w:val="en-US" w:eastAsia="zh-CN"/>
        </w:rPr>
        <w:t>采购</w:t>
      </w:r>
      <w:r>
        <w:rPr>
          <w:rFonts w:hint="eastAsia"/>
          <w:color w:val="auto"/>
          <w:highlight w:val="none"/>
          <w:lang w:val="en-US" w:eastAsia="zh-CN"/>
        </w:rPr>
        <w:t>项目</w:t>
      </w:r>
      <w:r>
        <w:rPr>
          <w:rFonts w:hint="eastAsia" w:ascii="宋体" w:hAnsi="宋体" w:cs="宋体"/>
          <w:color w:val="auto"/>
          <w:szCs w:val="21"/>
          <w:highlight w:val="none"/>
        </w:rPr>
        <w:t>进行采购</w:t>
      </w:r>
      <w:r>
        <w:rPr>
          <w:rFonts w:hint="eastAsia"/>
          <w:color w:val="auto"/>
          <w:highlight w:val="none"/>
        </w:rPr>
        <w:t>，本项目采用综合评审方式确定成交合作商，采购人组织综合评审工作。</w:t>
      </w:r>
    </w:p>
    <w:p>
      <w:pPr>
        <w:pStyle w:val="6"/>
        <w:numPr>
          <w:ilvl w:val="0"/>
          <w:numId w:val="9"/>
        </w:numPr>
        <w:spacing w:after="120" w:line="400" w:lineRule="exact"/>
        <w:ind w:firstLine="422" w:firstLineChars="200"/>
        <w:rPr>
          <w:b/>
          <w:bCs/>
          <w:color w:val="auto"/>
          <w:highlight w:val="none"/>
        </w:rPr>
      </w:pPr>
      <w:r>
        <w:rPr>
          <w:rFonts w:hint="eastAsia"/>
          <w:b/>
          <w:bCs/>
          <w:color w:val="auto"/>
          <w:highlight w:val="none"/>
        </w:rPr>
        <w:t xml:space="preserve"> 采购范围及限价</w:t>
      </w:r>
    </w:p>
    <w:p>
      <w:pPr>
        <w:widowControl/>
        <w:spacing w:line="360" w:lineRule="auto"/>
        <w:ind w:firstLine="422" w:firstLineChars="200"/>
        <w:rPr>
          <w:rFonts w:hint="default" w:ascii="宋体" w:hAnsi="宋体" w:eastAsia="宋体" w:cs="宋体"/>
          <w:color w:val="333333"/>
          <w:kern w:val="0"/>
          <w:sz w:val="21"/>
          <w:szCs w:val="21"/>
          <w:lang w:val="en-US"/>
        </w:rPr>
      </w:pPr>
      <w:r>
        <w:rPr>
          <w:rFonts w:hint="eastAsia"/>
          <w:b/>
          <w:bCs/>
          <w:color w:val="auto"/>
          <w:szCs w:val="21"/>
          <w:highlight w:val="none"/>
          <w:lang w:val="en-US" w:eastAsia="zh-CN"/>
        </w:rPr>
        <w:t>1.1采购范围</w:t>
      </w:r>
      <w:r>
        <w:rPr>
          <w:rFonts w:hint="eastAsia"/>
          <w:color w:val="auto"/>
          <w:szCs w:val="21"/>
          <w:highlight w:val="none"/>
          <w:lang w:val="en-US" w:eastAsia="zh-CN"/>
        </w:rPr>
        <w:t>：</w:t>
      </w:r>
      <w:r>
        <w:rPr>
          <w:rFonts w:hint="eastAsia" w:ascii="宋体" w:hAnsi="宋体" w:eastAsia="宋体" w:cs="宋体"/>
          <w:b/>
          <w:bCs/>
          <w:i w:val="0"/>
          <w:color w:val="000000"/>
          <w:kern w:val="0"/>
          <w:sz w:val="24"/>
          <w:szCs w:val="24"/>
          <w:u w:val="none"/>
          <w:lang w:val="en-US" w:eastAsia="zh-CN" w:bidi="ar"/>
        </w:rPr>
        <w:t>旅客查询终端14台</w:t>
      </w:r>
      <w:r>
        <w:rPr>
          <w:rFonts w:hint="eastAsia" w:ascii="宋体" w:hAnsi="宋体" w:eastAsia="宋体" w:cs="宋体"/>
          <w:i w:val="0"/>
          <w:color w:val="000000"/>
          <w:kern w:val="0"/>
          <w:sz w:val="22"/>
          <w:szCs w:val="22"/>
          <w:u w:val="none"/>
          <w:lang w:val="en-US" w:eastAsia="zh-CN" w:bidi="ar"/>
        </w:rPr>
        <w:t>，具体参数见下表：</w:t>
      </w:r>
    </w:p>
    <w:tbl>
      <w:tblPr>
        <w:tblStyle w:val="5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700"/>
        <w:gridCol w:w="857"/>
        <w:gridCol w:w="6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6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设备名称</w:t>
            </w:r>
          </w:p>
        </w:tc>
        <w:tc>
          <w:tcPr>
            <w:tcW w:w="4237"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trPr>
        <w:tc>
          <w:tcPr>
            <w:tcW w:w="367" w:type="pct"/>
            <w:vMerge w:val="restart"/>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4"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旅客查询终端</w:t>
            </w: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电子引导屏终端设计要求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（一）按照广州白云国际机场航站区视觉识别系统要求，参照白云国际机场航站区VI形象色彩标准颜色，设备钣金造型表面灰白色烤漆处理，流线造型，工艺精良；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二</w:t>
            </w:r>
            <w:r>
              <w:rPr>
                <w:rFonts w:hint="eastAsia" w:ascii="宋体" w:hAnsi="宋体" w:eastAsia="宋体" w:cs="宋体"/>
                <w:i w:val="0"/>
                <w:color w:val="000000"/>
                <w:kern w:val="0"/>
                <w:sz w:val="20"/>
                <w:szCs w:val="20"/>
                <w:u w:val="none"/>
                <w:lang w:val="en-US" w:eastAsia="zh-CN" w:bidi="ar"/>
              </w:rPr>
              <w:t>）根据现场客流动向以及人体工程学设计，特殊人群要求，现场主要采用横卧式设计方案。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三</w:t>
            </w:r>
            <w:r>
              <w:rPr>
                <w:rFonts w:hint="eastAsia" w:ascii="宋体" w:hAnsi="宋体" w:eastAsia="宋体" w:cs="宋体"/>
                <w:i w:val="0"/>
                <w:color w:val="000000"/>
                <w:kern w:val="0"/>
                <w:sz w:val="20"/>
                <w:szCs w:val="20"/>
                <w:u w:val="none"/>
                <w:lang w:val="en-US" w:eastAsia="zh-CN" w:bidi="ar"/>
              </w:rPr>
              <w:t>）显示、触控、PC系统、模块一体化设计；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）扩充性好：配置灵活，可扩充安装智能定位导航系统软件功能，并适配后续软件升级要求；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五</w:t>
            </w:r>
            <w:r>
              <w:rPr>
                <w:rFonts w:hint="eastAsia" w:ascii="宋体" w:hAnsi="宋体" w:eastAsia="宋体" w:cs="宋体"/>
                <w:i w:val="0"/>
                <w:color w:val="000000"/>
                <w:kern w:val="0"/>
                <w:sz w:val="20"/>
                <w:szCs w:val="20"/>
                <w:u w:val="none"/>
                <w:lang w:val="en-US" w:eastAsia="zh-CN" w:bidi="ar"/>
              </w:rPr>
              <w:t>）OneID平台支持：设备提供的人脸识别相机能够无缝支持OneID平台接入；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 xml:space="preserve">）安全性高：钣金结构，易于清洁保养，不容易形成垃圾温床。无锐利边缘，避免伤到旅客，耐磨防腐烤漆工艺，不易推倒、夹手脚，对小孩和残疾人士友好，整体防暴设计；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）性能稳定：先进的设计理念，严格的生产工艺，产品品质稳定可靠，故障率低；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）安装简便：通电一键开关机，免除现场安装调试。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九</w:t>
            </w:r>
            <w:r>
              <w:rPr>
                <w:rFonts w:hint="eastAsia" w:ascii="宋体" w:hAnsi="宋体" w:eastAsia="宋体" w:cs="宋体"/>
                <w:i w:val="0"/>
                <w:color w:val="000000"/>
                <w:kern w:val="0"/>
                <w:sz w:val="20"/>
                <w:szCs w:val="20"/>
                <w:u w:val="none"/>
                <w:lang w:val="en-US" w:eastAsia="zh-CN" w:bidi="ar"/>
              </w:rPr>
              <w:t>）屏幕具备防眩光、全贴合、高亮度等功能。防指纹处理工艺、耐用。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十</w:t>
            </w:r>
            <w:r>
              <w:rPr>
                <w:rFonts w:hint="eastAsia" w:ascii="宋体" w:hAnsi="宋体" w:eastAsia="宋体" w:cs="宋体"/>
                <w:i w:val="0"/>
                <w:color w:val="000000"/>
                <w:kern w:val="0"/>
                <w:sz w:val="20"/>
                <w:szCs w:val="20"/>
                <w:u w:val="none"/>
                <w:lang w:val="en-US" w:eastAsia="zh-CN" w:bidi="ar"/>
              </w:rPr>
              <w:t>）配置多功能阅读器、登机牌二维码扫描、阵列麦克风、立体声输出，具备定向拾音、降噪功能。主体为钣金、铝合金、杜邦可丽耐人造石及多功能灯带组成，曲面折弯标准及表面亮面处理高端定制制造工艺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2"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电子引导屏设备主体要求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（一）主体采用杜邦可丽耐人造石、铝合金材质，确保坚固美观，简洁流行。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（二）定制外壳 ：采用冷轧板制作，在高温高寒的环境下确保不会变形，机壳表面采用杜邦可丽耐人造石处理，防锈、防水、耐久抗腐蚀，内部设计合理，方便维护，内部布线采用塑料线槽、扎线扣，整齐规范。外接线，采用底部隐藏方式，整体无裸露线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设备监控管理平台系统技术要求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三</w:t>
            </w:r>
            <w:r>
              <w:rPr>
                <w:rFonts w:hint="eastAsia" w:ascii="宋体" w:hAnsi="宋体" w:eastAsia="宋体" w:cs="宋体"/>
                <w:i w:val="0"/>
                <w:color w:val="000000"/>
                <w:kern w:val="0"/>
                <w:sz w:val="20"/>
                <w:szCs w:val="20"/>
                <w:u w:val="none"/>
                <w:lang w:val="en-US" w:eastAsia="zh-CN" w:bidi="ar"/>
              </w:rPr>
              <w:t>）投标人提供所供设备监控管理平台，并提供相关SDK支持开发相关应用。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）平台系统系统响应时间：系统具有快速响应的特性，用户打开界面和提交事务的平均响应时间低于2s。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五</w:t>
            </w:r>
            <w:r>
              <w:rPr>
                <w:rFonts w:hint="eastAsia" w:ascii="宋体" w:hAnsi="宋体" w:eastAsia="宋体" w:cs="宋体"/>
                <w:i w:val="0"/>
                <w:color w:val="000000"/>
                <w:kern w:val="0"/>
                <w:sz w:val="20"/>
                <w:szCs w:val="20"/>
                <w:u w:val="none"/>
                <w:lang w:val="en-US" w:eastAsia="zh-CN" w:bidi="ar"/>
              </w:rPr>
              <w:t>）信息查询终端设备的监控和管理平台，对于所有现场主要设备可进行实时的在线状态监控、使用状态监控、模组故障监控预警和远程控制。方便现场维护人员、设备管理人员对设备情况进行远程监控和故障定位、解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）设备监控平台可单独进行部署，同时支持SDK接入方式进行二次开发与前端软件管理平台融合。以SDK方式进行二次开发时，定制功能开发部分由应用软件前端实施团队完成。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触摸屏</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（一）触摸屏方案：主流触摸方案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二</w:t>
            </w:r>
            <w:r>
              <w:rPr>
                <w:rFonts w:hint="eastAsia" w:ascii="宋体" w:hAnsi="宋体" w:eastAsia="宋体" w:cs="宋体"/>
                <w:i w:val="0"/>
                <w:color w:val="000000"/>
                <w:kern w:val="0"/>
                <w:sz w:val="20"/>
                <w:szCs w:val="20"/>
                <w:u w:val="none"/>
                <w:lang w:val="en-US" w:eastAsia="zh-CN" w:bidi="ar"/>
              </w:rPr>
              <w:t>）触摸类型：投射式电容触摸屏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三</w:t>
            </w:r>
            <w:r>
              <w:rPr>
                <w:rFonts w:hint="eastAsia" w:ascii="宋体" w:hAnsi="宋体" w:eastAsia="宋体" w:cs="宋体"/>
                <w:i w:val="0"/>
                <w:color w:val="000000"/>
                <w:kern w:val="0"/>
                <w:sz w:val="20"/>
                <w:szCs w:val="20"/>
                <w:u w:val="none"/>
                <w:lang w:val="en-US" w:eastAsia="zh-CN" w:bidi="ar"/>
              </w:rPr>
              <w:t>）响应时间： &lt; 3ms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）触摸点数：10点同时触摸,可实现放大缩小图片等多点触摸功能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五</w:t>
            </w:r>
            <w:r>
              <w:rPr>
                <w:rFonts w:hint="eastAsia" w:ascii="宋体" w:hAnsi="宋体" w:eastAsia="宋体" w:cs="宋体"/>
                <w:i w:val="0"/>
                <w:color w:val="000000"/>
                <w:kern w:val="0"/>
                <w:sz w:val="20"/>
                <w:szCs w:val="20"/>
                <w:u w:val="none"/>
                <w:lang w:val="en-US" w:eastAsia="zh-CN" w:bidi="ar"/>
              </w:rPr>
              <w:t>）触摸有效识别： &gt; 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）通信方式：全速USB 2.0,3.0，串口，IIC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）理论点击次数： 5000万次以上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）工作电流/电压 180Ma/DC+5V±5%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九</w:t>
            </w:r>
            <w:r>
              <w:rPr>
                <w:rFonts w:hint="eastAsia" w:ascii="宋体" w:hAnsi="宋体" w:eastAsia="宋体" w:cs="宋体"/>
                <w:i w:val="0"/>
                <w:color w:val="000000"/>
                <w:kern w:val="0"/>
                <w:sz w:val="20"/>
                <w:szCs w:val="20"/>
                <w:u w:val="none"/>
                <w:lang w:val="en-US" w:eastAsia="zh-CN" w:bidi="ar"/>
              </w:rPr>
              <w:t>）触摸数据输出方式：坐标输出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十</w:t>
            </w:r>
            <w:r>
              <w:rPr>
                <w:rFonts w:hint="eastAsia" w:ascii="宋体" w:hAnsi="宋体" w:eastAsia="宋体" w:cs="宋体"/>
                <w:i w:val="0"/>
                <w:color w:val="000000"/>
                <w:kern w:val="0"/>
                <w:sz w:val="20"/>
                <w:szCs w:val="20"/>
                <w:u w:val="none"/>
                <w:lang w:val="en-US" w:eastAsia="zh-CN" w:bidi="ar"/>
              </w:rPr>
              <w:t>）表面硬度：物理钢化莫氏7级防爆玻璃，防眩光玻璃标准设计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十一</w:t>
            </w:r>
            <w:r>
              <w:rPr>
                <w:rFonts w:hint="eastAsia" w:ascii="宋体" w:hAnsi="宋体" w:eastAsia="宋体" w:cs="宋体"/>
                <w:i w:val="0"/>
                <w:color w:val="000000"/>
                <w:kern w:val="0"/>
                <w:sz w:val="20"/>
                <w:szCs w:val="20"/>
                <w:u w:val="none"/>
                <w:lang w:val="en-US" w:eastAsia="zh-CN" w:bidi="ar"/>
              </w:rPr>
              <w:t>）操作系统兼容性： XP/Windows7/ Windows 10/CE/Mac/Android/Linux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工业液晶设备参数要求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（一）屏幕尺寸：55英寸4K工业级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（二）显示模式：16：9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（三）液晶类型：TFT-LCD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（四）面板技术：IPS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（五）自然分辨率：3840*2160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（六）显示色彩：10.7亿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（七）点距（mm）：0.63*0.63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（八）亮度（nits）：500cd/m²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（九）静态对比度：1,100:1     动态对比度：1,000,000:1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（十）视角（上/下/左/右）：178°/178°/178°/178°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（十一）响应时间：8ms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（十二）显示屏防护：全钢化高防爆玻璃，防水防尘防爆设计，防眩光玻璃标准设计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（十三）平均故障间隔时间（MTBF）：50,000小时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内置工控机参数要求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（一）CPU：7代以上I7 7500U 双核四线程,2.7GHz，睿频3.5G，支持人脸算法，经测试，流畅运行。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二</w:t>
            </w:r>
            <w:r>
              <w:rPr>
                <w:rFonts w:hint="eastAsia" w:ascii="宋体" w:hAnsi="宋体" w:eastAsia="宋体" w:cs="宋体"/>
                <w:i w:val="0"/>
                <w:color w:val="000000"/>
                <w:kern w:val="0"/>
                <w:sz w:val="20"/>
                <w:szCs w:val="20"/>
                <w:u w:val="none"/>
                <w:lang w:val="en-US" w:eastAsia="zh-CN" w:bidi="ar"/>
              </w:rPr>
              <w:t>）内存：2 *DDR4 SODIMM 260 Socket，DIMM最大支持DDR4 2133MHz 8G ，支持双通道，支持内存加密。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三</w:t>
            </w:r>
            <w:r>
              <w:rPr>
                <w:rFonts w:hint="eastAsia" w:ascii="宋体" w:hAnsi="宋体" w:eastAsia="宋体" w:cs="宋体"/>
                <w:i w:val="0"/>
                <w:color w:val="000000"/>
                <w:kern w:val="0"/>
                <w:sz w:val="20"/>
                <w:szCs w:val="20"/>
                <w:u w:val="none"/>
                <w:lang w:val="en-US" w:eastAsia="zh-CN" w:bidi="ar"/>
              </w:rPr>
              <w:t>）存储：M.2接口 SSD，容量256GB;支持NVMe Flash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）显示接口：最大支持3个端口同时显示输出 支持3*4K@60Hz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五</w:t>
            </w:r>
            <w:r>
              <w:rPr>
                <w:rFonts w:hint="eastAsia" w:ascii="宋体" w:hAnsi="宋体" w:eastAsia="宋体" w:cs="宋体"/>
                <w:i w:val="0"/>
                <w:color w:val="000000"/>
                <w:kern w:val="0"/>
                <w:sz w:val="20"/>
                <w:szCs w:val="20"/>
                <w:u w:val="none"/>
                <w:lang w:val="en-US" w:eastAsia="zh-CN" w:bidi="ar"/>
              </w:rPr>
              <w:t>）输出端口：板载3个DisplayPort™ 1.2数字输出端口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）显卡：独立显卡GT1030 2G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）网络接口：千兆RJ45网卡，Realtek RTL8111EPH-CG，支持DASH带外远程管理功能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外部设备接口： 2个USB接口（3.0），4个USB接口（2.0）， 1 个串口；2 个 PS/2（键盘和鼠标）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九</w:t>
            </w:r>
            <w:r>
              <w:rPr>
                <w:rFonts w:hint="eastAsia" w:ascii="宋体" w:hAnsi="宋体" w:eastAsia="宋体" w:cs="宋体"/>
                <w:i w:val="0"/>
                <w:color w:val="000000"/>
                <w:kern w:val="0"/>
                <w:sz w:val="20"/>
                <w:szCs w:val="20"/>
                <w:u w:val="none"/>
                <w:lang w:val="en-US" w:eastAsia="zh-CN" w:bidi="ar"/>
              </w:rPr>
              <w:t>）运行功耗：低功耗≤50W，整机无风扇，无线缆，机箱壳体散热，在通风恶劣的环境可正常工作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十</w:t>
            </w:r>
            <w:r>
              <w:rPr>
                <w:rFonts w:hint="eastAsia" w:ascii="宋体" w:hAnsi="宋体" w:eastAsia="宋体" w:cs="宋体"/>
                <w:i w:val="0"/>
                <w:color w:val="000000"/>
                <w:kern w:val="0"/>
                <w:sz w:val="20"/>
                <w:szCs w:val="20"/>
                <w:u w:val="none"/>
                <w:lang w:val="en-US" w:eastAsia="zh-CN" w:bidi="ar"/>
              </w:rPr>
              <w:t>）远程唤醒：支持远程网络唤醒，硬件工作状态监控等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十一</w:t>
            </w:r>
            <w:r>
              <w:rPr>
                <w:rFonts w:hint="eastAsia" w:ascii="宋体" w:hAnsi="宋体" w:eastAsia="宋体" w:cs="宋体"/>
                <w:i w:val="0"/>
                <w:color w:val="000000"/>
                <w:kern w:val="0"/>
                <w:sz w:val="20"/>
                <w:szCs w:val="20"/>
                <w:u w:val="none"/>
                <w:lang w:val="en-US" w:eastAsia="zh-CN" w:bidi="ar"/>
              </w:rPr>
              <w:t>）操作系统：正版WIN10系统，64位；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（十二）</w:t>
            </w:r>
            <w:r>
              <w:rPr>
                <w:rFonts w:hint="eastAsia" w:ascii="宋体" w:hAnsi="宋体" w:eastAsia="宋体" w:cs="宋体"/>
                <w:i w:val="0"/>
                <w:color w:val="000000"/>
                <w:kern w:val="0"/>
                <w:sz w:val="20"/>
                <w:szCs w:val="20"/>
                <w:u w:val="none"/>
                <w:lang w:val="en-US" w:eastAsia="zh-CN" w:bidi="ar"/>
              </w:rPr>
              <w:t>平均故障间隔时间（MTBF）：大于50000小时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（十三）</w:t>
            </w:r>
            <w:r>
              <w:rPr>
                <w:rFonts w:hint="eastAsia" w:ascii="宋体" w:hAnsi="宋体" w:eastAsia="宋体" w:cs="宋体"/>
                <w:i w:val="0"/>
                <w:color w:val="000000"/>
                <w:kern w:val="0"/>
                <w:sz w:val="20"/>
                <w:szCs w:val="20"/>
                <w:u w:val="none"/>
                <w:lang w:val="en-US" w:eastAsia="zh-CN" w:bidi="ar"/>
              </w:rPr>
              <w:t>产品认证：国家强制3C认证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7"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多功能证件阅读器参数要求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多功能证件阅读器用于读取识别用户身份证信息，支持身份证、驾照、护照、港澳通行证、台胞证、行驶证等多种身份证件读取识别。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（一）支持证件类型：支持身份证、驾照、护照、港澳通行证、台胞证、行驶证等多种身份证件图像采集与信息识别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（二）彩照支持：可对证件全版资料页进行24位清晰彩色拍照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（三）OCR支持：支持OCR 光学字符识别和数据提取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（四）条码支持：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支持识读1D 条形码，Code 128, Code 39，EAN-13 Interleaved 2 of 5、Industrial 2 of 5、Code 39等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支持识读2D条码，PDF 417，QR，DataMatrix™ 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（五）接口方式：支持（包括但不限于）PC/SC，兼容USB2.0、USB3.0接口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（六）最大读卡距离：大于5CM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（七）读卡时间：小于1秒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（八）调制方式：ASK和BPSK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（九）冗余校验：校验循环冗余校验（CRC）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（十）通讯速率：最高支持848 Kbps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（十一）工作相对湿度：20％到80％（相对湿度下无凝结）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（十二）支持非接触式RFID阅读器 互操作性：ICAO DOC 9303， LDS1.7，ISO18013（驾驶执照）， PA，AA，BAC，EAC V1.11（CA， TA），EAC v2.0x（PACE v2，ICAO SAC，CA v2，TA v2） 工作频率：13.56 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脸识别摄像头参数要求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（一）采用双目宽动态摄像头，可抓拍1.2米~2米范围内人员面部图像，支持活体检测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（二）宽动态范围≥120dB，自动补偿，具有强光抑制功能，角度可调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（三）采集图像像素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（四）摄像头支持外部触发抓拍和自动捕捉；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（五）摄像头传感器采用逐行扫描COMS，200万像素，带红外；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（六）高清摄像头作为查询机外接设备连接到查询机工控机上，抓拍旅客人脸肖像，与查询机设备整体安装，嵌入式安装；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（七）-30℃~+70℃宽温度范围稳定工作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（八）专业USB-IF WHQL ROHS CE（4KV/8KV）认证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（九）USB2.0高速传输/ USB3.0兼容USB2.0设备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（十）UVC架构，兼容Windows XP/7/8.1/10/vista/seven/Mac linux2.6.2(include UVC )多种系统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（十一）13万小时无故障寿命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（十二）锌镁合金外壳高强度碰撞防护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（十三）集成前端人脸抓拍并接入白云机场OneID平台，提供支持Windows或其他系统SDK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（十四）包含提供云从人脸识别算法授权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登机牌阅读器参数要求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登机牌阅读器用于读取登机牌条形码或二维码信息。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（一）接口支持：支持USB（标准）； RS-232；TTL；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二</w:t>
            </w:r>
            <w:r>
              <w:rPr>
                <w:rFonts w:hint="eastAsia" w:ascii="宋体" w:hAnsi="宋体" w:eastAsia="宋体" w:cs="宋体"/>
                <w:i w:val="0"/>
                <w:color w:val="000000"/>
                <w:kern w:val="0"/>
                <w:sz w:val="20"/>
                <w:szCs w:val="20"/>
                <w:u w:val="none"/>
                <w:lang w:val="en-US" w:eastAsia="zh-CN" w:bidi="ar"/>
              </w:rPr>
              <w:t>）读取速度：小于100ms/次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三</w:t>
            </w:r>
            <w:r>
              <w:rPr>
                <w:rFonts w:hint="eastAsia" w:ascii="宋体" w:hAnsi="宋体" w:eastAsia="宋体" w:cs="宋体"/>
                <w:i w:val="0"/>
                <w:color w:val="000000"/>
                <w:kern w:val="0"/>
                <w:sz w:val="20"/>
                <w:szCs w:val="20"/>
                <w:u w:val="none"/>
                <w:lang w:val="en-US" w:eastAsia="zh-CN" w:bidi="ar"/>
              </w:rPr>
              <w:t>）扫码特性：感应自动扫码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）识读模式：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1D : Codebar，Code128,Code39,Code39,Code93,Code11,EAN13，EAN8，GS1-Databar，GS1-128（EAN-128），Interleaved 2 of 5，Matrix 2 of 5，Industry 2 of 5，UPC-A，UPC-E，ISBN，ISSN, Code 11, MSI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2D：PDF417, Data Matrix, QR Code，Micro PDF417，Micro QR Code，Aztec Code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五</w:t>
            </w:r>
            <w:r>
              <w:rPr>
                <w:rFonts w:hint="eastAsia" w:ascii="宋体" w:hAnsi="宋体" w:eastAsia="宋体" w:cs="宋体"/>
                <w:i w:val="0"/>
                <w:color w:val="000000"/>
                <w:kern w:val="0"/>
                <w:sz w:val="20"/>
                <w:szCs w:val="20"/>
                <w:u w:val="none"/>
                <w:lang w:val="en-US" w:eastAsia="zh-CN" w:bidi="ar"/>
              </w:rPr>
              <w:t>）系统兼容： Windows XP、7、8、10、MAC，Linux，Android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）读取角度：360°，倾斜: ±60° 偏转: ±40° 旋转: ±180°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）读取距离：0~10cm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）扫码反馈：自感应单次扫码，扫码灭灯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阵列麦克风及喇叭</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（一）MIC数量：支持板载4个MEMS 模拟硅MIC</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（二）语音回环：2通道</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（三）MIC信噪比：SNR &gt; 65dB</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（四）唤醒距离：3～5m</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（五）识别距离：3～5m</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（六）工作温度：-20°C~70°C</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（七）声源定位：4mic 180度定位</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（八）定位精度：±15°</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（九）设备内置音响设备，多媒体立体声，双声道，防磁音响</w:t>
            </w:r>
            <w:r>
              <w:rPr>
                <w:rFonts w:hint="eastAsia" w:ascii="宋体" w:hAnsi="宋体" w:eastAsia="宋体" w:cs="宋体"/>
                <w:i w:val="0"/>
                <w:color w:val="auto"/>
                <w:kern w:val="0"/>
                <w:sz w:val="20"/>
                <w:szCs w:val="20"/>
                <w:u w:val="none"/>
                <w:shd w:val="clear" w:color="auto" w:fill="auto"/>
                <w:lang w:val="en-US" w:eastAsia="zh-CN" w:bidi="ar"/>
              </w:rPr>
              <w:br w:type="textWrapping"/>
            </w:r>
            <w:r>
              <w:rPr>
                <w:rFonts w:hint="eastAsia" w:ascii="宋体" w:hAnsi="宋体" w:eastAsia="宋体" w:cs="宋体"/>
                <w:i w:val="0"/>
                <w:color w:val="auto"/>
                <w:kern w:val="0"/>
                <w:sz w:val="20"/>
                <w:szCs w:val="20"/>
                <w:u w:val="none"/>
                <w:shd w:val="clear" w:color="auto" w:fill="auto"/>
                <w:lang w:val="en-US" w:eastAsia="zh-CN" w:bidi="ar"/>
              </w:rPr>
              <w:t>（十）设备内置独立音响设备，多媒体立体声，双声道，防磁音响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设计外观</w:t>
            </w:r>
          </w:p>
        </w:tc>
        <w:tc>
          <w:tcPr>
            <w:tcW w:w="37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color w:val="auto"/>
                <w:kern w:val="0"/>
                <w:sz w:val="21"/>
                <w:szCs w:val="21"/>
                <w:u w:val="none"/>
                <w:shd w:val="clear" w:color="auto" w:fill="auto"/>
                <w:lang w:val="en-US" w:eastAsia="zh-CN" w:bidi="ar"/>
              </w:rPr>
              <w:t>（一）★本次供应商在项目验收阶段提交包括并不限于关于货物：</w:t>
            </w:r>
            <w:r>
              <w:rPr>
                <w:rFonts w:hint="eastAsia" w:ascii="宋体" w:hAnsi="宋体" w:eastAsia="宋体" w:cs="宋体"/>
                <w:i w:val="0"/>
                <w:color w:val="auto"/>
                <w:kern w:val="0"/>
                <w:sz w:val="21"/>
                <w:szCs w:val="21"/>
                <w:u w:val="none"/>
                <w:shd w:val="clear" w:color="auto" w:fill="auto"/>
                <w:lang w:val="en-US" w:eastAsia="zh-CN" w:bidi="ar"/>
              </w:rPr>
              <w:br w:type="textWrapping"/>
            </w:r>
            <w:r>
              <w:rPr>
                <w:rFonts w:hint="eastAsia" w:ascii="宋体" w:hAnsi="宋体" w:eastAsia="宋体" w:cs="宋体"/>
                <w:i w:val="0"/>
                <w:color w:val="auto"/>
                <w:kern w:val="0"/>
                <w:sz w:val="21"/>
                <w:szCs w:val="21"/>
                <w:u w:val="none"/>
                <w:shd w:val="clear" w:color="auto" w:fill="auto"/>
                <w:lang w:val="en-US" w:eastAsia="zh-CN" w:bidi="ar"/>
              </w:rPr>
              <w:t xml:space="preserve">    1.电气文档（布局图、电路图、接口信号图等）</w:t>
            </w:r>
            <w:r>
              <w:rPr>
                <w:rFonts w:hint="eastAsia" w:ascii="宋体" w:hAnsi="宋体" w:eastAsia="宋体" w:cs="宋体"/>
                <w:i w:val="0"/>
                <w:color w:val="auto"/>
                <w:kern w:val="0"/>
                <w:sz w:val="21"/>
                <w:szCs w:val="21"/>
                <w:u w:val="none"/>
                <w:shd w:val="clear" w:color="auto" w:fill="auto"/>
                <w:lang w:val="en-US" w:eastAsia="zh-CN" w:bidi="ar"/>
              </w:rPr>
              <w:br w:type="textWrapping"/>
            </w:r>
            <w:r>
              <w:rPr>
                <w:rFonts w:hint="eastAsia" w:ascii="宋体" w:hAnsi="宋体" w:eastAsia="宋体" w:cs="宋体"/>
                <w:i w:val="0"/>
                <w:color w:val="auto"/>
                <w:kern w:val="0"/>
                <w:sz w:val="21"/>
                <w:szCs w:val="21"/>
                <w:u w:val="none"/>
                <w:shd w:val="clear" w:color="auto" w:fill="auto"/>
                <w:lang w:val="en-US" w:eastAsia="zh-CN" w:bidi="ar"/>
              </w:rPr>
              <w:t xml:space="preserve">    2.工业设计，结构设计（生产图纸、建模文件），外观设计（工艺标注、配色、丝印、外观三维模型、外观设计六视图）。</w:t>
            </w:r>
            <w:r>
              <w:rPr>
                <w:rFonts w:hint="eastAsia" w:ascii="宋体" w:hAnsi="宋体" w:eastAsia="宋体" w:cs="宋体"/>
                <w:i w:val="0"/>
                <w:color w:val="auto"/>
                <w:kern w:val="0"/>
                <w:sz w:val="21"/>
                <w:szCs w:val="21"/>
                <w:u w:val="none"/>
                <w:shd w:val="clear" w:color="auto" w:fill="auto"/>
                <w:lang w:val="en-US" w:eastAsia="zh-CN" w:bidi="ar"/>
              </w:rPr>
              <w:br w:type="textWrapping"/>
            </w:r>
            <w:r>
              <w:rPr>
                <w:rFonts w:hint="eastAsia" w:ascii="宋体" w:hAnsi="宋体" w:eastAsia="宋体" w:cs="宋体"/>
                <w:i w:val="0"/>
                <w:color w:val="auto"/>
                <w:kern w:val="0"/>
                <w:sz w:val="21"/>
                <w:szCs w:val="21"/>
                <w:u w:val="none"/>
                <w:shd w:val="clear" w:color="auto" w:fill="auto"/>
                <w:lang w:val="en-US" w:eastAsia="zh-CN" w:bidi="ar"/>
              </w:rPr>
              <w:t xml:space="preserve">    3.上述文档要求提交可编辑CAD格式版本</w:t>
            </w:r>
            <w:r>
              <w:rPr>
                <w:rFonts w:hint="eastAsia" w:ascii="宋体" w:hAnsi="宋体" w:eastAsia="宋体" w:cs="宋体"/>
                <w:i w:val="0"/>
                <w:color w:val="auto"/>
                <w:kern w:val="0"/>
                <w:sz w:val="21"/>
                <w:szCs w:val="21"/>
                <w:u w:val="none"/>
                <w:shd w:val="clear" w:color="auto" w:fill="auto"/>
                <w:lang w:val="en-US" w:eastAsia="zh-CN" w:bidi="ar"/>
              </w:rPr>
              <w:br w:type="textWrapping"/>
            </w:r>
            <w:r>
              <w:rPr>
                <w:rFonts w:hint="eastAsia" w:ascii="宋体" w:hAnsi="宋体" w:eastAsia="宋体" w:cs="宋体"/>
                <w:i w:val="0"/>
                <w:color w:val="auto"/>
                <w:kern w:val="0"/>
                <w:sz w:val="21"/>
                <w:szCs w:val="21"/>
                <w:u w:val="none"/>
                <w:shd w:val="clear" w:color="auto" w:fill="auto"/>
                <w:lang w:val="en-US" w:eastAsia="zh-CN" w:bidi="ar"/>
              </w:rPr>
              <w:t>（</w:t>
            </w:r>
            <w:r>
              <w:rPr>
                <w:rFonts w:hint="eastAsia" w:ascii="宋体" w:hAnsi="宋体" w:cs="宋体"/>
                <w:i w:val="0"/>
                <w:color w:val="auto"/>
                <w:kern w:val="0"/>
                <w:sz w:val="21"/>
                <w:szCs w:val="21"/>
                <w:u w:val="none"/>
                <w:shd w:val="clear" w:color="auto" w:fill="auto"/>
                <w:lang w:val="en-US" w:eastAsia="zh-CN" w:bidi="ar"/>
              </w:rPr>
              <w:t>二</w:t>
            </w:r>
            <w:r>
              <w:rPr>
                <w:rFonts w:hint="eastAsia" w:ascii="宋体" w:hAnsi="宋体" w:eastAsia="宋体" w:cs="宋体"/>
                <w:i w:val="0"/>
                <w:color w:val="auto"/>
                <w:kern w:val="0"/>
                <w:sz w:val="21"/>
                <w:szCs w:val="21"/>
                <w:u w:val="none"/>
                <w:shd w:val="clear" w:color="auto" w:fill="auto"/>
                <w:lang w:val="en-US" w:eastAsia="zh-CN" w:bidi="ar"/>
              </w:rPr>
              <w:t>）本项要求投标人在响应投标阶段提交承诺函并盖印公章。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367" w:type="pct"/>
            <w:vMerge w:val="continue"/>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供货及质保</w:t>
            </w:r>
          </w:p>
        </w:tc>
        <w:tc>
          <w:tcPr>
            <w:tcW w:w="3754" w:type="pct"/>
            <w:tcBorders>
              <w:top w:val="single" w:color="000000"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合同签订后40自然日完成供货。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（二）从项目验收合格原厂提供整机质保3年 。 </w:t>
            </w:r>
          </w:p>
          <w:p>
            <w:pPr>
              <w:keepNext w:val="0"/>
              <w:keepLines w:val="0"/>
              <w:widowControl/>
              <w:numPr>
                <w:ilvl w:val="0"/>
                <w:numId w:val="0"/>
              </w:numPr>
              <w:suppressLineNumbers w:val="0"/>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（三）供货时提供“航行家”品牌资料文件（包含并不限于：合格证、说明书、产品手册、检测报告等）。</w:t>
            </w:r>
          </w:p>
          <w:p>
            <w:pPr>
              <w:pStyle w:val="2"/>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r>
              <w:rPr>
                <w:rFonts w:hint="eastAsia" w:ascii="宋体" w:hAnsi="宋体" w:eastAsia="宋体" w:cs="宋体"/>
                <w:sz w:val="21"/>
                <w:szCs w:val="21"/>
              </w:rPr>
              <w:t>乙方应保证，甲方在中华人民共和国使用该货物或货物的任何一部分时，免受第三方提出的侵犯其专利权、商标权或其他知识产权的起诉。如发生此类纠纷，由乙方承担一切责任。</w:t>
            </w:r>
          </w:p>
        </w:tc>
      </w:tr>
    </w:tbl>
    <w:p>
      <w:pPr>
        <w:spacing w:line="312" w:lineRule="auto"/>
        <w:outlineLvl w:val="0"/>
        <w:rPr>
          <w:rFonts w:hint="eastAsia" w:ascii="宋体" w:hAnsi="宋体" w:eastAsia="宋体" w:cs="宋体"/>
          <w:color w:val="auto"/>
          <w:sz w:val="21"/>
          <w:szCs w:val="21"/>
          <w:highlight w:val="none"/>
          <w:u w:val="none"/>
          <w:lang w:eastAsia="zh-CN"/>
        </w:rPr>
      </w:pPr>
    </w:p>
    <w:p>
      <w:pPr>
        <w:spacing w:line="312" w:lineRule="auto"/>
        <w:ind w:firstLine="420" w:firstLineChars="200"/>
        <w:outlineLvl w:val="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报价包括了</w:t>
      </w:r>
      <w:r>
        <w:rPr>
          <w:rFonts w:hint="eastAsia" w:ascii="宋体" w:hAnsi="宋体" w:eastAsia="宋体" w:cs="宋体"/>
          <w:color w:val="auto"/>
          <w:sz w:val="21"/>
          <w:szCs w:val="21"/>
          <w:highlight w:val="none"/>
          <w:u w:val="none"/>
          <w:lang w:val="en-US" w:eastAsia="zh-CN"/>
        </w:rPr>
        <w:t>标的物的</w:t>
      </w:r>
      <w:r>
        <w:rPr>
          <w:rFonts w:hint="eastAsia" w:ascii="宋体" w:hAnsi="宋体" w:eastAsia="宋体" w:cs="宋体"/>
          <w:color w:val="auto"/>
          <w:sz w:val="21"/>
          <w:szCs w:val="21"/>
          <w:highlight w:val="none"/>
          <w:u w:val="none"/>
          <w:lang w:eastAsia="zh-CN"/>
        </w:rPr>
        <w:t>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lang w:eastAsia="zh-CN"/>
        </w:rPr>
        <w:t>和货物再支付任何费用。</w:t>
      </w:r>
    </w:p>
    <w:p>
      <w:pPr>
        <w:tabs>
          <w:tab w:val="left" w:pos="540"/>
        </w:tabs>
        <w:spacing w:line="360" w:lineRule="auto"/>
        <w:ind w:firstLine="422" w:firstLineChars="200"/>
        <w:rPr>
          <w:rFonts w:ascii="宋体"/>
          <w:color w:val="auto"/>
          <w:szCs w:val="21"/>
          <w:highlight w:val="none"/>
        </w:rPr>
      </w:pPr>
      <w:r>
        <w:rPr>
          <w:rFonts w:hint="eastAsia" w:ascii="宋体"/>
          <w:b/>
          <w:bCs/>
          <w:color w:val="auto"/>
          <w:szCs w:val="21"/>
          <w:highlight w:val="none"/>
        </w:rPr>
        <w:t>1.2采购限价：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w:t>
      </w:r>
      <w:r>
        <w:rPr>
          <w:rFonts w:hint="eastAsia" w:ascii="宋体" w:hAnsi="宋体" w:eastAsia="宋体" w:cs="宋体"/>
          <w:b/>
          <w:bCs/>
          <w:color w:val="auto"/>
          <w:sz w:val="21"/>
          <w:szCs w:val="21"/>
          <w:highlight w:val="none"/>
          <w:lang w:val="en-US" w:eastAsia="zh-CN"/>
        </w:rPr>
        <w:t>73.752万</w:t>
      </w:r>
      <w:r>
        <w:rPr>
          <w:rFonts w:hint="eastAsia" w:ascii="宋体" w:hAnsi="宋体" w:eastAsia="宋体" w:cs="宋体"/>
          <w:b/>
          <w:bCs/>
          <w:color w:val="auto"/>
          <w:sz w:val="21"/>
          <w:szCs w:val="21"/>
          <w:highlight w:val="none"/>
        </w:rPr>
        <w:t>元</w:t>
      </w:r>
      <w:r>
        <w:rPr>
          <w:rFonts w:hint="eastAsia" w:ascii="宋体" w:cs="Times New Roman"/>
          <w:b/>
          <w:bCs/>
          <w:color w:val="auto"/>
          <w:szCs w:val="21"/>
          <w:highlight w:val="none"/>
          <w:lang w:val="en-US" w:eastAsia="zh-CN"/>
        </w:rPr>
        <w:t>。</w:t>
      </w:r>
    </w:p>
    <w:p>
      <w:pPr>
        <w:spacing w:line="312" w:lineRule="auto"/>
        <w:ind w:firstLine="420" w:firstLineChars="200"/>
        <w:outlineLvl w:val="0"/>
        <w:rPr>
          <w:rFonts w:ascii="宋体"/>
          <w:color w:val="auto"/>
          <w:szCs w:val="21"/>
          <w:highlight w:val="none"/>
        </w:rPr>
      </w:pPr>
      <w:r>
        <w:rPr>
          <w:rFonts w:hint="eastAsia" w:ascii="宋体" w:hAnsi="宋体" w:cs="宋体"/>
          <w:kern w:val="2"/>
          <w:sz w:val="21"/>
          <w:szCs w:val="21"/>
          <w:lang w:val="en-US" w:eastAsia="zh-CN" w:bidi="ar-SA"/>
        </w:rPr>
        <w:t>报价</w:t>
      </w:r>
      <w:r>
        <w:rPr>
          <w:rFonts w:hint="eastAsia" w:ascii="宋体" w:hAnsi="宋体" w:eastAsia="宋体" w:cs="宋体"/>
          <w:color w:val="auto"/>
          <w:sz w:val="21"/>
          <w:szCs w:val="21"/>
          <w:highlight w:val="none"/>
          <w:u w:val="none"/>
          <w:lang w:eastAsia="zh-CN"/>
        </w:rPr>
        <w:t>包括了</w:t>
      </w:r>
      <w:r>
        <w:rPr>
          <w:rFonts w:hint="eastAsia" w:ascii="宋体" w:hAnsi="宋体" w:eastAsia="宋体" w:cs="宋体"/>
          <w:color w:val="auto"/>
          <w:sz w:val="21"/>
          <w:szCs w:val="21"/>
          <w:highlight w:val="none"/>
          <w:u w:val="none"/>
          <w:lang w:val="en-US" w:eastAsia="zh-CN"/>
        </w:rPr>
        <w:t>标的物的</w:t>
      </w:r>
      <w:r>
        <w:rPr>
          <w:rFonts w:hint="eastAsia" w:ascii="宋体" w:hAnsi="宋体" w:eastAsia="宋体" w:cs="宋体"/>
          <w:color w:val="auto"/>
          <w:sz w:val="21"/>
          <w:szCs w:val="21"/>
          <w:highlight w:val="none"/>
          <w:u w:val="none"/>
          <w:lang w:eastAsia="zh-CN"/>
        </w:rPr>
        <w:t>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lang w:eastAsia="zh-CN"/>
        </w:rPr>
        <w:t>和货物再支付任何费用。</w:t>
      </w:r>
    </w:p>
    <w:p>
      <w:pPr>
        <w:tabs>
          <w:tab w:val="left" w:pos="540"/>
        </w:tabs>
        <w:spacing w:line="360" w:lineRule="auto"/>
        <w:ind w:left="360"/>
        <w:rPr>
          <w:b/>
          <w:bCs/>
          <w:color w:val="auto"/>
          <w:highlight w:val="none"/>
        </w:rPr>
      </w:pPr>
      <w:r>
        <w:rPr>
          <w:rFonts w:hint="eastAsia"/>
          <w:b/>
          <w:bCs/>
          <w:color w:val="auto"/>
          <w:highlight w:val="none"/>
        </w:rPr>
        <w:t>2. 采购要求</w:t>
      </w:r>
    </w:p>
    <w:p>
      <w:pPr>
        <w:numPr>
          <w:ilvl w:val="0"/>
          <w:numId w:val="0"/>
        </w:numPr>
        <w:tabs>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 </w:t>
      </w:r>
      <w:r>
        <w:rPr>
          <w:rFonts w:hint="eastAsia" w:ascii="宋体" w:hAnsi="宋体" w:cs="宋体"/>
          <w:color w:val="auto"/>
          <w:szCs w:val="21"/>
          <w:highlight w:val="none"/>
          <w:lang w:val="en-US" w:eastAsia="zh-CN"/>
        </w:rPr>
        <w:t>供货</w:t>
      </w:r>
      <w:r>
        <w:rPr>
          <w:rFonts w:hint="eastAsia" w:ascii="宋体" w:hAnsi="宋体" w:cs="宋体"/>
          <w:color w:val="auto"/>
          <w:sz w:val="21"/>
          <w:szCs w:val="21"/>
          <w:highlight w:val="none"/>
        </w:rPr>
        <w:t>期</w:t>
      </w:r>
      <w:r>
        <w:rPr>
          <w:rFonts w:hint="eastAsia" w:ascii="宋体" w:hAnsi="宋体" w:cs="宋体"/>
          <w:color w:val="auto"/>
          <w:szCs w:val="21"/>
          <w:highlight w:val="none"/>
        </w:rPr>
        <w:t>：</w:t>
      </w:r>
      <w:r>
        <w:rPr>
          <w:rFonts w:hint="eastAsia" w:hAnsi="宋体"/>
          <w:color w:val="auto"/>
          <w:szCs w:val="21"/>
          <w:highlight w:val="none"/>
          <w:lang w:val="en-US" w:eastAsia="zh-CN"/>
        </w:rPr>
        <w:t>合同签订后40日历日内</w:t>
      </w:r>
      <w:r>
        <w:rPr>
          <w:rFonts w:hint="eastAsia" w:ascii="宋体" w:cs="Times New Roman"/>
          <w:color w:val="auto"/>
          <w:szCs w:val="21"/>
          <w:highlight w:val="none"/>
          <w:lang w:val="en-US" w:eastAsia="zh-CN"/>
        </w:rPr>
        <w:t>。</w:t>
      </w:r>
    </w:p>
    <w:p>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2.2 </w:t>
      </w:r>
      <w:r>
        <w:rPr>
          <w:rFonts w:hint="eastAsia" w:ascii="宋体" w:hAnsi="宋体" w:cs="宋体"/>
          <w:color w:val="auto"/>
          <w:sz w:val="21"/>
          <w:szCs w:val="21"/>
          <w:highlight w:val="none"/>
        </w:rPr>
        <w:t>实施地点</w:t>
      </w:r>
      <w:r>
        <w:rPr>
          <w:rFonts w:hint="eastAsia" w:ascii="宋体" w:hAnsi="宋体" w:cs="宋体"/>
          <w:color w:val="auto"/>
          <w:szCs w:val="21"/>
          <w:highlight w:val="none"/>
        </w:rPr>
        <w:t>：广州白云国际机场</w:t>
      </w:r>
    </w:p>
    <w:p>
      <w:pPr>
        <w:pStyle w:val="6"/>
        <w:spacing w:after="120" w:line="40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 付款方式：</w:t>
      </w:r>
    </w:p>
    <w:p>
      <w:pPr>
        <w:spacing w:line="312"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按照以下方式分</w:t>
      </w:r>
      <w:r>
        <w:rPr>
          <w:rFonts w:hint="eastAsia" w:ascii="宋体" w:hAnsi="宋体" w:eastAsia="宋体" w:cs="宋体"/>
          <w:color w:val="auto"/>
          <w:sz w:val="21"/>
          <w:szCs w:val="21"/>
          <w:highlight w:val="none"/>
          <w:u w:val="none"/>
          <w:lang w:val="en-US" w:eastAsia="zh-CN"/>
        </w:rPr>
        <w:t>四</w:t>
      </w:r>
      <w:r>
        <w:rPr>
          <w:rFonts w:hint="eastAsia" w:ascii="宋体" w:hAnsi="宋体" w:eastAsia="宋体" w:cs="宋体"/>
          <w:color w:val="auto"/>
          <w:sz w:val="21"/>
          <w:szCs w:val="21"/>
          <w:highlight w:val="none"/>
          <w:u w:val="none"/>
          <w:lang w:eastAsia="zh-CN"/>
        </w:rPr>
        <w:t>期付款:</w:t>
      </w:r>
    </w:p>
    <w:p>
      <w:pPr>
        <w:spacing w:line="312" w:lineRule="auto"/>
        <w:ind w:firstLine="420" w:firstLineChars="200"/>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(1)</w:t>
      </w:r>
      <w:r>
        <w:rPr>
          <w:rFonts w:hint="eastAsia" w:ascii="宋体" w:hAnsi="宋体" w:eastAsia="宋体" w:cs="宋体"/>
          <w:color w:val="auto"/>
          <w:sz w:val="21"/>
          <w:szCs w:val="21"/>
          <w:highlight w:val="none"/>
          <w:u w:val="none"/>
          <w:lang w:val="en-US" w:eastAsia="zh-CN"/>
        </w:rPr>
        <w:t>合同签订后，</w:t>
      </w:r>
      <w:r>
        <w:rPr>
          <w:rFonts w:hint="eastAsia" w:ascii="宋体" w:hAnsi="宋体" w:eastAsia="宋体" w:cs="宋体"/>
          <w:color w:val="auto"/>
          <w:sz w:val="21"/>
          <w:szCs w:val="21"/>
          <w:highlight w:val="none"/>
          <w:u w:val="none"/>
          <w:lang w:eastAsia="zh-CN"/>
        </w:rPr>
        <w:t>且在收到乙方提供等额的增值税专用发票后30个工作日内，</w:t>
      </w:r>
      <w:r>
        <w:rPr>
          <w:rFonts w:hint="eastAsia" w:ascii="宋体" w:hAnsi="宋体" w:eastAsia="宋体" w:cs="宋体"/>
          <w:color w:val="auto"/>
          <w:sz w:val="21"/>
          <w:szCs w:val="21"/>
          <w:highlight w:val="none"/>
          <w:u w:val="none"/>
          <w:lang w:val="en-US" w:eastAsia="zh-CN"/>
        </w:rPr>
        <w:t>甲方向乙方支付合同金额的10%作为预付款；</w:t>
      </w:r>
    </w:p>
    <w:p>
      <w:pPr>
        <w:spacing w:line="312"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）货物到货后，甲方验收合格后签署《物资入库验收单》，且在收到乙方提供等额的增值税专用发票后30个工作日内，支付合同</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0 %;</w:t>
      </w:r>
    </w:p>
    <w:p>
      <w:pPr>
        <w:spacing w:line="312"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)项目竣工验收合格后，且在收到乙方开具的剩余全额增值税专用发票后 30 个工作日内支付至合同</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eastAsia="zh-CN"/>
        </w:rPr>
        <w:t>%</w:t>
      </w:r>
    </w:p>
    <w:p>
      <w:pPr>
        <w:spacing w:line="312"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)质保期满后，乙方提出付款申请，经甲方确认后，30 个工作日内支付至合同价款的100</w:t>
      </w:r>
      <w:r>
        <w:rPr>
          <w:rFonts w:hint="eastAsia" w:ascii="宋体" w:hAnsi="宋体" w:eastAsia="宋体" w:cs="宋体"/>
          <w:color w:val="auto"/>
          <w:sz w:val="21"/>
          <w:szCs w:val="21"/>
          <w:highlight w:val="none"/>
          <w:u w:val="none"/>
          <w:lang w:val="en-US" w:eastAsia="zh-CN"/>
        </w:rPr>
        <w:t>%。</w:t>
      </w:r>
    </w:p>
    <w:p>
      <w:pPr>
        <w:rPr>
          <w:rFonts w:hint="default"/>
          <w:lang w:val="en-US" w:eastAsia="zh-CN"/>
        </w:rPr>
      </w:pPr>
    </w:p>
    <w:p>
      <w:pPr>
        <w:numPr>
          <w:ilvl w:val="0"/>
          <w:numId w:val="11"/>
        </w:numPr>
        <w:spacing w:after="240"/>
        <w:rPr>
          <w:rFonts w:ascii="宋体" w:hAnsi="宋体" w:cs="宋体"/>
          <w:b/>
          <w:color w:val="auto"/>
          <w:sz w:val="28"/>
          <w:szCs w:val="28"/>
          <w:highlight w:val="none"/>
        </w:rPr>
      </w:pPr>
      <w:r>
        <w:rPr>
          <w:rFonts w:hint="eastAsia" w:ascii="宋体" w:hAnsi="宋体" w:cs="宋体"/>
          <w:b/>
          <w:color w:val="auto"/>
          <w:sz w:val="28"/>
          <w:szCs w:val="28"/>
          <w:highlight w:val="none"/>
        </w:rPr>
        <w:t>综合评审文件</w:t>
      </w:r>
      <w:bookmarkStart w:id="5" w:name="_Toc22149447"/>
    </w:p>
    <w:p>
      <w:pPr>
        <w:numPr>
          <w:ilvl w:val="0"/>
          <w:numId w:val="12"/>
        </w:numPr>
        <w:spacing w:after="240"/>
        <w:rPr>
          <w:b/>
          <w:bCs/>
          <w:color w:val="auto"/>
          <w:highlight w:val="none"/>
        </w:rPr>
      </w:pPr>
      <w:r>
        <w:rPr>
          <w:rFonts w:hint="eastAsia"/>
          <w:b/>
          <w:bCs/>
          <w:color w:val="auto"/>
          <w:highlight w:val="none"/>
        </w:rPr>
        <w:t>综合评审构成</w:t>
      </w:r>
      <w:bookmarkEnd w:id="5"/>
    </w:p>
    <w:p>
      <w:pPr>
        <w:spacing w:after="240"/>
        <w:rPr>
          <w:color w:val="auto"/>
          <w:highlight w:val="none"/>
        </w:rPr>
      </w:pPr>
      <w:r>
        <w:rPr>
          <w:rFonts w:hint="eastAsia"/>
          <w:color w:val="auto"/>
          <w:highlight w:val="none"/>
        </w:rPr>
        <w:t>综合评审包括五个部分：邀请函 、报价人须知、合同条款、项目报价文件格式及用户需求书</w:t>
      </w:r>
      <w:bookmarkStart w:id="6" w:name="_Toc22149448"/>
    </w:p>
    <w:p>
      <w:pPr>
        <w:numPr>
          <w:ilvl w:val="0"/>
          <w:numId w:val="12"/>
        </w:numPr>
        <w:spacing w:after="240"/>
        <w:rPr>
          <w:color w:val="auto"/>
          <w:highlight w:val="none"/>
        </w:rPr>
      </w:pPr>
      <w:r>
        <w:rPr>
          <w:rFonts w:hint="eastAsia"/>
          <w:b/>
          <w:bCs/>
          <w:color w:val="auto"/>
          <w:szCs w:val="22"/>
          <w:highlight w:val="none"/>
        </w:rPr>
        <w:t>综合评审的澄清</w:t>
      </w:r>
      <w:bookmarkEnd w:id="6"/>
      <w:r>
        <w:rPr>
          <w:rFonts w:hint="eastAsia"/>
          <w:b/>
          <w:bCs/>
          <w:color w:val="auto"/>
          <w:szCs w:val="22"/>
          <w:highlight w:val="none"/>
        </w:rPr>
        <w:t>及修改</w:t>
      </w:r>
    </w:p>
    <w:p>
      <w:pPr>
        <w:tabs>
          <w:tab w:val="left" w:pos="1140"/>
        </w:tabs>
        <w:spacing w:after="240"/>
        <w:rPr>
          <w:color w:val="auto"/>
          <w:highlight w:val="none"/>
        </w:rPr>
      </w:pPr>
      <w:r>
        <w:rPr>
          <w:rFonts w:hint="eastAsia"/>
          <w:color w:val="auto"/>
          <w:highlight w:val="none"/>
        </w:rPr>
        <w:t>4.1</w:t>
      </w:r>
      <w:r>
        <w:rPr>
          <w:color w:val="auto"/>
          <w:highlight w:val="none"/>
        </w:rPr>
        <w:t xml:space="preserve">  </w:t>
      </w:r>
      <w:r>
        <w:rPr>
          <w:rFonts w:hint="eastAsia"/>
          <w:color w:val="auto"/>
          <w:highlight w:val="none"/>
        </w:rPr>
        <w:t>任何要求对综合评审文件进行澄清的供应商，均应以书面形式通知采购人。</w:t>
      </w:r>
    </w:p>
    <w:p>
      <w:pPr>
        <w:tabs>
          <w:tab w:val="left" w:pos="851"/>
        </w:tabs>
        <w:spacing w:after="240"/>
        <w:rPr>
          <w:color w:val="auto"/>
          <w:highlight w:val="none"/>
        </w:rPr>
      </w:pPr>
      <w:r>
        <w:rPr>
          <w:rFonts w:hint="eastAsia"/>
          <w:color w:val="auto"/>
          <w:highlight w:val="none"/>
        </w:rPr>
        <w:t>4.2  采购人将以补充函件的形式对综合评审进行澄清。</w:t>
      </w:r>
    </w:p>
    <w:p>
      <w:pPr>
        <w:tabs>
          <w:tab w:val="left" w:pos="1140"/>
        </w:tabs>
        <w:spacing w:after="240"/>
        <w:rPr>
          <w:color w:val="auto"/>
          <w:highlight w:val="none"/>
        </w:rPr>
      </w:pPr>
      <w:r>
        <w:rPr>
          <w:rFonts w:hint="eastAsia"/>
          <w:color w:val="auto"/>
          <w:highlight w:val="none"/>
        </w:rPr>
        <w:t xml:space="preserve">4.3 </w:t>
      </w:r>
      <w:r>
        <w:rPr>
          <w:color w:val="auto"/>
          <w:highlight w:val="none"/>
        </w:rPr>
        <w:t xml:space="preserve"> </w:t>
      </w:r>
      <w:r>
        <w:rPr>
          <w:rFonts w:hint="eastAsia"/>
          <w:color w:val="auto"/>
          <w:highlight w:val="none"/>
        </w:rPr>
        <w:t xml:space="preserve"> 在规定的递交报价文件截止日期前的任何时候，无论出于何种原因，采购人可主动或在解答供应商提出的需澄清问题时以修改书对综合评审进行修改。</w:t>
      </w:r>
    </w:p>
    <w:p>
      <w:pPr>
        <w:tabs>
          <w:tab w:val="left" w:pos="1140"/>
        </w:tabs>
        <w:spacing w:after="240"/>
        <w:rPr>
          <w:color w:val="auto"/>
          <w:highlight w:val="none"/>
        </w:rPr>
      </w:pPr>
      <w:r>
        <w:rPr>
          <w:rFonts w:hint="eastAsia"/>
          <w:color w:val="auto"/>
          <w:highlight w:val="none"/>
        </w:rPr>
        <w:t xml:space="preserve">4.4 </w:t>
      </w:r>
      <w:r>
        <w:rPr>
          <w:color w:val="auto"/>
          <w:highlight w:val="none"/>
        </w:rPr>
        <w:t xml:space="preserve"> </w:t>
      </w:r>
      <w:r>
        <w:rPr>
          <w:rFonts w:hint="eastAsia"/>
          <w:color w:val="auto"/>
          <w:highlight w:val="none"/>
        </w:rPr>
        <w:t>修改书是综合评审的组成部分，对所有参与供应商均有约束力。供应商在收到综合评审的修改书应书面通知采购人。</w:t>
      </w:r>
    </w:p>
    <w:p>
      <w:pPr>
        <w:tabs>
          <w:tab w:val="left" w:pos="1140"/>
        </w:tabs>
        <w:spacing w:after="240"/>
        <w:rPr>
          <w:color w:val="auto"/>
          <w:highlight w:val="none"/>
        </w:rPr>
      </w:pPr>
      <w:r>
        <w:rPr>
          <w:rFonts w:hint="eastAsia"/>
          <w:color w:val="auto"/>
          <w:highlight w:val="none"/>
        </w:rPr>
        <w:t>4.5</w:t>
      </w:r>
      <w:r>
        <w:rPr>
          <w:color w:val="auto"/>
          <w:highlight w:val="none"/>
        </w:rPr>
        <w:t xml:space="preserve"> </w:t>
      </w:r>
      <w:r>
        <w:rPr>
          <w:rFonts w:hint="eastAsia"/>
          <w:color w:val="auto"/>
          <w:highlight w:val="none"/>
        </w:rPr>
        <w:t xml:space="preserve"> 为使供应商编写报价文件时，有充分时间对综合评审的修改部分进行研究，采购人可自行决定，酌情延长报价文件递交截止日期。</w:t>
      </w:r>
    </w:p>
    <w:p>
      <w:pPr>
        <w:numPr>
          <w:ilvl w:val="0"/>
          <w:numId w:val="11"/>
        </w:numPr>
        <w:spacing w:after="240"/>
        <w:rPr>
          <w:rFonts w:ascii="宋体" w:hAnsi="宋体" w:cs="宋体"/>
          <w:b/>
          <w:color w:val="auto"/>
          <w:sz w:val="28"/>
          <w:szCs w:val="28"/>
          <w:highlight w:val="none"/>
        </w:rPr>
      </w:pPr>
      <w:r>
        <w:rPr>
          <w:rFonts w:hint="eastAsia" w:ascii="宋体" w:hAnsi="宋体" w:cs="宋体"/>
          <w:b/>
          <w:color w:val="auto"/>
          <w:sz w:val="28"/>
          <w:szCs w:val="28"/>
          <w:highlight w:val="none"/>
        </w:rPr>
        <w:t>报价文件的编制</w:t>
      </w:r>
      <w:bookmarkStart w:id="7" w:name="_Toc22149452"/>
    </w:p>
    <w:p>
      <w:pPr>
        <w:spacing w:after="240"/>
        <w:rPr>
          <w:rFonts w:ascii="宋体" w:hAnsi="宋体" w:cs="宋体"/>
          <w:b/>
          <w:bCs/>
          <w:color w:val="auto"/>
          <w:szCs w:val="21"/>
          <w:highlight w:val="none"/>
        </w:rPr>
      </w:pPr>
      <w:r>
        <w:rPr>
          <w:rFonts w:hint="eastAsia" w:ascii="宋体" w:hAnsi="宋体" w:cs="宋体"/>
          <w:b/>
          <w:bCs/>
          <w:color w:val="auto"/>
          <w:szCs w:val="21"/>
          <w:highlight w:val="none"/>
        </w:rPr>
        <w:t>5. 项目报价文件</w:t>
      </w:r>
      <w:bookmarkEnd w:id="7"/>
    </w:p>
    <w:p>
      <w:pPr>
        <w:tabs>
          <w:tab w:val="left" w:pos="851"/>
        </w:tabs>
        <w:spacing w:after="240"/>
        <w:rPr>
          <w:color w:val="auto"/>
          <w:highlight w:val="none"/>
        </w:rPr>
      </w:pPr>
      <w:r>
        <w:rPr>
          <w:rFonts w:hint="eastAsia"/>
          <w:color w:val="auto"/>
          <w:highlight w:val="none"/>
        </w:rPr>
        <w:t>5.1  报价文件由商务和技术两部分组成。</w:t>
      </w:r>
    </w:p>
    <w:p>
      <w:pPr>
        <w:tabs>
          <w:tab w:val="left" w:pos="851"/>
        </w:tabs>
        <w:spacing w:after="240"/>
        <w:rPr>
          <w:color w:val="auto"/>
          <w:highlight w:val="none"/>
        </w:rPr>
      </w:pPr>
      <w:r>
        <w:rPr>
          <w:rFonts w:hint="eastAsia"/>
          <w:color w:val="auto"/>
          <w:szCs w:val="22"/>
          <w:highlight w:val="none"/>
        </w:rPr>
        <w:t xml:space="preserve">5.2  </w:t>
      </w:r>
      <w:r>
        <w:rPr>
          <w:rFonts w:hint="eastAsia" w:ascii="宋体" w:hAnsi="宋体"/>
          <w:color w:val="auto"/>
          <w:highlight w:val="none"/>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color w:val="auto"/>
          <w:szCs w:val="22"/>
          <w:highlight w:val="none"/>
        </w:rPr>
      </w:pPr>
      <w:r>
        <w:rPr>
          <w:rFonts w:hint="eastAsia"/>
          <w:color w:val="auto"/>
          <w:highlight w:val="none"/>
        </w:rPr>
        <w:t>5.3  报价文件包括纸</w:t>
      </w:r>
      <w:r>
        <w:rPr>
          <w:rFonts w:hint="eastAsia" w:ascii="宋体" w:hAnsi="宋体"/>
          <w:color w:val="auto"/>
          <w:szCs w:val="22"/>
          <w:highlight w:val="none"/>
        </w:rPr>
        <w:t>质文件一式3份，纸质版正本1份，封面标注“正本”字样，副本2份，封面标注“副本”字样。正本与副本不符的内容，以正本为准。报价文件（盖章版）扫描文件一份，按采购文件第一部分第5条第4点要求提供。</w:t>
      </w:r>
    </w:p>
    <w:p>
      <w:pPr>
        <w:tabs>
          <w:tab w:val="left" w:pos="840"/>
        </w:tabs>
        <w:spacing w:after="240"/>
        <w:rPr>
          <w:color w:val="auto"/>
          <w:highlight w:val="none"/>
        </w:rPr>
      </w:pPr>
      <w:r>
        <w:rPr>
          <w:rFonts w:hint="eastAsia"/>
          <w:color w:val="auto"/>
          <w:highlight w:val="none"/>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8" w:name="_Toc22149453"/>
    </w:p>
    <w:p>
      <w:pPr>
        <w:tabs>
          <w:tab w:val="left" w:pos="840"/>
        </w:tabs>
        <w:spacing w:after="240"/>
        <w:rPr>
          <w:rFonts w:ascii="宋体" w:hAnsi="宋体" w:cs="宋体"/>
          <w:b/>
          <w:bCs/>
          <w:color w:val="auto"/>
          <w:highlight w:val="none"/>
        </w:rPr>
      </w:pPr>
      <w:r>
        <w:rPr>
          <w:rFonts w:hint="eastAsia" w:ascii="宋体" w:hAnsi="宋体" w:cs="宋体"/>
          <w:b/>
          <w:bCs/>
          <w:color w:val="auto"/>
          <w:highlight w:val="none"/>
        </w:rPr>
        <w:t>6. 商务部分</w:t>
      </w:r>
      <w:bookmarkEnd w:id="8"/>
      <w:r>
        <w:rPr>
          <w:rFonts w:hint="eastAsia" w:ascii="宋体" w:hAnsi="宋体" w:cs="宋体"/>
          <w:b/>
          <w:bCs/>
          <w:color w:val="auto"/>
          <w:highlight w:val="none"/>
        </w:rPr>
        <w:t>包含以下内容：</w:t>
      </w:r>
    </w:p>
    <w:p>
      <w:pPr>
        <w:numPr>
          <w:ilvl w:val="3"/>
          <w:numId w:val="13"/>
        </w:numPr>
        <w:tabs>
          <w:tab w:val="left" w:pos="420"/>
        </w:tabs>
        <w:ind w:left="851" w:hanging="2"/>
        <w:rPr>
          <w:rFonts w:ascii="宋体" w:hAnsi="宋体"/>
          <w:color w:val="auto"/>
          <w:highlight w:val="none"/>
        </w:rPr>
      </w:pPr>
      <w:r>
        <w:rPr>
          <w:rFonts w:hint="eastAsia" w:ascii="宋体" w:hAnsi="宋体"/>
          <w:color w:val="auto"/>
          <w:highlight w:val="none"/>
        </w:rPr>
        <w:t>目录索引；</w:t>
      </w:r>
    </w:p>
    <w:p>
      <w:pPr>
        <w:numPr>
          <w:ilvl w:val="3"/>
          <w:numId w:val="13"/>
        </w:numPr>
        <w:tabs>
          <w:tab w:val="left" w:pos="851"/>
        </w:tabs>
        <w:ind w:left="1276" w:hanging="427"/>
        <w:rPr>
          <w:rFonts w:ascii="宋体" w:hAnsi="宋体"/>
          <w:color w:val="auto"/>
          <w:highlight w:val="none"/>
        </w:rPr>
      </w:pPr>
      <w:r>
        <w:rPr>
          <w:rFonts w:hint="eastAsia" w:ascii="宋体" w:hAnsi="宋体"/>
          <w:color w:val="auto"/>
          <w:highlight w:val="none"/>
        </w:rPr>
        <w:t>商务技术评分索引表（附件8）；</w:t>
      </w:r>
    </w:p>
    <w:p>
      <w:pPr>
        <w:numPr>
          <w:ilvl w:val="3"/>
          <w:numId w:val="13"/>
        </w:numPr>
        <w:tabs>
          <w:tab w:val="left" w:pos="851"/>
        </w:tabs>
        <w:ind w:left="1276" w:hanging="427"/>
        <w:rPr>
          <w:rFonts w:ascii="宋体" w:hAnsi="宋体"/>
          <w:color w:val="auto"/>
          <w:highlight w:val="none"/>
        </w:rPr>
      </w:pPr>
      <w:r>
        <w:rPr>
          <w:rFonts w:hint="eastAsia"/>
          <w:color w:val="auto"/>
          <w:highlight w:val="none"/>
        </w:rPr>
        <w:t>报价函（附件</w:t>
      </w:r>
      <w:r>
        <w:rPr>
          <w:rFonts w:hint="eastAsia"/>
          <w:color w:val="auto"/>
          <w:highlight w:val="none"/>
          <w:lang w:val="en-US" w:eastAsia="zh-CN"/>
        </w:rPr>
        <w:t>3</w:t>
      </w:r>
      <w:r>
        <w:rPr>
          <w:rFonts w:hint="eastAsia"/>
          <w:color w:val="auto"/>
          <w:highlight w:val="none"/>
        </w:rPr>
        <w:t>）；</w:t>
      </w:r>
    </w:p>
    <w:p>
      <w:pPr>
        <w:numPr>
          <w:ilvl w:val="3"/>
          <w:numId w:val="13"/>
        </w:numPr>
        <w:tabs>
          <w:tab w:val="left" w:pos="851"/>
        </w:tabs>
        <w:ind w:left="851" w:hanging="2"/>
        <w:rPr>
          <w:rFonts w:ascii="宋体" w:hAnsi="宋体"/>
          <w:color w:val="auto"/>
          <w:highlight w:val="none"/>
        </w:rPr>
      </w:pPr>
      <w:r>
        <w:rPr>
          <w:rFonts w:hint="eastAsia" w:ascii="宋体" w:hAnsi="宋体"/>
          <w:color w:val="auto"/>
          <w:highlight w:val="none"/>
        </w:rPr>
        <w:t>企业营业执照复印件；</w:t>
      </w:r>
    </w:p>
    <w:p>
      <w:pPr>
        <w:numPr>
          <w:ilvl w:val="3"/>
          <w:numId w:val="13"/>
        </w:numPr>
        <w:tabs>
          <w:tab w:val="left" w:pos="851"/>
        </w:tabs>
        <w:ind w:left="851" w:hanging="2"/>
        <w:rPr>
          <w:rFonts w:ascii="宋体" w:hAnsi="宋体"/>
          <w:color w:val="auto"/>
          <w:szCs w:val="21"/>
          <w:highlight w:val="none"/>
        </w:rPr>
      </w:pPr>
      <w:r>
        <w:rPr>
          <w:rFonts w:hint="eastAsia" w:ascii="宋体" w:hAnsi="宋体"/>
          <w:color w:val="auto"/>
          <w:szCs w:val="21"/>
          <w:highlight w:val="none"/>
        </w:rPr>
        <w:t>法定代表人证明书（附件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numPr>
          <w:ilvl w:val="3"/>
          <w:numId w:val="13"/>
        </w:numPr>
        <w:tabs>
          <w:tab w:val="left" w:pos="851"/>
        </w:tabs>
        <w:ind w:left="851" w:hanging="2"/>
        <w:rPr>
          <w:rFonts w:ascii="宋体" w:hAnsi="宋体"/>
          <w:color w:val="auto"/>
          <w:szCs w:val="21"/>
          <w:highlight w:val="none"/>
        </w:rPr>
      </w:pPr>
      <w:r>
        <w:rPr>
          <w:rFonts w:hint="eastAsia" w:ascii="宋体" w:hAnsi="宋体"/>
          <w:color w:val="auto"/>
          <w:szCs w:val="21"/>
          <w:highlight w:val="none"/>
        </w:rPr>
        <w:t>法人授权委托书（附件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numPr>
          <w:ilvl w:val="3"/>
          <w:numId w:val="13"/>
        </w:numPr>
        <w:tabs>
          <w:tab w:val="left" w:pos="851"/>
        </w:tabs>
        <w:ind w:left="851" w:hanging="2"/>
        <w:rPr>
          <w:rFonts w:ascii="宋体" w:hAnsi="宋体"/>
          <w:color w:val="auto"/>
          <w:highlight w:val="none"/>
        </w:rPr>
      </w:pPr>
      <w:r>
        <w:rPr>
          <w:rFonts w:hint="eastAsia"/>
          <w:color w:val="auto"/>
          <w:highlight w:val="none"/>
        </w:rPr>
        <w:t>合作商登记表（供应商须在集团资源交易信息平台（http://wz.gdairport.com/）注册后打印合作商登记表加盖公章）；</w:t>
      </w:r>
    </w:p>
    <w:p>
      <w:pPr>
        <w:numPr>
          <w:ilvl w:val="3"/>
          <w:numId w:val="13"/>
        </w:numPr>
        <w:tabs>
          <w:tab w:val="left" w:pos="851"/>
        </w:tabs>
        <w:ind w:left="851" w:hanging="2"/>
        <w:rPr>
          <w:rFonts w:ascii="宋体" w:hAnsi="宋体"/>
          <w:color w:val="auto"/>
          <w:szCs w:val="21"/>
          <w:highlight w:val="none"/>
        </w:rPr>
      </w:pPr>
      <w:bookmarkStart w:id="9" w:name="_Hlk22040916"/>
      <w:r>
        <w:rPr>
          <w:rFonts w:hint="eastAsia" w:ascii="宋体" w:hAnsi="宋体"/>
          <w:color w:val="auto"/>
          <w:szCs w:val="21"/>
          <w:highlight w:val="none"/>
        </w:rPr>
        <w:t>采购文件响应承诺书</w:t>
      </w:r>
      <w:r>
        <w:rPr>
          <w:rFonts w:hint="eastAsia"/>
          <w:color w:val="auto"/>
          <w:highlight w:val="none"/>
        </w:rPr>
        <w:t>（附件5）；</w:t>
      </w:r>
    </w:p>
    <w:p>
      <w:pPr>
        <w:numPr>
          <w:ilvl w:val="3"/>
          <w:numId w:val="13"/>
        </w:numPr>
        <w:tabs>
          <w:tab w:val="left" w:pos="851"/>
        </w:tabs>
        <w:ind w:left="851" w:hanging="2"/>
        <w:rPr>
          <w:rFonts w:ascii="宋体" w:hAnsi="宋体"/>
          <w:color w:val="auto"/>
          <w:szCs w:val="21"/>
          <w:highlight w:val="none"/>
        </w:rPr>
      </w:pPr>
      <w:r>
        <w:rPr>
          <w:rFonts w:hint="eastAsia" w:ascii="宋体" w:hAnsi="宋体"/>
          <w:color w:val="auto"/>
          <w:szCs w:val="21"/>
          <w:highlight w:val="none"/>
        </w:rPr>
        <w:t>诚信承诺函</w:t>
      </w:r>
      <w:bookmarkEnd w:id="9"/>
      <w:r>
        <w:rPr>
          <w:rFonts w:hint="eastAsia" w:ascii="宋体" w:hAnsi="宋体"/>
          <w:color w:val="auto"/>
          <w:szCs w:val="21"/>
          <w:highlight w:val="none"/>
        </w:rPr>
        <w:t>（网站截图需清晰显示报价人名称及相应查询信息）（附件4）；</w:t>
      </w:r>
    </w:p>
    <w:p>
      <w:pPr>
        <w:pStyle w:val="2"/>
        <w:ind w:left="420" w:firstLine="420" w:firstLineChars="200"/>
        <w:rPr>
          <w:rFonts w:ascii="宋体" w:hAnsi="宋体"/>
          <w:color w:val="auto"/>
          <w:szCs w:val="21"/>
          <w:highlight w:val="none"/>
        </w:rPr>
      </w:pPr>
      <w:bookmarkStart w:id="10" w:name="_Toc22149454"/>
      <w:r>
        <w:rPr>
          <w:rFonts w:hint="eastAsia" w:ascii="宋体" w:hAnsi="宋体"/>
          <w:color w:val="auto"/>
          <w:szCs w:val="21"/>
          <w:highlight w:val="none"/>
        </w:rPr>
        <w:t>10）其他综合评审文件中要求提供的相应文件。</w:t>
      </w:r>
    </w:p>
    <w:p>
      <w:pPr>
        <w:tabs>
          <w:tab w:val="left" w:pos="851"/>
        </w:tabs>
        <w:rPr>
          <w:rFonts w:ascii="宋体" w:hAnsi="宋体"/>
          <w:b/>
          <w:bCs/>
          <w:color w:val="auto"/>
          <w:szCs w:val="21"/>
          <w:highlight w:val="none"/>
        </w:rPr>
      </w:pPr>
    </w:p>
    <w:p>
      <w:pPr>
        <w:pStyle w:val="188"/>
        <w:numPr>
          <w:ilvl w:val="0"/>
          <w:numId w:val="14"/>
        </w:numPr>
        <w:tabs>
          <w:tab w:val="left" w:pos="851"/>
        </w:tabs>
        <w:ind w:left="0" w:leftChars="0" w:firstLine="0" w:firstLineChars="0"/>
        <w:jc w:val="left"/>
        <w:rPr>
          <w:rFonts w:ascii="宋体" w:hAnsi="宋体"/>
          <w:b/>
          <w:bCs/>
          <w:color w:val="auto"/>
          <w:szCs w:val="21"/>
          <w:highlight w:val="none"/>
        </w:rPr>
      </w:pPr>
      <w:r>
        <w:rPr>
          <w:rFonts w:hint="eastAsia" w:ascii="宋体" w:hAnsi="宋体"/>
          <w:b/>
          <w:bCs/>
          <w:color w:val="auto"/>
          <w:szCs w:val="21"/>
          <w:highlight w:val="none"/>
        </w:rPr>
        <w:t>技术文件</w:t>
      </w:r>
      <w:bookmarkEnd w:id="10"/>
      <w:r>
        <w:rPr>
          <w:rFonts w:hint="eastAsia" w:ascii="宋体" w:hAnsi="宋体"/>
          <w:b/>
          <w:bCs/>
          <w:color w:val="auto"/>
          <w:szCs w:val="21"/>
          <w:highlight w:val="none"/>
        </w:rPr>
        <w:t>包含以下内容：</w:t>
      </w:r>
    </w:p>
    <w:p>
      <w:pPr>
        <w:numPr>
          <w:ilvl w:val="0"/>
          <w:numId w:val="0"/>
        </w:numPr>
        <w:tabs>
          <w:tab w:val="left" w:pos="851"/>
        </w:tabs>
        <w:ind w:left="849" w:leftChars="0"/>
        <w:rPr>
          <w:rFonts w:hint="default" w:ascii="宋体" w:hAnsi="宋体" w:cs="Times New Roman"/>
          <w:color w:val="auto"/>
          <w:szCs w:val="21"/>
          <w:highlight w:val="none"/>
          <w:lang w:val="en-US"/>
        </w:rPr>
      </w:pPr>
      <w:r>
        <w:rPr>
          <w:rFonts w:hint="eastAsia" w:ascii="宋体" w:hAnsi="宋体" w:cs="Times New Roman"/>
          <w:color w:val="auto"/>
          <w:szCs w:val="21"/>
          <w:highlight w:val="none"/>
          <w:lang w:val="en-US" w:eastAsia="zh-CN"/>
        </w:rPr>
        <w:t>1.供货期承诺函</w:t>
      </w:r>
    </w:p>
    <w:p>
      <w:pPr>
        <w:numPr>
          <w:ilvl w:val="0"/>
          <w:numId w:val="0"/>
        </w:numPr>
        <w:tabs>
          <w:tab w:val="left" w:pos="851"/>
        </w:tabs>
        <w:ind w:left="849" w:left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2.售后服务承诺函 </w:t>
      </w:r>
    </w:p>
    <w:p>
      <w:pPr>
        <w:numPr>
          <w:ilvl w:val="0"/>
          <w:numId w:val="0"/>
        </w:numPr>
        <w:tabs>
          <w:tab w:val="left" w:pos="851"/>
        </w:tabs>
        <w:ind w:left="849" w:left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3.产品整体评价承诺函</w:t>
      </w:r>
    </w:p>
    <w:p>
      <w:pPr>
        <w:pStyle w:val="2"/>
        <w:rPr>
          <w:rFonts w:hint="default"/>
          <w:lang w:val="en-US" w:eastAsia="zh-CN"/>
        </w:rPr>
      </w:pPr>
      <w:r>
        <w:rPr>
          <w:rFonts w:hint="eastAsia" w:ascii="宋体" w:hAnsi="宋体" w:cs="Times New Roman"/>
          <w:color w:val="auto"/>
          <w:szCs w:val="21"/>
          <w:highlight w:val="none"/>
          <w:lang w:val="en-US" w:eastAsia="zh-CN"/>
        </w:rPr>
        <w:t xml:space="preserve">    4.实施方案等</w:t>
      </w:r>
    </w:p>
    <w:p>
      <w:pPr>
        <w:pStyle w:val="2"/>
        <w:rPr>
          <w:rFonts w:hint="default"/>
          <w:lang w:val="en-US" w:eastAsia="zh-CN"/>
        </w:rPr>
      </w:pPr>
    </w:p>
    <w:p>
      <w:pPr>
        <w:pStyle w:val="188"/>
        <w:numPr>
          <w:ilvl w:val="-1"/>
          <w:numId w:val="0"/>
        </w:numPr>
        <w:tabs>
          <w:tab w:val="left" w:pos="851"/>
        </w:tabs>
        <w:spacing w:after="240"/>
        <w:ind w:left="0" w:leftChars="0" w:firstLine="0" w:firstLineChars="0"/>
        <w:rPr>
          <w:rFonts w:ascii="宋体" w:hAnsi="宋体"/>
          <w:b/>
          <w:bCs/>
          <w:color w:val="auto"/>
          <w:szCs w:val="21"/>
          <w:highlight w:val="none"/>
        </w:rPr>
      </w:pPr>
      <w:r>
        <w:rPr>
          <w:rFonts w:hint="eastAsia" w:ascii="宋体" w:hAnsi="宋体"/>
          <w:b/>
          <w:bCs/>
          <w:color w:val="auto"/>
          <w:szCs w:val="21"/>
          <w:highlight w:val="none"/>
          <w:lang w:val="en-US" w:eastAsia="zh-CN"/>
        </w:rPr>
        <w:t>8.</w:t>
      </w:r>
      <w:r>
        <w:rPr>
          <w:rFonts w:hint="eastAsia" w:ascii="宋体" w:hAnsi="宋体"/>
          <w:b/>
          <w:bCs/>
          <w:color w:val="auto"/>
          <w:szCs w:val="21"/>
          <w:highlight w:val="none"/>
        </w:rPr>
        <w:t>报价文件有效期</w:t>
      </w:r>
    </w:p>
    <w:p>
      <w:pPr>
        <w:tabs>
          <w:tab w:val="left" w:pos="840"/>
        </w:tabs>
        <w:spacing w:after="240"/>
        <w:ind w:firstLine="630" w:firstLineChars="300"/>
        <w:rPr>
          <w:color w:val="auto"/>
          <w:highlight w:val="none"/>
        </w:rPr>
      </w:pPr>
      <w:r>
        <w:rPr>
          <w:rFonts w:hint="eastAsia"/>
          <w:color w:val="auto"/>
          <w:highlight w:val="none"/>
        </w:rPr>
        <w:t>项目报价文件应在邀请函规定的报价日后至合同履行结束期间内保持有效。</w:t>
      </w:r>
    </w:p>
    <w:p>
      <w:pPr>
        <w:pStyle w:val="2"/>
        <w:ind w:left="420"/>
        <w:rPr>
          <w:color w:val="auto"/>
          <w:highlight w:val="none"/>
        </w:rPr>
      </w:pPr>
    </w:p>
    <w:p>
      <w:pPr>
        <w:tabs>
          <w:tab w:val="left" w:pos="840"/>
        </w:tabs>
        <w:spacing w:after="240"/>
        <w:rPr>
          <w:rFonts w:ascii="宋体" w:hAnsi="宋体" w:cs="宋体"/>
          <w:b/>
          <w:color w:val="auto"/>
          <w:sz w:val="28"/>
          <w:szCs w:val="28"/>
          <w:highlight w:val="none"/>
        </w:rPr>
      </w:pPr>
      <w:bookmarkStart w:id="11" w:name="_Toc22149460"/>
      <w:bookmarkStart w:id="12" w:name="_Toc520146454"/>
      <w:bookmarkStart w:id="13" w:name="_Toc472608695"/>
      <w:r>
        <w:rPr>
          <w:rFonts w:hint="eastAsia" w:ascii="宋体" w:hAnsi="宋体" w:cs="宋体"/>
          <w:b/>
          <w:color w:val="auto"/>
          <w:sz w:val="28"/>
          <w:szCs w:val="28"/>
          <w:highlight w:val="none"/>
        </w:rPr>
        <w:t>四、报价文件的递交</w:t>
      </w:r>
      <w:bookmarkEnd w:id="11"/>
      <w:bookmarkEnd w:id="12"/>
      <w:bookmarkEnd w:id="13"/>
      <w:bookmarkStart w:id="14" w:name="_Toc22149461"/>
    </w:p>
    <w:p>
      <w:pPr>
        <w:tabs>
          <w:tab w:val="left" w:pos="840"/>
        </w:tabs>
        <w:spacing w:after="240"/>
        <w:rPr>
          <w:b/>
          <w:bCs/>
          <w:color w:val="auto"/>
          <w:szCs w:val="22"/>
          <w:highlight w:val="none"/>
        </w:rPr>
      </w:pPr>
      <w:r>
        <w:rPr>
          <w:rFonts w:hint="eastAsia"/>
          <w:b/>
          <w:bCs/>
          <w:color w:val="auto"/>
          <w:szCs w:val="22"/>
          <w:highlight w:val="none"/>
        </w:rPr>
        <w:t>9. 报价文件的密封和标记</w:t>
      </w:r>
      <w:bookmarkEnd w:id="14"/>
    </w:p>
    <w:p>
      <w:pPr>
        <w:tabs>
          <w:tab w:val="left" w:pos="840"/>
        </w:tabs>
        <w:spacing w:after="240"/>
        <w:rPr>
          <w:color w:val="auto"/>
          <w:highlight w:val="none"/>
        </w:rPr>
      </w:pPr>
      <w:r>
        <w:rPr>
          <w:rFonts w:hint="eastAsia"/>
          <w:color w:val="auto"/>
          <w:highlight w:val="none"/>
        </w:rPr>
        <w:t>9.1 报价人应将报价文件密封和标记，所有封套外应清楚标明以下内容：项目名称、项目编号、报价人名称并加盖公章、报价人地址、报价人联系方式、报价文件提交地点、“在  （填写报价截止时间）  前不得启封”的字样。</w:t>
      </w:r>
    </w:p>
    <w:p>
      <w:pPr>
        <w:tabs>
          <w:tab w:val="left" w:pos="840"/>
        </w:tabs>
        <w:spacing w:after="240"/>
        <w:rPr>
          <w:color w:val="auto"/>
          <w:highlight w:val="none"/>
        </w:rPr>
      </w:pPr>
      <w:r>
        <w:rPr>
          <w:rFonts w:hint="eastAsia"/>
          <w:color w:val="auto"/>
          <w:highlight w:val="none"/>
        </w:rPr>
        <w:t>9.2如果报价人递交的报价文件未按要求密封，采购人将拒绝接受其报价文件。</w:t>
      </w:r>
    </w:p>
    <w:p>
      <w:pPr>
        <w:tabs>
          <w:tab w:val="left" w:pos="840"/>
        </w:tabs>
        <w:spacing w:after="240"/>
        <w:rPr>
          <w:color w:val="auto"/>
          <w:highlight w:val="none"/>
        </w:rPr>
      </w:pPr>
      <w:r>
        <w:rPr>
          <w:rFonts w:hint="eastAsia"/>
          <w:color w:val="auto"/>
          <w:highlight w:val="none"/>
        </w:rPr>
        <w:t>9.3如果因密封不严，标记不清而造成报价文件过早启封、失密等情况，采购人概不负责。</w:t>
      </w:r>
    </w:p>
    <w:p>
      <w:pPr>
        <w:tabs>
          <w:tab w:val="left" w:pos="840"/>
        </w:tabs>
        <w:spacing w:after="240"/>
        <w:rPr>
          <w:b/>
          <w:bCs/>
          <w:color w:val="auto"/>
          <w:szCs w:val="22"/>
          <w:highlight w:val="none"/>
        </w:rPr>
      </w:pPr>
      <w:r>
        <w:rPr>
          <w:rFonts w:hint="eastAsia"/>
          <w:color w:val="auto"/>
          <w:highlight w:val="none"/>
        </w:rPr>
        <w:t>10.</w:t>
      </w:r>
      <w:r>
        <w:rPr>
          <w:rFonts w:hint="eastAsia"/>
          <w:b/>
          <w:bCs/>
          <w:color w:val="auto"/>
          <w:szCs w:val="22"/>
          <w:highlight w:val="none"/>
        </w:rPr>
        <w:t>报价文件的递交</w:t>
      </w:r>
    </w:p>
    <w:p>
      <w:pPr>
        <w:pStyle w:val="2"/>
        <w:ind w:left="0" w:leftChars="0"/>
        <w:rPr>
          <w:color w:val="auto"/>
          <w:szCs w:val="22"/>
          <w:highlight w:val="none"/>
        </w:rPr>
      </w:pPr>
      <w:r>
        <w:rPr>
          <w:rFonts w:hint="eastAsia"/>
          <w:color w:val="auto"/>
          <w:szCs w:val="22"/>
          <w:highlight w:val="none"/>
        </w:rPr>
        <w:t>参照第一部分第</w:t>
      </w:r>
      <w:r>
        <w:rPr>
          <w:rFonts w:hint="eastAsia"/>
          <w:color w:val="auto"/>
          <w:szCs w:val="22"/>
          <w:highlight w:val="none"/>
          <w:lang w:val="en-US" w:eastAsia="zh-CN"/>
        </w:rPr>
        <w:t>5</w:t>
      </w:r>
      <w:r>
        <w:rPr>
          <w:rFonts w:hint="eastAsia"/>
          <w:color w:val="auto"/>
          <w:szCs w:val="22"/>
          <w:highlight w:val="none"/>
        </w:rPr>
        <w:t>条</w:t>
      </w:r>
    </w:p>
    <w:p>
      <w:pPr>
        <w:rPr>
          <w:color w:val="auto"/>
          <w:highlight w:val="none"/>
        </w:rPr>
      </w:pPr>
    </w:p>
    <w:p>
      <w:pPr>
        <w:pStyle w:val="2"/>
        <w:ind w:left="0" w:leftChars="0"/>
        <w:rPr>
          <w:rFonts w:ascii="宋体" w:hAnsi="宋体" w:cs="宋体"/>
          <w:b/>
          <w:bCs/>
          <w:color w:val="auto"/>
          <w:sz w:val="28"/>
          <w:szCs w:val="28"/>
          <w:highlight w:val="none"/>
        </w:rPr>
      </w:pPr>
      <w:r>
        <w:rPr>
          <w:rFonts w:hint="eastAsia" w:ascii="宋体" w:hAnsi="宋体" w:cs="宋体"/>
          <w:b/>
          <w:bCs/>
          <w:color w:val="auto"/>
          <w:sz w:val="28"/>
          <w:szCs w:val="28"/>
          <w:highlight w:val="none"/>
        </w:rPr>
        <w:t>五、评审过程</w:t>
      </w:r>
    </w:p>
    <w:p>
      <w:pPr>
        <w:ind w:left="0" w:leftChars="0"/>
        <w:rPr>
          <w:rFonts w:hint="eastAsia" w:ascii="宋体" w:hAnsi="宋体" w:cs="宋体"/>
          <w:b/>
          <w:bCs/>
          <w:color w:val="auto"/>
          <w:sz w:val="28"/>
          <w:szCs w:val="28"/>
          <w:highlight w:val="none"/>
        </w:rPr>
      </w:pPr>
      <w:r>
        <w:rPr>
          <w:rFonts w:hint="eastAsia"/>
          <w:color w:val="auto"/>
          <w:highlight w:val="none"/>
        </w:rPr>
        <w:t>11. 总则</w:t>
      </w:r>
    </w:p>
    <w:p>
      <w:pPr>
        <w:tabs>
          <w:tab w:val="left" w:pos="840"/>
        </w:tabs>
        <w:spacing w:after="240"/>
        <w:rPr>
          <w:color w:val="auto"/>
          <w:highlight w:val="none"/>
        </w:rPr>
      </w:pPr>
      <w:r>
        <w:rPr>
          <w:rFonts w:hint="eastAsia"/>
          <w:color w:val="auto"/>
          <w:highlight w:val="none"/>
        </w:rPr>
        <w:t>11.1本次采用综合评分法进行评审。</w:t>
      </w:r>
    </w:p>
    <w:p>
      <w:pPr>
        <w:tabs>
          <w:tab w:val="left" w:pos="840"/>
        </w:tabs>
        <w:spacing w:after="240"/>
        <w:rPr>
          <w:color w:val="auto"/>
          <w:highlight w:val="none"/>
        </w:rPr>
      </w:pPr>
      <w:r>
        <w:rPr>
          <w:rFonts w:hint="eastAsia"/>
          <w:color w:val="auto"/>
          <w:highlight w:val="none"/>
        </w:rPr>
        <w:t>11.2本项目的评审工作由采购人内部组成评审小组完成。评审小组</w:t>
      </w:r>
      <w:r>
        <w:rPr>
          <w:rFonts w:hint="eastAsia"/>
          <w:color w:val="auto"/>
          <w:highlight w:val="none"/>
          <w:lang w:val="en-US" w:eastAsia="zh-CN"/>
        </w:rPr>
        <w:t>由经济、技术人员组成，人数为三人或三人以上单数。</w:t>
      </w:r>
    </w:p>
    <w:p>
      <w:pPr>
        <w:tabs>
          <w:tab w:val="left" w:pos="851"/>
        </w:tabs>
        <w:rPr>
          <w:color w:val="auto"/>
          <w:szCs w:val="22"/>
          <w:highlight w:val="none"/>
        </w:rPr>
      </w:pPr>
      <w:r>
        <w:rPr>
          <w:rFonts w:hint="eastAsia"/>
          <w:color w:val="auto"/>
          <w:highlight w:val="none"/>
        </w:rPr>
        <w:t xml:space="preserve">11.3 </w:t>
      </w:r>
      <w:r>
        <w:rPr>
          <w:rFonts w:hint="eastAsia"/>
          <w:color w:val="auto"/>
          <w:szCs w:val="22"/>
          <w:highlight w:val="none"/>
        </w:rPr>
        <w:t>本次评标是以采购文件为依据，按公正、科学、客观、平等竞争的要求，选择报价合理、经验丰富、信誉良好及综合实力强的报价人。</w:t>
      </w:r>
    </w:p>
    <w:p>
      <w:pPr>
        <w:pStyle w:val="2"/>
        <w:ind w:left="0" w:leftChars="0"/>
        <w:rPr>
          <w:rFonts w:ascii="宋体" w:hAnsi="宋体"/>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12. 评审过程</w:t>
      </w:r>
    </w:p>
    <w:p>
      <w:pPr>
        <w:tabs>
          <w:tab w:val="left" w:pos="360"/>
        </w:tabs>
        <w:spacing w:line="360" w:lineRule="auto"/>
        <w:rPr>
          <w:rFonts w:ascii="宋体" w:hAnsi="宋体"/>
          <w:color w:val="auto"/>
          <w:szCs w:val="21"/>
          <w:highlight w:val="none"/>
        </w:rPr>
      </w:pPr>
      <w:r>
        <w:rPr>
          <w:rFonts w:hint="eastAsia"/>
          <w:color w:val="auto"/>
          <w:szCs w:val="22"/>
          <w:highlight w:val="none"/>
        </w:rPr>
        <w:t>12.1评审步骤</w:t>
      </w:r>
      <w:r>
        <w:rPr>
          <w:rFonts w:hint="eastAsia" w:ascii="宋体" w:hAnsi="宋体"/>
          <w:color w:val="auto"/>
          <w:szCs w:val="21"/>
          <w:highlight w:val="none"/>
        </w:rPr>
        <w:t>：</w:t>
      </w:r>
    </w:p>
    <w:p>
      <w:pPr>
        <w:pStyle w:val="22"/>
        <w:numPr>
          <w:ilvl w:val="0"/>
          <w:numId w:val="15"/>
        </w:numPr>
        <w:spacing w:line="360" w:lineRule="auto"/>
        <w:ind w:left="0"/>
        <w:rPr>
          <w:rFonts w:ascii="宋体" w:hAnsi="宋体"/>
          <w:color w:val="auto"/>
          <w:szCs w:val="21"/>
          <w:highlight w:val="none"/>
        </w:rPr>
      </w:pPr>
      <w:r>
        <w:rPr>
          <w:rFonts w:hint="eastAsia" w:ascii="宋体" w:hAnsi="宋体"/>
          <w:color w:val="auto"/>
          <w:szCs w:val="21"/>
          <w:highlight w:val="none"/>
        </w:rPr>
        <w:t>对报价文件进行符合性审查，符合性审查表内容如下：</w:t>
      </w:r>
    </w:p>
    <w:p>
      <w:pPr>
        <w:pStyle w:val="22"/>
        <w:spacing w:line="360" w:lineRule="auto"/>
        <w:ind w:left="0"/>
        <w:rPr>
          <w:rFonts w:ascii="宋体" w:hAnsi="宋体"/>
          <w:color w:val="auto"/>
          <w:szCs w:val="21"/>
          <w:highlight w:val="none"/>
        </w:rPr>
      </w:pPr>
      <w:r>
        <w:rPr>
          <w:rFonts w:hint="eastAsia" w:ascii="宋体" w:hAnsi="宋体"/>
          <w:color w:val="auto"/>
          <w:szCs w:val="21"/>
          <w:highlight w:val="none"/>
        </w:rPr>
        <w:t>（2）价格评审；</w:t>
      </w:r>
    </w:p>
    <w:p>
      <w:pPr>
        <w:pStyle w:val="22"/>
        <w:spacing w:line="360" w:lineRule="auto"/>
        <w:ind w:left="0"/>
        <w:rPr>
          <w:rFonts w:ascii="宋体" w:hAnsi="宋体"/>
          <w:color w:val="auto"/>
          <w:szCs w:val="21"/>
          <w:highlight w:val="none"/>
        </w:rPr>
      </w:pPr>
      <w:r>
        <w:rPr>
          <w:rFonts w:hint="eastAsia" w:ascii="宋体" w:hAnsi="宋体"/>
          <w:color w:val="auto"/>
          <w:szCs w:val="21"/>
          <w:highlight w:val="none"/>
        </w:rPr>
        <w:t>（3）推荐成交候选人；</w:t>
      </w:r>
    </w:p>
    <w:p>
      <w:pPr>
        <w:pStyle w:val="22"/>
        <w:spacing w:line="360" w:lineRule="auto"/>
        <w:ind w:left="0"/>
        <w:rPr>
          <w:rFonts w:ascii="宋体" w:hAnsi="宋体"/>
          <w:color w:val="auto"/>
          <w:szCs w:val="21"/>
          <w:highlight w:val="none"/>
        </w:rPr>
      </w:pPr>
      <w:r>
        <w:rPr>
          <w:rFonts w:hint="eastAsia"/>
          <w:color w:val="auto"/>
          <w:szCs w:val="22"/>
          <w:highlight w:val="none"/>
        </w:rPr>
        <w:t xml:space="preserve">12.2 </w:t>
      </w:r>
      <w:r>
        <w:rPr>
          <w:rFonts w:hint="eastAsia" w:ascii="宋体" w:hAnsi="宋体"/>
          <w:color w:val="auto"/>
          <w:szCs w:val="21"/>
          <w:highlight w:val="none"/>
        </w:rPr>
        <w:t>报价文件的澄清</w:t>
      </w:r>
    </w:p>
    <w:p>
      <w:pPr>
        <w:pStyle w:val="22"/>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为有助于报价文件的审查、评价和比较，评标委员会可以要求报价人对报价文件含义不明确的内容作必要的澄清或说明，但不得超出报价文件的范围或改变报价文件的实质性内容。</w:t>
      </w:r>
    </w:p>
    <w:p>
      <w:pPr>
        <w:pStyle w:val="2"/>
        <w:spacing w:line="360" w:lineRule="auto"/>
        <w:ind w:left="0" w:leftChars="0"/>
        <w:rPr>
          <w:color w:val="auto"/>
          <w:szCs w:val="22"/>
          <w:highlight w:val="none"/>
        </w:rPr>
      </w:pPr>
      <w:r>
        <w:rPr>
          <w:rFonts w:hint="eastAsia"/>
          <w:color w:val="auto"/>
          <w:szCs w:val="22"/>
          <w:highlight w:val="none"/>
        </w:rPr>
        <w:t>12.3 评审</w:t>
      </w:r>
    </w:p>
    <w:p>
      <w:pPr>
        <w:spacing w:line="360" w:lineRule="auto"/>
        <w:rPr>
          <w:color w:val="auto"/>
          <w:highlight w:val="none"/>
        </w:rPr>
      </w:pPr>
      <w:r>
        <w:rPr>
          <w:rFonts w:hint="eastAsia"/>
          <w:color w:val="auto"/>
          <w:highlight w:val="none"/>
        </w:rPr>
        <w:t>1）  符合性审查</w:t>
      </w:r>
    </w:p>
    <w:p>
      <w:pPr>
        <w:pStyle w:val="2"/>
        <w:spacing w:line="360" w:lineRule="auto"/>
        <w:ind w:left="420"/>
        <w:rPr>
          <w:rFonts w:ascii="宋体" w:hAnsi="宋体"/>
          <w:color w:val="auto"/>
          <w:szCs w:val="21"/>
          <w:highlight w:val="none"/>
        </w:rPr>
      </w:pPr>
      <w:r>
        <w:rPr>
          <w:rFonts w:hint="eastAsia"/>
          <w:color w:val="auto"/>
          <w:highlight w:val="none"/>
        </w:rPr>
        <w:t>评审小组根据《符合性审查表》（附件8）内容逐条对报价文件进行审查，；不满足《符合性审查表》所列各项要求任何一项的，将被认定为无效报价。通过符合性审查的供应商可进入下一环节评审；</w:t>
      </w:r>
    </w:p>
    <w:p>
      <w:pPr>
        <w:pStyle w:val="2"/>
        <w:numPr>
          <w:ilvl w:val="0"/>
          <w:numId w:val="16"/>
        </w:numPr>
        <w:spacing w:line="360" w:lineRule="auto"/>
        <w:ind w:left="0" w:leftChars="0"/>
        <w:rPr>
          <w:color w:val="auto"/>
          <w:highlight w:val="none"/>
        </w:rPr>
      </w:pPr>
      <w:r>
        <w:rPr>
          <w:rFonts w:hint="eastAsia"/>
          <w:color w:val="auto"/>
          <w:highlight w:val="none"/>
        </w:rPr>
        <w:t xml:space="preserve"> 商务技术评审及得分计算</w:t>
      </w:r>
    </w:p>
    <w:p>
      <w:pPr>
        <w:pStyle w:val="2"/>
        <w:spacing w:line="360" w:lineRule="auto"/>
        <w:ind w:left="420"/>
        <w:rPr>
          <w:color w:val="auto"/>
          <w:highlight w:val="none"/>
        </w:rPr>
      </w:pPr>
      <w:r>
        <w:rPr>
          <w:rFonts w:hint="eastAsia" w:ascii="宋体" w:hAnsi="宋体"/>
          <w:color w:val="auto"/>
          <w:szCs w:val="21"/>
          <w:highlight w:val="none"/>
        </w:rPr>
        <w:t>a.商务技术分占</w:t>
      </w:r>
      <w:r>
        <w:rPr>
          <w:rFonts w:hint="eastAsia" w:ascii="宋体" w:hAnsi="宋体"/>
          <w:color w:val="auto"/>
          <w:szCs w:val="21"/>
          <w:highlight w:val="none"/>
          <w:lang w:val="en-US" w:eastAsia="zh-CN"/>
        </w:rPr>
        <w:t>60</w:t>
      </w:r>
      <w:r>
        <w:rPr>
          <w:rFonts w:hint="eastAsia" w:ascii="宋体" w:hAnsi="宋体"/>
          <w:color w:val="auto"/>
          <w:szCs w:val="21"/>
          <w:highlight w:val="none"/>
        </w:rPr>
        <w:t>分，</w:t>
      </w:r>
      <w:r>
        <w:rPr>
          <w:rFonts w:hint="eastAsia"/>
          <w:color w:val="auto"/>
          <w:highlight w:val="none"/>
        </w:rPr>
        <w:t>由评委打分，评审细则详见附件7《商务技术表》；</w:t>
      </w:r>
    </w:p>
    <w:p>
      <w:pPr>
        <w:pStyle w:val="2"/>
        <w:spacing w:line="360" w:lineRule="auto"/>
        <w:ind w:left="420"/>
        <w:rPr>
          <w:color w:val="auto"/>
          <w:highlight w:val="none"/>
        </w:rPr>
      </w:pPr>
      <w:r>
        <w:rPr>
          <w:rFonts w:hint="eastAsia" w:ascii="宋体" w:hAnsi="宋体"/>
          <w:color w:val="auto"/>
          <w:szCs w:val="21"/>
          <w:highlight w:val="none"/>
        </w:rPr>
        <w:t>b.对评委的的评分结果，以每个评委对所打出的商务、技术总分为基准，进行算术平均后得出各报价人的商务技术得分。（小数点后保留两位有效数，四舍五入）。</w:t>
      </w:r>
    </w:p>
    <w:p>
      <w:pPr>
        <w:pStyle w:val="2"/>
        <w:spacing w:line="360" w:lineRule="auto"/>
        <w:ind w:left="0" w:leftChars="0"/>
        <w:rPr>
          <w:color w:val="auto"/>
          <w:highlight w:val="none"/>
        </w:rPr>
      </w:pPr>
      <w:r>
        <w:rPr>
          <w:rFonts w:hint="eastAsia"/>
          <w:color w:val="auto"/>
          <w:highlight w:val="none"/>
        </w:rPr>
        <w:t>3）  价格评审及得分计算</w:t>
      </w:r>
    </w:p>
    <w:p>
      <w:pPr>
        <w:pStyle w:val="2"/>
        <w:spacing w:line="360" w:lineRule="auto"/>
        <w:ind w:left="420"/>
        <w:rPr>
          <w:rFonts w:ascii="宋体" w:hAnsi="宋体"/>
          <w:color w:val="auto"/>
          <w:szCs w:val="21"/>
          <w:highlight w:val="none"/>
        </w:rPr>
      </w:pPr>
      <w:r>
        <w:rPr>
          <w:rFonts w:hint="eastAsia" w:ascii="宋体" w:hAnsi="宋体"/>
          <w:color w:val="auto"/>
          <w:szCs w:val="21"/>
          <w:highlight w:val="none"/>
        </w:rPr>
        <w:t>a.价格分占</w:t>
      </w:r>
      <w:r>
        <w:rPr>
          <w:rFonts w:hint="eastAsia" w:ascii="宋体" w:hAnsi="宋体"/>
          <w:color w:val="auto"/>
          <w:szCs w:val="21"/>
          <w:highlight w:val="none"/>
          <w:lang w:val="en-US" w:eastAsia="zh-CN"/>
        </w:rPr>
        <w:t>4</w:t>
      </w:r>
      <w:r>
        <w:rPr>
          <w:rFonts w:hint="eastAsia" w:ascii="宋体" w:hAnsi="宋体"/>
          <w:color w:val="auto"/>
          <w:szCs w:val="21"/>
          <w:highlight w:val="none"/>
        </w:rPr>
        <w:t>0分,按如下公式计算：</w:t>
      </w:r>
    </w:p>
    <w:p>
      <w:pPr>
        <w:pStyle w:val="26"/>
        <w:tabs>
          <w:tab w:val="left" w:pos="420"/>
        </w:tabs>
        <w:spacing w:line="360" w:lineRule="auto"/>
        <w:ind w:left="420" w:leftChars="200" w:firstLine="525" w:firstLineChars="250"/>
        <w:rPr>
          <w:rFonts w:hAnsi="宋体"/>
          <w:color w:val="auto"/>
          <w:highlight w:val="none"/>
        </w:rPr>
      </w:pPr>
      <w:r>
        <w:rPr>
          <w:rFonts w:hint="eastAsia" w:hAnsi="宋体"/>
          <w:color w:val="auto"/>
          <w:highlight w:val="none"/>
        </w:rPr>
        <w:t>① 评标价等于基准价的投标，得满分；</w:t>
      </w:r>
    </w:p>
    <w:p>
      <w:pPr>
        <w:pStyle w:val="26"/>
        <w:tabs>
          <w:tab w:val="left" w:pos="420"/>
        </w:tabs>
        <w:spacing w:line="360" w:lineRule="auto"/>
        <w:ind w:left="420" w:leftChars="200" w:firstLine="525" w:firstLineChars="250"/>
        <w:rPr>
          <w:rFonts w:hAnsi="宋体"/>
          <w:color w:val="auto"/>
          <w:highlight w:val="none"/>
        </w:rPr>
      </w:pPr>
      <w:r>
        <w:rPr>
          <w:rFonts w:hint="eastAsia" w:hAnsi="宋体"/>
          <w:color w:val="auto"/>
          <w:highlight w:val="none"/>
        </w:rPr>
        <w:t>② 评标价高于基准价的投标，每高于基准价1%的在满分的基础上扣1分,每低于基准价1%的在满分的基础上扣0.5分，按插值法计算，</w:t>
      </w:r>
      <w:r>
        <w:rPr>
          <w:rFonts w:hint="eastAsia" w:hAnsi="宋体"/>
          <w:bCs/>
          <w:color w:val="auto"/>
          <w:highlight w:val="none"/>
        </w:rPr>
        <w:t>扣完为止；</w:t>
      </w:r>
    </w:p>
    <w:p>
      <w:pPr>
        <w:spacing w:line="360" w:lineRule="auto"/>
        <w:ind w:left="427"/>
        <w:rPr>
          <w:color w:val="auto"/>
          <w:highlight w:val="none"/>
        </w:rPr>
      </w:pPr>
      <w:r>
        <w:rPr>
          <w:rFonts w:hint="eastAsia" w:ascii="宋体" w:hAnsi="宋体"/>
          <w:color w:val="auto"/>
          <w:szCs w:val="21"/>
          <w:highlight w:val="none"/>
        </w:rPr>
        <w:t>b.价格算术错误更正方法：如果数字表示的金额和用文字表示的金额不一致时，应以文字</w:t>
      </w:r>
    </w:p>
    <w:p>
      <w:pPr>
        <w:spacing w:line="360" w:lineRule="auto"/>
        <w:rPr>
          <w:color w:val="auto"/>
          <w:highlight w:val="none"/>
        </w:rPr>
      </w:pPr>
      <w:r>
        <w:rPr>
          <w:rFonts w:hint="eastAsia" w:ascii="宋体" w:hAnsi="宋体"/>
          <w:color w:val="auto"/>
          <w:szCs w:val="21"/>
          <w:highlight w:val="none"/>
        </w:rPr>
        <w:t>表示的金额为准。当单价与数量的乘积与合价不一致时，以单价为准，除非评标委员会认为单价有明显的小数点错误，此时应以标出的合价为准，并修改单价。</w:t>
      </w:r>
    </w:p>
    <w:p>
      <w:pPr>
        <w:pStyle w:val="26"/>
        <w:spacing w:line="360" w:lineRule="auto"/>
        <w:ind w:firstLine="420" w:firstLineChars="200"/>
        <w:rPr>
          <w:rFonts w:hAnsi="宋体"/>
          <w:color w:val="auto"/>
          <w:highlight w:val="none"/>
        </w:rPr>
      </w:pPr>
      <w:r>
        <w:rPr>
          <w:rFonts w:hint="eastAsia" w:hAnsi="宋体"/>
          <w:color w:val="auto"/>
          <w:highlight w:val="none"/>
        </w:rPr>
        <w:t>c.基准价：评标基准价为进入价格评审阶段的所有评标价的算术平均价。评标基准价和价格得分的计算结果,均保留两位小数，第三位四舍五入。</w:t>
      </w:r>
    </w:p>
    <w:p>
      <w:pPr>
        <w:pStyle w:val="2"/>
        <w:spacing w:line="360" w:lineRule="auto"/>
        <w:ind w:left="0" w:leftChars="0"/>
        <w:rPr>
          <w:color w:val="auto"/>
          <w:highlight w:val="none"/>
        </w:rPr>
      </w:pPr>
      <w:r>
        <w:rPr>
          <w:rFonts w:hint="eastAsia"/>
          <w:color w:val="auto"/>
          <w:highlight w:val="none"/>
        </w:rPr>
        <w:t>4）总分计算</w:t>
      </w:r>
    </w:p>
    <w:p>
      <w:pPr>
        <w:pStyle w:val="2"/>
        <w:spacing w:line="360" w:lineRule="auto"/>
        <w:ind w:left="420"/>
        <w:rPr>
          <w:color w:val="auto"/>
          <w:highlight w:val="none"/>
        </w:rPr>
      </w:pPr>
      <w:r>
        <w:rPr>
          <w:rFonts w:hint="eastAsia"/>
          <w:color w:val="auto"/>
          <w:highlight w:val="none"/>
        </w:rPr>
        <w:t>报价人总得分＝商务技术得分+价格得分</w:t>
      </w:r>
    </w:p>
    <w:p>
      <w:pPr>
        <w:ind w:firstLine="420" w:firstLineChars="200"/>
        <w:rPr>
          <w:color w:val="auto"/>
          <w:highlight w:val="none"/>
        </w:rPr>
      </w:pPr>
      <w:r>
        <w:rPr>
          <w:rFonts w:hint="eastAsia" w:ascii="宋体" w:hAnsi="宋体"/>
          <w:color w:val="auto"/>
          <w:szCs w:val="21"/>
          <w:highlight w:val="none"/>
        </w:rPr>
        <w:t>全体评委对各评审表校核无误后在评审表上签名确认。</w:t>
      </w:r>
    </w:p>
    <w:p>
      <w:pPr>
        <w:pStyle w:val="2"/>
        <w:ind w:left="420"/>
        <w:rPr>
          <w:color w:val="auto"/>
          <w:highlight w:val="none"/>
        </w:rPr>
      </w:pPr>
    </w:p>
    <w:p>
      <w:pPr>
        <w:pStyle w:val="2"/>
        <w:numPr>
          <w:ilvl w:val="0"/>
          <w:numId w:val="17"/>
        </w:numPr>
        <w:spacing w:line="360" w:lineRule="auto"/>
        <w:ind w:left="0" w:leftChars="0"/>
        <w:rPr>
          <w:b/>
          <w:bCs/>
          <w:color w:val="auto"/>
          <w:highlight w:val="none"/>
        </w:rPr>
      </w:pPr>
      <w:r>
        <w:rPr>
          <w:rFonts w:hint="eastAsia"/>
          <w:b/>
          <w:bCs/>
          <w:color w:val="auto"/>
          <w:highlight w:val="none"/>
        </w:rPr>
        <w:t xml:space="preserve"> 推荐成交候选人</w:t>
      </w:r>
    </w:p>
    <w:p>
      <w:pPr>
        <w:pStyle w:val="2"/>
        <w:spacing w:line="360" w:lineRule="auto"/>
        <w:ind w:left="0" w:leftChars="0" w:firstLine="420" w:firstLineChars="200"/>
        <w:rPr>
          <w:color w:val="auto"/>
          <w:highlight w:val="none"/>
        </w:rPr>
      </w:pPr>
      <w:r>
        <w:rPr>
          <w:rFonts w:hint="eastAsia"/>
          <w:color w:val="auto"/>
          <w:highlight w:val="none"/>
        </w:rPr>
        <w:t>采购人员依据评审表格编写《评审报告》，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p>
    <w:p>
      <w:pPr>
        <w:rPr>
          <w:color w:val="auto"/>
          <w:highlight w:val="none"/>
        </w:rPr>
      </w:pPr>
    </w:p>
    <w:p>
      <w:pPr>
        <w:numPr>
          <w:ilvl w:val="0"/>
          <w:numId w:val="17"/>
        </w:numPr>
        <w:tabs>
          <w:tab w:val="left" w:pos="840"/>
        </w:tabs>
        <w:spacing w:line="360" w:lineRule="auto"/>
        <w:rPr>
          <w:b/>
          <w:bCs/>
          <w:color w:val="auto"/>
          <w:szCs w:val="21"/>
          <w:highlight w:val="none"/>
        </w:rPr>
      </w:pPr>
      <w:r>
        <w:rPr>
          <w:rFonts w:hint="eastAsia"/>
          <w:b/>
          <w:bCs/>
          <w:color w:val="auto"/>
          <w:szCs w:val="21"/>
          <w:highlight w:val="none"/>
        </w:rPr>
        <w:t xml:space="preserve"> 合同的授予</w:t>
      </w:r>
      <w:bookmarkStart w:id="15" w:name="_Toc353536744"/>
      <w:bookmarkEnd w:id="15"/>
      <w:bookmarkStart w:id="16" w:name="_Toc353536745"/>
      <w:bookmarkEnd w:id="16"/>
      <w:bookmarkStart w:id="17" w:name="_Toc353536746"/>
      <w:bookmarkEnd w:id="17"/>
      <w:bookmarkStart w:id="18" w:name="_Toc353536748"/>
      <w:bookmarkEnd w:id="18"/>
      <w:bookmarkStart w:id="19" w:name="_Toc353536747"/>
      <w:bookmarkEnd w:id="19"/>
      <w:bookmarkStart w:id="20" w:name="_Toc22149474"/>
    </w:p>
    <w:p>
      <w:pPr>
        <w:tabs>
          <w:tab w:val="left" w:pos="840"/>
        </w:tabs>
        <w:spacing w:line="360" w:lineRule="auto"/>
        <w:rPr>
          <w:color w:val="auto"/>
          <w:szCs w:val="21"/>
          <w:highlight w:val="none"/>
        </w:rPr>
      </w:pPr>
      <w:r>
        <w:rPr>
          <w:rFonts w:hint="eastAsia"/>
          <w:color w:val="auto"/>
          <w:szCs w:val="21"/>
          <w:highlight w:val="none"/>
        </w:rPr>
        <w:t>14.1 合同授予标准</w:t>
      </w:r>
      <w:bookmarkEnd w:id="20"/>
      <w:r>
        <w:rPr>
          <w:rFonts w:hint="eastAsia"/>
          <w:color w:val="auto"/>
          <w:szCs w:val="21"/>
          <w:highlight w:val="none"/>
        </w:rPr>
        <w:t>：采购人将把合同授予被确定为实质上响应采购文件的要求并具有履行合同能力的符合采购需求、综合得分最高的报价人。</w:t>
      </w:r>
    </w:p>
    <w:p>
      <w:pPr>
        <w:tabs>
          <w:tab w:val="left" w:pos="840"/>
        </w:tabs>
        <w:spacing w:line="360" w:lineRule="auto"/>
        <w:rPr>
          <w:color w:val="auto"/>
          <w:szCs w:val="21"/>
          <w:highlight w:val="none"/>
        </w:rPr>
      </w:pPr>
      <w:bookmarkStart w:id="21" w:name="_Toc22149475"/>
      <w:r>
        <w:rPr>
          <w:rFonts w:hint="eastAsia"/>
          <w:color w:val="auto"/>
          <w:szCs w:val="21"/>
          <w:highlight w:val="none"/>
        </w:rPr>
        <w:t>14.2</w:t>
      </w:r>
      <w:bookmarkEnd w:id="21"/>
      <w:r>
        <w:rPr>
          <w:rFonts w:hint="eastAsia"/>
          <w:color w:val="auto"/>
          <w:szCs w:val="21"/>
          <w:highlight w:val="none"/>
        </w:rPr>
        <w:t>采购人在授予合同时有权在一定的幅度内对报价表中规定的服务数量予以增加或减少，但不得对单价或其它的条款和条件做任何实质改变</w:t>
      </w:r>
      <w:bookmarkStart w:id="22" w:name="_Toc22149476"/>
      <w:r>
        <w:rPr>
          <w:rFonts w:hint="eastAsia"/>
          <w:color w:val="auto"/>
          <w:szCs w:val="21"/>
          <w:highlight w:val="none"/>
        </w:rPr>
        <w:t>。</w:t>
      </w:r>
      <w:bookmarkEnd w:id="22"/>
      <w:bookmarkStart w:id="23" w:name="_Toc22149477"/>
    </w:p>
    <w:p>
      <w:pPr>
        <w:tabs>
          <w:tab w:val="left" w:pos="840"/>
        </w:tabs>
        <w:spacing w:line="360" w:lineRule="auto"/>
        <w:rPr>
          <w:color w:val="auto"/>
          <w:szCs w:val="21"/>
          <w:highlight w:val="none"/>
        </w:rPr>
      </w:pPr>
      <w:r>
        <w:rPr>
          <w:rFonts w:hint="eastAsia"/>
          <w:color w:val="auto"/>
          <w:szCs w:val="21"/>
          <w:highlight w:val="none"/>
        </w:rPr>
        <w:t>14.3成交通知书</w:t>
      </w:r>
      <w:bookmarkEnd w:id="23"/>
    </w:p>
    <w:p>
      <w:pPr>
        <w:tabs>
          <w:tab w:val="left" w:pos="840"/>
        </w:tabs>
        <w:spacing w:line="360" w:lineRule="auto"/>
        <w:ind w:firstLine="420" w:firstLineChars="200"/>
        <w:rPr>
          <w:color w:val="auto"/>
          <w:szCs w:val="21"/>
          <w:highlight w:val="none"/>
        </w:rPr>
      </w:pPr>
      <w:r>
        <w:rPr>
          <w:rFonts w:hint="eastAsia"/>
          <w:color w:val="auto"/>
          <w:szCs w:val="21"/>
          <w:highlight w:val="none"/>
        </w:rPr>
        <w:t>采购人将在结果发布后向成交报价人发出《成交通知书》。</w:t>
      </w:r>
    </w:p>
    <w:p>
      <w:pPr>
        <w:tabs>
          <w:tab w:val="left" w:pos="840"/>
        </w:tabs>
        <w:spacing w:line="360" w:lineRule="auto"/>
        <w:rPr>
          <w:color w:val="auto"/>
          <w:szCs w:val="21"/>
          <w:highlight w:val="none"/>
        </w:rPr>
      </w:pPr>
      <w:bookmarkStart w:id="24" w:name="_Toc22149478"/>
      <w:r>
        <w:rPr>
          <w:rFonts w:hint="eastAsia"/>
          <w:color w:val="auto"/>
          <w:szCs w:val="21"/>
          <w:highlight w:val="none"/>
        </w:rPr>
        <w:t>14.4签订合同</w:t>
      </w:r>
      <w:bookmarkEnd w:id="24"/>
    </w:p>
    <w:p>
      <w:pPr>
        <w:tabs>
          <w:tab w:val="left" w:pos="840"/>
        </w:tabs>
        <w:spacing w:line="360" w:lineRule="auto"/>
        <w:rPr>
          <w:rFonts w:ascii="Calibri" w:hAnsi="Calibri"/>
          <w:color w:val="auto"/>
          <w:szCs w:val="21"/>
          <w:highlight w:val="none"/>
        </w:rPr>
      </w:pPr>
      <w:r>
        <w:rPr>
          <w:rFonts w:hint="eastAsia" w:ascii="Calibri" w:hAnsi="Calibri"/>
          <w:color w:val="auto"/>
          <w:szCs w:val="21"/>
          <w:highlight w:val="none"/>
        </w:rPr>
        <w:t>14.4.1成交供应商在收到成交通知书后，应派遣其授权在合同上签字的代表与采购人签署合同。</w:t>
      </w:r>
    </w:p>
    <w:p>
      <w:pPr>
        <w:tabs>
          <w:tab w:val="left" w:pos="840"/>
        </w:tabs>
        <w:spacing w:line="360" w:lineRule="auto"/>
        <w:rPr>
          <w:rFonts w:ascii="Calibri" w:hAnsi="Calibri"/>
          <w:color w:val="auto"/>
          <w:szCs w:val="21"/>
          <w:highlight w:val="none"/>
        </w:rPr>
      </w:pPr>
      <w:r>
        <w:rPr>
          <w:rFonts w:hint="eastAsia" w:ascii="Calibri" w:hAnsi="Calibri"/>
          <w:color w:val="auto"/>
          <w:szCs w:val="21"/>
          <w:highlight w:val="none"/>
        </w:rPr>
        <w:t>14.4.2合同的组成基于本综合评审文件的以下部分以及项目报价文件的相应的部分：</w:t>
      </w:r>
    </w:p>
    <w:p>
      <w:pPr>
        <w:tabs>
          <w:tab w:val="left" w:pos="840"/>
        </w:tabs>
        <w:rPr>
          <w:rFonts w:ascii="Calibri" w:hAnsi="Calibri"/>
          <w:color w:val="auto"/>
          <w:szCs w:val="21"/>
          <w:highlight w:val="none"/>
        </w:rPr>
      </w:pPr>
      <w:r>
        <w:rPr>
          <w:rFonts w:hint="eastAsia" w:ascii="Calibri" w:hAnsi="Calibri"/>
          <w:color w:val="auto"/>
          <w:szCs w:val="21"/>
          <w:highlight w:val="none"/>
        </w:rPr>
        <w:t xml:space="preserve">（1）  </w:t>
      </w:r>
      <w:r>
        <w:rPr>
          <w:rFonts w:hint="eastAsia" w:ascii="Calibri" w:hAnsi="Calibri"/>
          <w:color w:val="auto"/>
          <w:szCs w:val="21"/>
          <w:highlight w:val="none"/>
        </w:rPr>
        <w:tab/>
      </w:r>
      <w:r>
        <w:rPr>
          <w:rFonts w:hint="eastAsia" w:ascii="Calibri" w:hAnsi="Calibri"/>
          <w:color w:val="auto"/>
          <w:szCs w:val="21"/>
          <w:highlight w:val="none"/>
        </w:rPr>
        <w:t>第三部分</w:t>
      </w:r>
      <w:r>
        <w:rPr>
          <w:rFonts w:hint="eastAsia" w:ascii="Calibri" w:hAnsi="Calibri"/>
          <w:color w:val="auto"/>
          <w:szCs w:val="21"/>
          <w:highlight w:val="none"/>
        </w:rPr>
        <w:tab/>
      </w:r>
      <w:r>
        <w:rPr>
          <w:rFonts w:hint="eastAsia" w:ascii="Calibri" w:hAnsi="Calibri"/>
          <w:color w:val="auto"/>
          <w:szCs w:val="21"/>
          <w:highlight w:val="none"/>
        </w:rPr>
        <w:t>合同条款</w:t>
      </w:r>
    </w:p>
    <w:p>
      <w:pPr>
        <w:tabs>
          <w:tab w:val="left" w:pos="840"/>
        </w:tabs>
        <w:rPr>
          <w:rFonts w:ascii="Calibri" w:hAnsi="Calibri"/>
          <w:color w:val="auto"/>
          <w:szCs w:val="21"/>
          <w:highlight w:val="none"/>
        </w:rPr>
      </w:pPr>
      <w:r>
        <w:rPr>
          <w:rFonts w:hint="eastAsia" w:ascii="Calibri" w:hAnsi="Calibri"/>
          <w:color w:val="auto"/>
          <w:szCs w:val="21"/>
          <w:highlight w:val="none"/>
        </w:rPr>
        <w:tab/>
      </w:r>
      <w:r>
        <w:rPr>
          <w:rFonts w:hint="eastAsia" w:ascii="Calibri" w:hAnsi="Calibri"/>
          <w:color w:val="auto"/>
          <w:szCs w:val="21"/>
          <w:highlight w:val="none"/>
        </w:rPr>
        <w:tab/>
      </w:r>
      <w:r>
        <w:rPr>
          <w:rFonts w:hint="eastAsia" w:ascii="Calibri" w:hAnsi="Calibri"/>
          <w:color w:val="auto"/>
          <w:szCs w:val="21"/>
          <w:highlight w:val="none"/>
        </w:rPr>
        <w:tab/>
      </w:r>
    </w:p>
    <w:p>
      <w:pPr>
        <w:tabs>
          <w:tab w:val="left" w:pos="840"/>
        </w:tabs>
        <w:rPr>
          <w:rFonts w:ascii="Calibri" w:hAnsi="Calibri"/>
          <w:color w:val="auto"/>
          <w:szCs w:val="21"/>
          <w:highlight w:val="none"/>
        </w:rPr>
      </w:pPr>
      <w:r>
        <w:rPr>
          <w:rFonts w:hint="eastAsia" w:ascii="Calibri" w:hAnsi="Calibri"/>
          <w:color w:val="auto"/>
          <w:szCs w:val="21"/>
          <w:highlight w:val="none"/>
        </w:rPr>
        <w:t xml:space="preserve">（2） </w:t>
      </w:r>
      <w:r>
        <w:rPr>
          <w:rFonts w:hint="eastAsia" w:ascii="Calibri" w:hAnsi="Calibri"/>
          <w:color w:val="auto"/>
          <w:szCs w:val="21"/>
          <w:highlight w:val="none"/>
        </w:rPr>
        <w:tab/>
      </w:r>
      <w:r>
        <w:rPr>
          <w:rFonts w:hint="eastAsia" w:ascii="Calibri" w:hAnsi="Calibri"/>
          <w:color w:val="auto"/>
          <w:szCs w:val="21"/>
          <w:highlight w:val="none"/>
        </w:rPr>
        <w:t>最后报价承诺澄清文件</w:t>
      </w:r>
    </w:p>
    <w:p>
      <w:pPr>
        <w:tabs>
          <w:tab w:val="left" w:pos="840"/>
        </w:tabs>
        <w:rPr>
          <w:rFonts w:ascii="Calibri" w:hAnsi="Calibri"/>
          <w:color w:val="auto"/>
          <w:szCs w:val="21"/>
          <w:highlight w:val="none"/>
        </w:rPr>
      </w:pPr>
    </w:p>
    <w:p>
      <w:pPr>
        <w:tabs>
          <w:tab w:val="left" w:pos="840"/>
        </w:tabs>
        <w:rPr>
          <w:rFonts w:ascii="Calibri" w:hAnsi="Calibri"/>
          <w:color w:val="auto"/>
          <w:szCs w:val="21"/>
          <w:highlight w:val="none"/>
        </w:rPr>
      </w:pPr>
      <w:r>
        <w:rPr>
          <w:rFonts w:hint="eastAsia" w:ascii="Calibri" w:hAnsi="Calibri"/>
          <w:color w:val="auto"/>
          <w:szCs w:val="21"/>
          <w:highlight w:val="none"/>
        </w:rPr>
        <w:t xml:space="preserve">（3） </w:t>
      </w:r>
      <w:r>
        <w:rPr>
          <w:rFonts w:hint="eastAsia" w:ascii="Calibri" w:hAnsi="Calibri"/>
          <w:color w:val="auto"/>
          <w:szCs w:val="21"/>
          <w:highlight w:val="none"/>
        </w:rPr>
        <w:tab/>
      </w:r>
      <w:r>
        <w:rPr>
          <w:rFonts w:hint="eastAsia" w:ascii="Calibri" w:hAnsi="Calibri"/>
          <w:color w:val="auto"/>
          <w:szCs w:val="21"/>
          <w:highlight w:val="none"/>
        </w:rPr>
        <w:t>第四部分</w:t>
      </w:r>
      <w:r>
        <w:rPr>
          <w:rFonts w:hint="eastAsia" w:ascii="Calibri" w:hAnsi="Calibri"/>
          <w:color w:val="auto"/>
          <w:szCs w:val="21"/>
          <w:highlight w:val="none"/>
        </w:rPr>
        <w:tab/>
      </w:r>
      <w:r>
        <w:rPr>
          <w:rFonts w:hint="eastAsia" w:ascii="Calibri" w:hAnsi="Calibri"/>
          <w:color w:val="auto"/>
          <w:szCs w:val="21"/>
          <w:highlight w:val="none"/>
        </w:rPr>
        <w:t>附件－报价文件格式</w:t>
      </w:r>
    </w:p>
    <w:p>
      <w:pPr>
        <w:tabs>
          <w:tab w:val="left" w:pos="840"/>
        </w:tabs>
        <w:spacing w:line="360" w:lineRule="auto"/>
        <w:rPr>
          <w:rFonts w:ascii="Calibri" w:hAnsi="Calibri"/>
          <w:color w:val="auto"/>
          <w:szCs w:val="21"/>
          <w:highlight w:val="none"/>
        </w:rPr>
      </w:pPr>
      <w:r>
        <w:rPr>
          <w:rFonts w:hint="eastAsia" w:ascii="Calibri" w:hAnsi="Calibri"/>
          <w:color w:val="auto"/>
          <w:szCs w:val="21"/>
          <w:highlight w:val="none"/>
        </w:rPr>
        <w:t>14.4.3如果成交供应商没有按照上述规定执行，采购人将有充分理由取消该成交决定。在此情况下，采购人可将合同授予其他满足采购要求的供应商，或重新组织采购。</w:t>
      </w:r>
    </w:p>
    <w:p>
      <w:pPr>
        <w:spacing w:line="312" w:lineRule="auto"/>
        <w:jc w:val="center"/>
        <w:outlineLvl w:val="0"/>
        <w:rPr>
          <w:rFonts w:hint="eastAsia"/>
          <w:b/>
          <w:color w:val="auto"/>
          <w:sz w:val="32"/>
          <w:szCs w:val="32"/>
          <w:highlight w:val="none"/>
        </w:rPr>
      </w:pPr>
    </w:p>
    <w:p>
      <w:pPr>
        <w:spacing w:line="312" w:lineRule="auto"/>
        <w:jc w:val="center"/>
        <w:outlineLvl w:val="0"/>
        <w:rPr>
          <w:rFonts w:hint="eastAsia"/>
          <w:b/>
          <w:color w:val="auto"/>
          <w:sz w:val="32"/>
          <w:szCs w:val="32"/>
          <w:highlight w:val="none"/>
        </w:rPr>
      </w:pPr>
    </w:p>
    <w:p>
      <w:pPr>
        <w:spacing w:line="312" w:lineRule="auto"/>
        <w:jc w:val="center"/>
        <w:outlineLvl w:val="0"/>
        <w:rPr>
          <w:rFonts w:hint="eastAsia"/>
          <w:b/>
          <w:color w:val="auto"/>
          <w:sz w:val="32"/>
          <w:szCs w:val="32"/>
          <w:highlight w:val="none"/>
        </w:rPr>
      </w:pPr>
    </w:p>
    <w:p>
      <w:pPr>
        <w:spacing w:line="312" w:lineRule="auto"/>
        <w:jc w:val="center"/>
        <w:outlineLvl w:val="0"/>
        <w:rPr>
          <w:rFonts w:hint="eastAsia"/>
          <w:b/>
          <w:color w:val="auto"/>
          <w:sz w:val="32"/>
          <w:szCs w:val="32"/>
          <w:highlight w:val="none"/>
        </w:rPr>
      </w:pPr>
    </w:p>
    <w:p>
      <w:pPr>
        <w:spacing w:line="312" w:lineRule="auto"/>
        <w:jc w:val="center"/>
        <w:outlineLvl w:val="0"/>
        <w:rPr>
          <w:b/>
          <w:color w:val="auto"/>
          <w:sz w:val="32"/>
          <w:szCs w:val="32"/>
          <w:highlight w:val="none"/>
        </w:rPr>
      </w:pPr>
      <w:r>
        <w:rPr>
          <w:rFonts w:hint="eastAsia"/>
          <w:b/>
          <w:color w:val="auto"/>
          <w:sz w:val="32"/>
          <w:szCs w:val="32"/>
          <w:highlight w:val="none"/>
        </w:rPr>
        <w:t>第三部分  合同条款</w:t>
      </w:r>
    </w:p>
    <w:p>
      <w:pPr>
        <w:pStyle w:val="21"/>
        <w:rPr>
          <w:color w:val="auto"/>
          <w:highlight w:val="none"/>
        </w:rPr>
      </w:pPr>
    </w:p>
    <w:p>
      <w:pPr>
        <w:rPr>
          <w:color w:val="auto"/>
          <w:highlight w:val="none"/>
        </w:rPr>
      </w:pPr>
    </w:p>
    <w:p>
      <w:pPr>
        <w:spacing w:line="720" w:lineRule="auto"/>
        <w:jc w:val="center"/>
        <w:rPr>
          <w:rFonts w:ascii="宋体" w:hAnsi="宋体" w:cs="华文楷体"/>
          <w:b/>
          <w:color w:val="auto"/>
          <w:sz w:val="44"/>
          <w:szCs w:val="44"/>
          <w:highlight w:val="none"/>
          <w:u w:val="single"/>
        </w:rPr>
      </w:pPr>
      <w:r>
        <w:rPr>
          <w:color w:val="auto"/>
          <w:sz w:val="44"/>
          <w:highlight w:val="none"/>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226695</wp:posOffset>
                </wp:positionV>
                <wp:extent cx="5771515" cy="1048385"/>
                <wp:effectExtent l="9525" t="13970" r="10160" b="1397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1515" cy="1048385"/>
                        </a:xfrm>
                        <a:prstGeom prst="rect">
                          <a:avLst/>
                        </a:prstGeom>
                        <a:solidFill>
                          <a:srgbClr val="FFFFFF"/>
                        </a:solidFill>
                        <a:ln w="9525">
                          <a:solidFill>
                            <a:srgbClr val="000000"/>
                          </a:solidFill>
                          <a:miter lim="800000"/>
                        </a:ln>
                      </wps:spPr>
                      <wps:txbx>
                        <w:txbxContent>
                          <w:p>
                            <w:pPr>
                              <w:pStyle w:val="6"/>
                              <w:ind w:firstLine="0"/>
                              <w:jc w:val="left"/>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w:t>
                            </w:r>
                            <w:r>
                              <w:rPr>
                                <w:rFonts w:hint="eastAsia" w:ascii="宋体" w:hAnsi="宋体" w:cs="宋体"/>
                                <w:sz w:val="24"/>
                                <w:szCs w:val="24"/>
                              </w:rPr>
                              <w:t>采购</w:t>
                            </w:r>
                            <w:r>
                              <w:rPr>
                                <w:rFonts w:ascii="宋体" w:hAnsi="宋体" w:cs="宋体"/>
                                <w:sz w:val="24"/>
                                <w:szCs w:val="24"/>
                              </w:rPr>
                              <w:t>文件、投标文件的实质性内容相背离。</w:t>
                            </w:r>
                          </w:p>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6.8pt;margin-top:17.85pt;height:82.55pt;width:454.45pt;z-index:251659264;mso-width-relative:page;mso-height-relative:page;" fillcolor="#FFFFFF" filled="t" stroked="t" coordsize="21600,21600" o:gfxdata="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duzx2QAAAAoBAAAPAAAAAAAAAAEAIAAAACIAAABkcnMvZG93bnJldi54bWxQSwECFAAUAAAA&#10;CACHTuJAvrLvhSYCAAA6BAAADgAAAAAAAAABACAAAAAoAQAAZHJzL2Uyb0RvYy54bWxQSwUGAAAA&#10;AAYABgBZAQAAwAUAAAAA&#10;">
                <v:fill on="t" focussize="0,0"/>
                <v:stroke color="#000000" miterlimit="8" joinstyle="miter"/>
                <v:imagedata o:title=""/>
                <o:lock v:ext="edit" aspectratio="f"/>
                <v:textbox>
                  <w:txbxContent>
                    <w:p>
                      <w:pPr>
                        <w:pStyle w:val="6"/>
                        <w:ind w:firstLine="0"/>
                        <w:jc w:val="left"/>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w:t>
                      </w:r>
                      <w:r>
                        <w:rPr>
                          <w:rFonts w:hint="eastAsia" w:ascii="宋体" w:hAnsi="宋体" w:cs="宋体"/>
                          <w:sz w:val="24"/>
                          <w:szCs w:val="24"/>
                        </w:rPr>
                        <w:t>采购</w:t>
                      </w:r>
                      <w:r>
                        <w:rPr>
                          <w:rFonts w:ascii="宋体" w:hAnsi="宋体" w:cs="宋体"/>
                          <w:sz w:val="24"/>
                          <w:szCs w:val="24"/>
                        </w:rPr>
                        <w:t>文件、投标文件的实质性内容相背离。</w:t>
                      </w:r>
                    </w:p>
                    <w:p/>
                  </w:txbxContent>
                </v:textbox>
              </v:shape>
            </w:pict>
          </mc:Fallback>
        </mc:AlternateContent>
      </w:r>
    </w:p>
    <w:p>
      <w:pPr>
        <w:pStyle w:val="46"/>
        <w:pageBreakBefore w:val="0"/>
        <w:overflowPunct/>
        <w:spacing w:before="0" w:after="0" w:line="400" w:lineRule="exact"/>
        <w:jc w:val="both"/>
        <w:outlineLvl w:val="9"/>
        <w:rPr>
          <w:rFonts w:ascii="仿宋" w:hAnsi="仿宋" w:eastAsia="仿宋" w:cs="仿宋"/>
          <w:b w:val="0"/>
          <w:color w:val="auto"/>
          <w:sz w:val="21"/>
          <w:szCs w:val="21"/>
          <w:highlight w:val="none"/>
        </w:rPr>
      </w:pPr>
    </w:p>
    <w:p>
      <w:pPr>
        <w:pStyle w:val="46"/>
        <w:pageBreakBefore w:val="0"/>
        <w:overflowPunct/>
        <w:spacing w:before="0" w:after="0" w:line="400" w:lineRule="exact"/>
        <w:jc w:val="both"/>
        <w:outlineLvl w:val="9"/>
        <w:rPr>
          <w:rFonts w:ascii="仿宋" w:hAnsi="仿宋" w:eastAsia="仿宋" w:cs="仿宋"/>
          <w:b w:val="0"/>
          <w:color w:val="auto"/>
          <w:sz w:val="21"/>
          <w:szCs w:val="21"/>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spacing w:line="720" w:lineRule="auto"/>
        <w:jc w:val="center"/>
        <w:rPr>
          <w:rFonts w:ascii="宋体" w:hAnsi="宋体" w:cs="华文楷体"/>
          <w:b/>
          <w:sz w:val="44"/>
          <w:szCs w:val="44"/>
          <w:highlight w:val="none"/>
        </w:rPr>
      </w:pPr>
      <w:r>
        <w:rPr>
          <w:rFonts w:hint="eastAsia" w:ascii="宋体" w:hAnsi="宋体" w:cs="华文楷体"/>
          <w:b/>
          <w:sz w:val="44"/>
          <w:szCs w:val="44"/>
          <w:highlight w:val="none"/>
          <w:u w:val="single"/>
          <w:lang w:val="en-US" w:eastAsia="zh-CN"/>
        </w:rPr>
        <w:t xml:space="preserve">                 设备</w:t>
      </w:r>
      <w:r>
        <w:rPr>
          <w:rFonts w:hint="eastAsia" w:ascii="宋体" w:hAnsi="宋体" w:cs="华文楷体"/>
          <w:b/>
          <w:sz w:val="44"/>
          <w:szCs w:val="44"/>
          <w:highlight w:val="none"/>
        </w:rPr>
        <w:t>采购合同</w:t>
      </w:r>
    </w:p>
    <w:p>
      <w:pPr>
        <w:tabs>
          <w:tab w:val="left" w:pos="1065"/>
        </w:tabs>
        <w:rPr>
          <w:color w:val="000000"/>
          <w:highlight w:val="none"/>
        </w:rPr>
      </w:pPr>
    </w:p>
    <w:p>
      <w:pPr>
        <w:tabs>
          <w:tab w:val="left" w:pos="1065"/>
        </w:tabs>
        <w:rPr>
          <w:color w:val="000000"/>
          <w:highlight w:val="none"/>
        </w:rPr>
      </w:pPr>
    </w:p>
    <w:p>
      <w:pPr>
        <w:tabs>
          <w:tab w:val="left" w:pos="1065"/>
        </w:tabs>
        <w:rPr>
          <w:color w:val="000000"/>
          <w:highlight w:val="none"/>
        </w:rPr>
      </w:pPr>
    </w:p>
    <w:p>
      <w:pPr>
        <w:tabs>
          <w:tab w:val="left" w:pos="1065"/>
        </w:tabs>
        <w:rPr>
          <w:rFonts w:hint="eastAsia"/>
          <w:b/>
          <w:color w:val="000000"/>
          <w:sz w:val="28"/>
          <w:szCs w:val="28"/>
          <w:highlight w:val="none"/>
        </w:rPr>
      </w:pPr>
    </w:p>
    <w:p>
      <w:pPr>
        <w:tabs>
          <w:tab w:val="left" w:pos="1065"/>
        </w:tabs>
        <w:rPr>
          <w:rFonts w:hint="eastAsia"/>
          <w:b/>
          <w:color w:val="000000"/>
          <w:sz w:val="28"/>
          <w:szCs w:val="28"/>
          <w:highlight w:val="none"/>
        </w:rPr>
      </w:pPr>
      <w:r>
        <w:rPr>
          <w:rFonts w:hint="eastAsia"/>
          <w:b/>
          <w:color w:val="000000"/>
          <w:sz w:val="28"/>
          <w:szCs w:val="28"/>
          <w:highlight w:val="none"/>
        </w:rPr>
        <w:t>项目名称：</w:t>
      </w:r>
    </w:p>
    <w:p>
      <w:pPr>
        <w:tabs>
          <w:tab w:val="left" w:pos="1065"/>
        </w:tabs>
        <w:rPr>
          <w:rFonts w:hint="eastAsia"/>
          <w:b/>
          <w:color w:val="000000"/>
          <w:sz w:val="28"/>
          <w:szCs w:val="28"/>
          <w:highlight w:val="none"/>
        </w:rPr>
      </w:pPr>
      <w:r>
        <w:rPr>
          <w:rFonts w:hint="eastAsia"/>
          <w:b/>
          <w:color w:val="000000"/>
          <w:sz w:val="28"/>
          <w:szCs w:val="28"/>
          <w:highlight w:val="none"/>
        </w:rPr>
        <w:t>项目编号：签订地：广州</w:t>
      </w:r>
    </w:p>
    <w:p>
      <w:pPr>
        <w:spacing w:line="360" w:lineRule="auto"/>
        <w:rPr>
          <w:rFonts w:hint="eastAsia" w:eastAsia="宋体"/>
          <w:b/>
          <w:color w:val="000000"/>
          <w:sz w:val="28"/>
          <w:szCs w:val="28"/>
          <w:highlight w:val="none"/>
          <w:lang w:eastAsia="zh-CN"/>
        </w:rPr>
      </w:pPr>
      <w:r>
        <w:rPr>
          <w:rFonts w:hint="eastAsia"/>
          <w:b/>
          <w:color w:val="000000"/>
          <w:sz w:val="28"/>
          <w:szCs w:val="28"/>
          <w:highlight w:val="none"/>
        </w:rPr>
        <w:t>甲方（买方）：</w:t>
      </w:r>
      <w:r>
        <w:rPr>
          <w:rFonts w:hint="eastAsia"/>
          <w:b/>
          <w:color w:val="000000"/>
          <w:sz w:val="28"/>
          <w:szCs w:val="28"/>
          <w:highlight w:val="none"/>
          <w:lang w:eastAsia="zh-CN"/>
        </w:rPr>
        <w:t>广东机场白云信息科技股份有限公司</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法定代表人：关 华</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highlight w:val="none"/>
        </w:rPr>
      </w:pPr>
      <w:r>
        <w:rPr>
          <w:rFonts w:hint="eastAsia" w:ascii="宋体" w:hAnsi="宋体" w:eastAsia="宋体" w:cs="宋体"/>
          <w:b w:val="0"/>
          <w:bCs/>
          <w:color w:val="000000"/>
          <w:sz w:val="28"/>
          <w:szCs w:val="28"/>
          <w:highlight w:val="none"/>
        </w:rPr>
        <w:t>住  所：广州市白云区新白云国际机场A4地块二级公司业务楼北楼</w:t>
      </w:r>
    </w:p>
    <w:p>
      <w:pPr>
        <w:tabs>
          <w:tab w:val="left" w:pos="1065"/>
        </w:tabs>
        <w:rPr>
          <w:rFonts w:hint="eastAsia" w:ascii="Times New Roman" w:hAnsi="Times New Roman" w:eastAsia="宋体" w:cs="Times New Roman"/>
          <w:b/>
          <w:color w:val="000000"/>
          <w:sz w:val="28"/>
          <w:szCs w:val="28"/>
          <w:highlight w:val="none"/>
        </w:rPr>
      </w:pPr>
      <w:r>
        <w:rPr>
          <w:rFonts w:hint="eastAsia"/>
          <w:b/>
          <w:color w:val="000000"/>
          <w:sz w:val="28"/>
          <w:szCs w:val="28"/>
          <w:highlight w:val="none"/>
        </w:rPr>
        <w:t>乙方（卖方）：</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法定代表人：</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住  所：</w:t>
      </w:r>
    </w:p>
    <w:p>
      <w:pPr>
        <w:widowControl/>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使用说明</w:t>
      </w:r>
    </w:p>
    <w:p>
      <w:pPr>
        <w:spacing w:line="360" w:lineRule="auto"/>
        <w:ind w:firstLine="640" w:firstLineChars="200"/>
        <w:rPr>
          <w:rFonts w:ascii="华文中宋" w:hAnsi="华文中宋" w:eastAsia="华文中宋"/>
          <w:color w:val="000000"/>
          <w:sz w:val="32"/>
          <w:szCs w:val="32"/>
          <w:highlight w:val="none"/>
        </w:rPr>
      </w:pPr>
    </w:p>
    <w:p>
      <w:p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一、</w:t>
      </w:r>
      <w:r>
        <w:rPr>
          <w:rFonts w:hint="eastAsia" w:ascii="仿宋" w:hAnsi="仿宋" w:eastAsia="仿宋" w:cs="仿宋"/>
          <w:color w:val="000000"/>
          <w:sz w:val="32"/>
          <w:szCs w:val="32"/>
          <w:highlight w:val="none"/>
        </w:rPr>
        <w:t>合同</w:t>
      </w:r>
      <w:r>
        <w:rPr>
          <w:rFonts w:hint="eastAsia" w:ascii="仿宋" w:hAnsi="仿宋" w:eastAsia="仿宋" w:cs="仿宋"/>
          <w:color w:val="000000"/>
          <w:sz w:val="32"/>
          <w:szCs w:val="32"/>
          <w:highlight w:val="none"/>
          <w:lang w:eastAsia="zh-CN"/>
        </w:rPr>
        <w:t>范</w:t>
      </w:r>
      <w:r>
        <w:rPr>
          <w:rFonts w:hint="eastAsia" w:ascii="仿宋" w:hAnsi="仿宋" w:eastAsia="仿宋" w:cs="仿宋"/>
          <w:color w:val="000000"/>
          <w:sz w:val="32"/>
          <w:szCs w:val="32"/>
          <w:highlight w:val="none"/>
        </w:rPr>
        <w:t>本适用于</w:t>
      </w:r>
      <w:r>
        <w:rPr>
          <w:rFonts w:hint="eastAsia" w:ascii="仿宋" w:hAnsi="仿宋" w:eastAsia="仿宋" w:cs="仿宋"/>
          <w:color w:val="000000"/>
          <w:sz w:val="32"/>
          <w:szCs w:val="32"/>
          <w:highlight w:val="none"/>
          <w:lang w:eastAsia="zh-CN"/>
        </w:rPr>
        <w:t>白云信息</w:t>
      </w:r>
      <w:r>
        <w:rPr>
          <w:rFonts w:hint="eastAsia" w:ascii="仿宋" w:hAnsi="仿宋" w:eastAsia="仿宋" w:cs="仿宋"/>
          <w:color w:val="000000"/>
          <w:sz w:val="32"/>
          <w:szCs w:val="32"/>
          <w:highlight w:val="none"/>
        </w:rPr>
        <w:t>公司</w:t>
      </w:r>
      <w:r>
        <w:rPr>
          <w:rFonts w:hint="eastAsia" w:ascii="仿宋" w:hAnsi="仿宋" w:eastAsia="仿宋" w:cs="仿宋"/>
          <w:color w:val="000000"/>
          <w:sz w:val="32"/>
          <w:szCs w:val="32"/>
          <w:highlight w:val="none"/>
          <w:lang w:eastAsia="zh-CN"/>
        </w:rPr>
        <w:t>设备</w:t>
      </w:r>
      <w:r>
        <w:rPr>
          <w:rFonts w:hint="eastAsia" w:ascii="仿宋" w:hAnsi="仿宋" w:eastAsia="仿宋" w:cs="仿宋"/>
          <w:color w:val="000000"/>
          <w:sz w:val="32"/>
          <w:szCs w:val="32"/>
          <w:highlight w:val="none"/>
          <w:lang w:val="en-US" w:eastAsia="zh-CN"/>
        </w:rPr>
        <w:t>(物料）</w:t>
      </w:r>
      <w:r>
        <w:rPr>
          <w:rFonts w:hint="eastAsia" w:ascii="仿宋" w:hAnsi="仿宋" w:eastAsia="仿宋" w:cs="仿宋"/>
          <w:color w:val="000000"/>
          <w:sz w:val="32"/>
          <w:szCs w:val="32"/>
          <w:highlight w:val="none"/>
          <w:lang w:eastAsia="zh-CN"/>
        </w:rPr>
        <w:t>采购</w:t>
      </w:r>
      <w:r>
        <w:rPr>
          <w:rFonts w:hint="eastAsia" w:ascii="仿宋" w:hAnsi="仿宋" w:eastAsia="仿宋" w:cs="仿宋"/>
          <w:color w:val="000000"/>
          <w:sz w:val="32"/>
          <w:szCs w:val="32"/>
          <w:highlight w:val="none"/>
          <w:lang w:val="en-US" w:eastAsia="zh-CN"/>
        </w:rPr>
        <w:t>支出</w:t>
      </w:r>
      <w:r>
        <w:rPr>
          <w:rFonts w:hint="eastAsia" w:ascii="仿宋" w:hAnsi="仿宋" w:eastAsia="仿宋" w:cs="仿宋"/>
          <w:color w:val="000000"/>
          <w:sz w:val="32"/>
          <w:szCs w:val="32"/>
          <w:highlight w:val="none"/>
        </w:rPr>
        <w:t>合同。</w:t>
      </w:r>
    </w:p>
    <w:p>
      <w:p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二、</w:t>
      </w:r>
      <w:r>
        <w:rPr>
          <w:rFonts w:hint="eastAsia" w:ascii="仿宋" w:hAnsi="仿宋" w:eastAsia="仿宋" w:cs="仿宋"/>
          <w:color w:val="000000"/>
          <w:sz w:val="32"/>
          <w:szCs w:val="32"/>
          <w:highlight w:val="none"/>
        </w:rPr>
        <w:t>对合同</w:t>
      </w:r>
      <w:r>
        <w:rPr>
          <w:rFonts w:hint="eastAsia" w:ascii="仿宋" w:hAnsi="仿宋" w:eastAsia="仿宋" w:cs="仿宋"/>
          <w:color w:val="000000"/>
          <w:sz w:val="32"/>
          <w:szCs w:val="32"/>
          <w:highlight w:val="none"/>
          <w:lang w:eastAsia="zh-CN"/>
        </w:rPr>
        <w:t>范</w:t>
      </w:r>
      <w:r>
        <w:rPr>
          <w:rFonts w:hint="eastAsia" w:ascii="仿宋" w:hAnsi="仿宋" w:eastAsia="仿宋" w:cs="仿宋"/>
          <w:color w:val="000000"/>
          <w:sz w:val="32"/>
          <w:szCs w:val="32"/>
          <w:highlight w:val="none"/>
        </w:rPr>
        <w:t>本中需当事人填写之处，如当事人约定无需填写的，则应注明“无”</w:t>
      </w:r>
      <w:r>
        <w:rPr>
          <w:rFonts w:hint="eastAsia" w:ascii="仿宋" w:hAnsi="仿宋" w:eastAsia="仿宋" w:cs="仿宋"/>
          <w:color w:val="000000"/>
          <w:sz w:val="32"/>
          <w:szCs w:val="32"/>
          <w:highlight w:val="none"/>
          <w:lang w:eastAsia="zh-CN"/>
        </w:rPr>
        <w:t>或划“</w:t>
      </w:r>
      <w:r>
        <w:rPr>
          <w:rFonts w:hint="eastAsia" w:ascii="仿宋" w:hAnsi="仿宋" w:eastAsia="仿宋" w:cs="仿宋"/>
          <w:color w:val="000000"/>
          <w:sz w:val="32"/>
          <w:szCs w:val="32"/>
          <w:highlight w:val="none"/>
          <w:u w:val="single"/>
          <w:lang w:val="en-US" w:eastAsia="zh-CN"/>
        </w:rPr>
        <w:t xml:space="preserve"> / </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p>
    <w:p>
      <w:p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对合同</w:t>
      </w:r>
      <w:r>
        <w:rPr>
          <w:rFonts w:hint="eastAsia" w:ascii="仿宋" w:hAnsi="仿宋" w:eastAsia="仿宋" w:cs="仿宋"/>
          <w:color w:val="000000"/>
          <w:sz w:val="32"/>
          <w:szCs w:val="32"/>
          <w:highlight w:val="none"/>
          <w:lang w:eastAsia="zh-CN"/>
        </w:rPr>
        <w:t>范</w:t>
      </w:r>
      <w:r>
        <w:rPr>
          <w:rFonts w:hint="eastAsia" w:ascii="仿宋" w:hAnsi="仿宋" w:eastAsia="仿宋" w:cs="仿宋"/>
          <w:color w:val="000000"/>
          <w:sz w:val="32"/>
          <w:szCs w:val="32"/>
          <w:highlight w:val="none"/>
        </w:rPr>
        <w:t>本</w:t>
      </w:r>
      <w:r>
        <w:rPr>
          <w:rFonts w:hint="eastAsia" w:ascii="仿宋" w:hAnsi="仿宋" w:eastAsia="仿宋" w:cs="仿宋"/>
          <w:color w:val="000000"/>
          <w:sz w:val="32"/>
          <w:szCs w:val="32"/>
          <w:highlight w:val="none"/>
          <w:lang w:eastAsia="zh-CN"/>
        </w:rPr>
        <w:t>未划线部分</w:t>
      </w:r>
      <w:r>
        <w:rPr>
          <w:rFonts w:hint="eastAsia" w:ascii="仿宋" w:hAnsi="仿宋" w:eastAsia="仿宋" w:cs="仿宋"/>
          <w:color w:val="000000"/>
          <w:sz w:val="32"/>
          <w:szCs w:val="32"/>
          <w:highlight w:val="none"/>
        </w:rPr>
        <w:t>的任何修改或补充，当事人均应在合同“特别约定”条款中可填写处进行约定，不得直接对合同条款进行改动。</w:t>
      </w:r>
    </w:p>
    <w:p>
      <w:pPr>
        <w:widowControl w:val="0"/>
        <w:numPr>
          <w:ilvl w:val="0"/>
          <w:numId w:val="0"/>
        </w:numPr>
        <w:spacing w:line="360" w:lineRule="auto"/>
        <w:jc w:val="both"/>
        <w:rPr>
          <w:rFonts w:hint="eastAsia" w:ascii="仿宋" w:hAnsi="仿宋" w:eastAsia="仿宋" w:cs="仿宋"/>
          <w:sz w:val="32"/>
          <w:szCs w:val="32"/>
          <w:highlight w:val="none"/>
        </w:rPr>
      </w:pP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广东机场白云信息科技股份有限公司</w:t>
      </w:r>
      <w:r>
        <w:rPr>
          <w:rFonts w:hint="eastAsia" w:ascii="仿宋" w:hAnsi="仿宋" w:eastAsia="仿宋" w:cs="仿宋"/>
          <w:szCs w:val="21"/>
          <w:highlight w:val="none"/>
        </w:rPr>
        <w:t>（以下简称甲方）与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szCs w:val="21"/>
          <w:highlight w:val="none"/>
        </w:rPr>
        <w:t>（以下简称乙方）</w:t>
      </w:r>
      <w:r>
        <w:rPr>
          <w:rFonts w:hint="eastAsia" w:ascii="仿宋" w:hAnsi="仿宋" w:eastAsia="仿宋" w:cs="仿宋"/>
          <w:szCs w:val="21"/>
          <w:highlight w:val="none"/>
        </w:rPr>
        <w:t>就甲方向乙方采购</w:t>
      </w:r>
      <w:r>
        <w:rPr>
          <w:rFonts w:hint="eastAsia" w:ascii="仿宋" w:hAnsi="仿宋" w:eastAsia="仿宋" w:cs="仿宋"/>
          <w:szCs w:val="21"/>
          <w:highlight w:val="none"/>
          <w:u w:val="single"/>
          <w:lang w:val="en-US" w:eastAsia="zh-CN"/>
        </w:rPr>
        <w:t xml:space="preserve">           设备</w:t>
      </w:r>
      <w:r>
        <w:rPr>
          <w:rFonts w:hint="eastAsia" w:ascii="仿宋" w:hAnsi="仿宋" w:eastAsia="仿宋" w:cs="仿宋"/>
          <w:szCs w:val="21"/>
          <w:highlight w:val="none"/>
        </w:rPr>
        <w:t>事宜，根据《中华人民共和国民法典》及有关规定，为明确双方权利、义务和经济责任，经双方协商同意签订本合同。</w:t>
      </w:r>
    </w:p>
    <w:p>
      <w:pPr>
        <w:pStyle w:val="26"/>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szCs w:val="24"/>
          <w:highlight w:val="none"/>
        </w:rPr>
      </w:pPr>
      <w:r>
        <w:rPr>
          <w:rFonts w:hint="eastAsia" w:ascii="仿宋" w:hAnsi="仿宋" w:eastAsia="仿宋" w:cs="仿宋"/>
          <w:b/>
          <w:bCs/>
          <w:sz w:val="24"/>
          <w:szCs w:val="24"/>
          <w:highlight w:val="none"/>
        </w:rPr>
        <w:t>1.合同标的及价格</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Cs/>
          <w:szCs w:val="21"/>
          <w:highlight w:val="none"/>
        </w:rPr>
      </w:pPr>
      <w:r>
        <w:rPr>
          <w:rFonts w:hint="eastAsia" w:ascii="仿宋" w:hAnsi="仿宋" w:eastAsia="仿宋" w:cs="仿宋"/>
          <w:bCs/>
          <w:szCs w:val="21"/>
          <w:highlight w:val="none"/>
        </w:rPr>
        <w:t>1</w:t>
      </w:r>
      <w:r>
        <w:rPr>
          <w:rFonts w:ascii="仿宋" w:hAnsi="仿宋" w:eastAsia="仿宋" w:cs="仿宋"/>
          <w:bCs/>
          <w:szCs w:val="21"/>
          <w:highlight w:val="none"/>
        </w:rPr>
        <w:t xml:space="preserve">.1 </w:t>
      </w:r>
      <w:r>
        <w:rPr>
          <w:rFonts w:hint="eastAsia" w:ascii="仿宋" w:hAnsi="仿宋" w:eastAsia="仿宋" w:cs="仿宋"/>
          <w:bCs/>
          <w:szCs w:val="21"/>
          <w:highlight w:val="none"/>
        </w:rPr>
        <w:t>货物清单：</w:t>
      </w:r>
    </w:p>
    <w:tbl>
      <w:tblPr>
        <w:tblStyle w:val="51"/>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652"/>
        <w:gridCol w:w="1227"/>
        <w:gridCol w:w="1292"/>
        <w:gridCol w:w="558"/>
        <w:gridCol w:w="576"/>
        <w:gridCol w:w="1049"/>
        <w:gridCol w:w="87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0"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652"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采购内容</w:t>
            </w:r>
          </w:p>
        </w:tc>
        <w:tc>
          <w:tcPr>
            <w:tcW w:w="1227" w:type="dxa"/>
            <w:noWrap w:val="0"/>
            <w:vAlign w:val="center"/>
          </w:tcPr>
          <w:p>
            <w:pPr>
              <w:keepNext w:val="0"/>
              <w:keepLines w:val="0"/>
              <w:widowControl/>
              <w:suppressLineNumbers w:val="0"/>
              <w:jc w:val="center"/>
              <w:textAlignment w:val="center"/>
              <w:rPr>
                <w:rFonts w:hint="eastAsia" w:ascii="宋体" w:hAnsi="宋体" w:eastAsia="宋体" w:cs="宋体"/>
                <w:b/>
                <w:bCs/>
                <w:sz w:val="22"/>
                <w:szCs w:val="22"/>
                <w:highlight w:val="none"/>
                <w:lang w:val="en-US" w:eastAsia="zh-CN"/>
              </w:rPr>
            </w:pPr>
            <w:r>
              <w:rPr>
                <w:rFonts w:hint="eastAsia" w:ascii="宋体" w:hAnsi="宋体" w:eastAsia="宋体" w:cs="宋体"/>
                <w:b/>
                <w:bCs/>
                <w:i w:val="0"/>
                <w:color w:val="000000"/>
                <w:kern w:val="0"/>
                <w:sz w:val="22"/>
                <w:szCs w:val="22"/>
                <w:highlight w:val="none"/>
                <w:u w:val="none"/>
                <w:lang w:val="en-US" w:eastAsia="zh-CN" w:bidi="ar"/>
              </w:rPr>
              <w:t>型号</w:t>
            </w:r>
          </w:p>
        </w:tc>
        <w:tc>
          <w:tcPr>
            <w:tcW w:w="1292" w:type="dxa"/>
            <w:noWrap w:val="0"/>
            <w:vAlign w:val="center"/>
          </w:tcPr>
          <w:p>
            <w:pPr>
              <w:keepNext w:val="0"/>
              <w:keepLines w:val="0"/>
              <w:widowControl/>
              <w:suppressLineNumbers w:val="0"/>
              <w:jc w:val="center"/>
              <w:textAlignment w:val="center"/>
              <w:rPr>
                <w:rFonts w:hint="eastAsia" w:ascii="宋体" w:hAnsi="宋体" w:eastAsia="宋体" w:cs="宋体"/>
                <w:b/>
                <w:bCs/>
                <w:sz w:val="22"/>
                <w:szCs w:val="22"/>
                <w:highlight w:val="none"/>
                <w:lang w:val="en-US" w:eastAsia="zh-CN"/>
              </w:rPr>
            </w:pPr>
            <w:r>
              <w:rPr>
                <w:rFonts w:hint="eastAsia" w:ascii="宋体" w:hAnsi="宋体" w:eastAsia="宋体" w:cs="宋体"/>
                <w:b/>
                <w:bCs/>
                <w:i w:val="0"/>
                <w:color w:val="000000"/>
                <w:kern w:val="0"/>
                <w:sz w:val="22"/>
                <w:szCs w:val="22"/>
                <w:highlight w:val="none"/>
                <w:u w:val="none"/>
                <w:lang w:val="en-US" w:eastAsia="zh-CN" w:bidi="ar"/>
              </w:rPr>
              <w:t>规格</w:t>
            </w:r>
          </w:p>
        </w:tc>
        <w:tc>
          <w:tcPr>
            <w:tcW w:w="558" w:type="dxa"/>
            <w:noWrap w:val="0"/>
            <w:vAlign w:val="center"/>
          </w:tcPr>
          <w:p>
            <w:pPr>
              <w:keepNext w:val="0"/>
              <w:keepLines w:val="0"/>
              <w:widowControl/>
              <w:suppressLineNumbers w:val="0"/>
              <w:jc w:val="center"/>
              <w:textAlignment w:val="center"/>
              <w:rPr>
                <w:rFonts w:hint="eastAsia" w:ascii="宋体" w:hAnsi="宋体" w:eastAsia="宋体" w:cs="宋体"/>
                <w:b/>
                <w:bCs/>
                <w:sz w:val="22"/>
                <w:szCs w:val="22"/>
                <w:highlight w:val="none"/>
                <w:lang w:val="en-US" w:eastAsia="zh-CN"/>
              </w:rPr>
            </w:pPr>
            <w:r>
              <w:rPr>
                <w:rFonts w:hint="eastAsia" w:ascii="宋体" w:hAnsi="宋体" w:eastAsia="宋体" w:cs="宋体"/>
                <w:b/>
                <w:bCs/>
                <w:i w:val="0"/>
                <w:color w:val="000000"/>
                <w:kern w:val="0"/>
                <w:sz w:val="22"/>
                <w:szCs w:val="22"/>
                <w:highlight w:val="none"/>
                <w:u w:val="none"/>
                <w:lang w:val="en-US" w:eastAsia="zh-CN" w:bidi="ar"/>
              </w:rPr>
              <w:t>品牌</w:t>
            </w:r>
          </w:p>
        </w:tc>
        <w:tc>
          <w:tcPr>
            <w:tcW w:w="576" w:type="dxa"/>
            <w:noWrap w:val="0"/>
            <w:vAlign w:val="center"/>
          </w:tcPr>
          <w:p>
            <w:pPr>
              <w:keepNext w:val="0"/>
              <w:keepLines w:val="0"/>
              <w:widowControl/>
              <w:suppressLineNumbers w:val="0"/>
              <w:jc w:val="center"/>
              <w:textAlignment w:val="center"/>
              <w:rPr>
                <w:rFonts w:hint="eastAsia" w:ascii="宋体" w:hAnsi="宋体" w:eastAsia="宋体" w:cs="宋体"/>
                <w:b/>
                <w:bCs/>
                <w:sz w:val="22"/>
                <w:szCs w:val="22"/>
                <w:highlight w:val="none"/>
                <w:lang w:val="en-US" w:eastAsia="zh-CN"/>
              </w:rPr>
            </w:pPr>
            <w:r>
              <w:rPr>
                <w:rFonts w:hint="eastAsia" w:ascii="宋体" w:hAnsi="宋体" w:eastAsia="宋体" w:cs="宋体"/>
                <w:b/>
                <w:bCs/>
                <w:i w:val="0"/>
                <w:color w:val="000000"/>
                <w:kern w:val="0"/>
                <w:sz w:val="22"/>
                <w:szCs w:val="22"/>
                <w:highlight w:val="none"/>
                <w:u w:val="none"/>
                <w:lang w:val="en-US" w:eastAsia="zh-CN" w:bidi="ar"/>
              </w:rPr>
              <w:t>单位</w:t>
            </w:r>
          </w:p>
        </w:tc>
        <w:tc>
          <w:tcPr>
            <w:tcW w:w="1049" w:type="dxa"/>
            <w:noWrap w:val="0"/>
            <w:vAlign w:val="center"/>
          </w:tcPr>
          <w:p>
            <w:pPr>
              <w:keepNext w:val="0"/>
              <w:keepLines w:val="0"/>
              <w:widowControl/>
              <w:suppressLineNumbers w:val="0"/>
              <w:jc w:val="center"/>
              <w:textAlignment w:val="center"/>
              <w:rPr>
                <w:rFonts w:hint="eastAsia" w:ascii="宋体" w:hAnsi="宋体" w:eastAsia="宋体" w:cs="宋体"/>
                <w:b/>
                <w:bCs/>
                <w:sz w:val="22"/>
                <w:szCs w:val="22"/>
                <w:highlight w:val="none"/>
              </w:rPr>
            </w:pPr>
            <w:r>
              <w:rPr>
                <w:rFonts w:hint="eastAsia" w:ascii="宋体" w:hAnsi="宋体" w:eastAsia="宋体" w:cs="宋体"/>
                <w:b/>
                <w:bCs/>
                <w:i w:val="0"/>
                <w:color w:val="000000"/>
                <w:kern w:val="0"/>
                <w:sz w:val="22"/>
                <w:szCs w:val="22"/>
                <w:highlight w:val="none"/>
                <w:u w:val="none"/>
                <w:lang w:val="en-US" w:eastAsia="zh-CN" w:bidi="ar"/>
              </w:rPr>
              <w:t>数量</w:t>
            </w:r>
          </w:p>
        </w:tc>
        <w:tc>
          <w:tcPr>
            <w:tcW w:w="877" w:type="dxa"/>
            <w:noWrap w:val="0"/>
            <w:vAlign w:val="center"/>
          </w:tcPr>
          <w:p>
            <w:pPr>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单价</w:t>
            </w:r>
          </w:p>
        </w:tc>
        <w:tc>
          <w:tcPr>
            <w:tcW w:w="1215" w:type="dxa"/>
            <w:noWrap w:val="0"/>
            <w:vAlign w:val="center"/>
          </w:tcPr>
          <w:p>
            <w:pPr>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652" w:type="dxa"/>
            <w:noWrap w:val="0"/>
            <w:vAlign w:val="center"/>
          </w:tcPr>
          <w:p>
            <w:pPr>
              <w:keepNext w:val="0"/>
              <w:keepLines w:val="0"/>
              <w:widowControl/>
              <w:suppressLineNumbers w:val="0"/>
              <w:jc w:val="left"/>
              <w:textAlignment w:val="center"/>
              <w:rPr>
                <w:rFonts w:hint="default"/>
                <w:highlight w:val="none"/>
                <w:lang w:val="en-US" w:eastAsia="zh-CN"/>
              </w:rPr>
            </w:pPr>
          </w:p>
        </w:tc>
        <w:tc>
          <w:tcPr>
            <w:tcW w:w="1227"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w:t>
            </w:r>
          </w:p>
        </w:tc>
        <w:tc>
          <w:tcPr>
            <w:tcW w:w="1652" w:type="dxa"/>
            <w:noWrap w:val="0"/>
            <w:vAlign w:val="center"/>
          </w:tcPr>
          <w:p>
            <w:pPr>
              <w:keepNext w:val="0"/>
              <w:keepLines w:val="0"/>
              <w:widowControl/>
              <w:suppressLineNumbers w:val="0"/>
              <w:jc w:val="left"/>
              <w:textAlignment w:val="center"/>
              <w:rPr>
                <w:rFonts w:hint="default" w:ascii="仿宋_GB2312" w:hAnsi="宋体" w:eastAsia="仿宋_GB2312"/>
                <w:sz w:val="22"/>
                <w:highlight w:val="none"/>
                <w:lang w:val="en-US" w:eastAsia="zh-CN"/>
              </w:rPr>
            </w:pPr>
          </w:p>
        </w:tc>
        <w:tc>
          <w:tcPr>
            <w:tcW w:w="1227"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4</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5</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0"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6</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仿宋_GB2312" w:hAnsi="宋体" w:eastAsia="仿宋_GB2312"/>
                <w:sz w:val="22"/>
                <w:highlight w:val="none"/>
              </w:rPr>
            </w:pPr>
          </w:p>
        </w:tc>
        <w:tc>
          <w:tcPr>
            <w:tcW w:w="558"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576"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049" w:type="dxa"/>
            <w:noWrap w:val="0"/>
            <w:vAlign w:val="center"/>
          </w:tcPr>
          <w:p>
            <w:pPr>
              <w:keepNext w:val="0"/>
              <w:keepLines w:val="0"/>
              <w:widowControl/>
              <w:suppressLineNumbers w:val="0"/>
              <w:jc w:val="center"/>
              <w:textAlignment w:val="center"/>
              <w:rPr>
                <w:rFonts w:hint="default" w:ascii="仿宋_GB2312" w:hAnsi="宋体" w:eastAsia="仿宋_GB2312"/>
                <w:sz w:val="22"/>
                <w:highlight w:val="none"/>
                <w:lang w:val="en-US"/>
              </w:rPr>
            </w:pPr>
          </w:p>
        </w:tc>
        <w:tc>
          <w:tcPr>
            <w:tcW w:w="877" w:type="dxa"/>
            <w:noWrap w:val="0"/>
            <w:vAlign w:val="center"/>
          </w:tcPr>
          <w:p>
            <w:pPr>
              <w:keepNext w:val="0"/>
              <w:keepLines w:val="0"/>
              <w:widowControl/>
              <w:suppressLineNumbers w:val="0"/>
              <w:jc w:val="center"/>
              <w:textAlignment w:val="center"/>
              <w:rPr>
                <w:rFonts w:hint="default" w:ascii="仿宋_GB2312" w:hAnsi="宋体" w:eastAsia="仿宋_GB2312"/>
                <w:sz w:val="22"/>
                <w:highlight w:val="none"/>
                <w:lang w:val="en-US"/>
              </w:rPr>
            </w:pPr>
          </w:p>
        </w:tc>
        <w:tc>
          <w:tcPr>
            <w:tcW w:w="1215" w:type="dxa"/>
            <w:noWrap w:val="0"/>
            <w:vAlign w:val="center"/>
          </w:tcPr>
          <w:p>
            <w:pPr>
              <w:keepNext w:val="0"/>
              <w:keepLines w:val="0"/>
              <w:widowControl/>
              <w:suppressLineNumbers w:val="0"/>
              <w:jc w:val="center"/>
              <w:textAlignment w:val="center"/>
              <w:rPr>
                <w:rFonts w:hint="default" w:ascii="仿宋_GB2312" w:hAnsi="宋体" w:eastAsia="仿宋_GB2312"/>
                <w:sz w:val="2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55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p>
        </w:tc>
        <w:tc>
          <w:tcPr>
            <w:tcW w:w="5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55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5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w:t>
            </w:r>
          </w:p>
        </w:tc>
        <w:tc>
          <w:tcPr>
            <w:tcW w:w="16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29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55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5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77"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c>
          <w:tcPr>
            <w:tcW w:w="1215" w:type="dxa"/>
            <w:noWrap w:val="0"/>
            <w:vAlign w:val="center"/>
          </w:tcPr>
          <w:p>
            <w:pPr>
              <w:keepNext w:val="0"/>
              <w:keepLines w:val="0"/>
              <w:widowControl/>
              <w:suppressLineNumbers w:val="0"/>
              <w:jc w:val="center"/>
              <w:textAlignment w:val="center"/>
              <w:rPr>
                <w:rFonts w:hint="eastAsia" w:ascii="仿宋_GB2312" w:hAnsi="宋体" w:eastAsia="仿宋_GB23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12" w:type="dxa"/>
            <w:gridSpan w:val="2"/>
            <w:noWrap w:val="0"/>
            <w:vAlign w:val="center"/>
          </w:tcPr>
          <w:p>
            <w:pPr>
              <w:jc w:val="center"/>
              <w:rPr>
                <w:rFonts w:hint="eastAsia" w:ascii="仿宋_GB2312" w:hAnsi="宋体" w:eastAsia="仿宋_GB2312"/>
                <w:sz w:val="22"/>
                <w:highlight w:val="none"/>
                <w:lang w:eastAsia="zh-CN"/>
              </w:rPr>
            </w:pPr>
            <w:r>
              <w:rPr>
                <w:rFonts w:hint="eastAsia" w:ascii="仿宋_GB2312" w:hAnsi="宋体" w:eastAsia="仿宋_GB2312"/>
                <w:sz w:val="22"/>
                <w:highlight w:val="none"/>
              </w:rPr>
              <w:t>合计</w:t>
            </w:r>
            <w:r>
              <w:rPr>
                <w:rFonts w:hint="eastAsia" w:ascii="仿宋_GB2312" w:hAnsi="宋体" w:eastAsia="仿宋_GB2312"/>
                <w:sz w:val="22"/>
                <w:highlight w:val="none"/>
                <w:lang w:eastAsia="zh-CN"/>
              </w:rPr>
              <w:t>（</w:t>
            </w:r>
            <w:r>
              <w:rPr>
                <w:rFonts w:hint="eastAsia" w:ascii="仿宋_GB2312" w:hAnsi="宋体" w:eastAsia="仿宋_GB2312"/>
                <w:sz w:val="22"/>
                <w:highlight w:val="none"/>
                <w:lang w:val="en-US" w:eastAsia="zh-CN"/>
              </w:rPr>
              <w:t>含税</w:t>
            </w:r>
            <w:r>
              <w:rPr>
                <w:rFonts w:hint="eastAsia" w:ascii="仿宋_GB2312" w:hAnsi="宋体" w:eastAsia="仿宋_GB2312"/>
                <w:sz w:val="22"/>
                <w:highlight w:val="none"/>
                <w:lang w:eastAsia="zh-CN"/>
              </w:rPr>
              <w:t>）</w:t>
            </w:r>
          </w:p>
        </w:tc>
        <w:tc>
          <w:tcPr>
            <w:tcW w:w="5579" w:type="dxa"/>
            <w:gridSpan w:val="6"/>
            <w:noWrap w:val="0"/>
            <w:vAlign w:val="center"/>
          </w:tcPr>
          <w:p>
            <w:pPr>
              <w:jc w:val="center"/>
              <w:rPr>
                <w:rFonts w:hint="eastAsia" w:ascii="仿宋_GB2312" w:hAnsi="宋体" w:eastAsia="仿宋_GB2312"/>
                <w:sz w:val="22"/>
                <w:highlight w:val="none"/>
              </w:rPr>
            </w:pPr>
          </w:p>
        </w:tc>
        <w:tc>
          <w:tcPr>
            <w:tcW w:w="1215" w:type="dxa"/>
            <w:noWrap w:val="0"/>
            <w:vAlign w:val="center"/>
          </w:tcPr>
          <w:p>
            <w:pPr>
              <w:jc w:val="center"/>
              <w:rPr>
                <w:rFonts w:hint="eastAsia" w:ascii="仿宋_GB2312" w:hAnsi="宋体" w:eastAsia="仿宋_GB2312"/>
                <w:sz w:val="22"/>
                <w:highlight w:val="none"/>
              </w:rPr>
            </w:pPr>
            <w:r>
              <w:rPr>
                <w:rFonts w:hint="eastAsia" w:ascii="仿宋_GB2312" w:hAnsi="宋体" w:eastAsia="仿宋_GB2312"/>
                <w:sz w:val="22"/>
                <w:highlight w:val="none"/>
              </w:rPr>
              <w:t>税率（</w:t>
            </w:r>
            <w:r>
              <w:rPr>
                <w:rFonts w:hint="eastAsia" w:ascii="仿宋_GB2312" w:hAnsi="宋体" w:eastAsia="仿宋_GB2312"/>
                <w:sz w:val="22"/>
                <w:highlight w:val="none"/>
                <w:u w:val="single"/>
                <w:lang w:val="en-US" w:eastAsia="zh-CN"/>
              </w:rPr>
              <w:t xml:space="preserve"> </w:t>
            </w:r>
            <w:r>
              <w:rPr>
                <w:rFonts w:hint="eastAsia" w:ascii="仿宋_GB2312" w:hAnsi="宋体" w:eastAsia="仿宋_GB2312"/>
                <w:sz w:val="22"/>
                <w:highlight w:val="none"/>
              </w:rPr>
              <w:t>%）</w:t>
            </w:r>
          </w:p>
        </w:tc>
      </w:tr>
    </w:tbl>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bCs/>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 xml:space="preserve">.2 </w:t>
      </w:r>
      <w:r>
        <w:rPr>
          <w:rFonts w:hint="eastAsia" w:ascii="仿宋" w:hAnsi="仿宋" w:eastAsia="仿宋" w:cs="仿宋"/>
          <w:szCs w:val="21"/>
          <w:highlight w:val="none"/>
        </w:rPr>
        <w:t>合同总价为</w:t>
      </w:r>
      <w:r>
        <w:rPr>
          <w:rFonts w:hint="eastAsia" w:ascii="仿宋" w:hAnsi="仿宋" w:eastAsia="仿宋" w:cs="仿宋"/>
          <w:szCs w:val="21"/>
          <w:highlight w:val="none"/>
          <w:lang w:eastAsia="zh-CN"/>
        </w:rPr>
        <w:t>：</w:t>
      </w:r>
      <w:r>
        <w:rPr>
          <w:rFonts w:ascii="Calibri" w:hAnsi="Calibri" w:eastAsia="仿宋" w:cs="Calibri"/>
          <w:b/>
          <w:bCs/>
          <w:szCs w:val="21"/>
          <w:highlight w:val="none"/>
        </w:rPr>
        <w:t>¥</w:t>
      </w:r>
      <w:r>
        <w:rPr>
          <w:rFonts w:hint="eastAsia" w:ascii="仿宋" w:hAnsi="仿宋" w:eastAsia="仿宋" w:cs="仿宋"/>
          <w:szCs w:val="21"/>
          <w:highlight w:val="none"/>
          <w:u w:val="single"/>
        </w:rPr>
        <w:t xml:space="preserve"> </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仿宋" w:hAnsi="仿宋" w:eastAsia="仿宋"/>
          <w:bCs/>
          <w:szCs w:val="21"/>
          <w:highlight w:val="none"/>
        </w:rPr>
        <w:t>大写：</w:t>
      </w:r>
      <w:r>
        <w:rPr>
          <w:rFonts w:hint="eastAsia" w:ascii="仿宋" w:hAnsi="仿宋" w:eastAsia="仿宋"/>
          <w:szCs w:val="21"/>
          <w:highlight w:val="none"/>
        </w:rPr>
        <w:t>人民币</w:t>
      </w:r>
      <w:r>
        <w:rPr>
          <w:rFonts w:hint="eastAsia" w:ascii="仿宋" w:hAnsi="仿宋" w:eastAsia="仿宋"/>
          <w:szCs w:val="21"/>
          <w:highlight w:val="none"/>
          <w:u w:val="single"/>
          <w:lang w:val="en-US" w:eastAsia="zh-CN"/>
        </w:rPr>
        <w:t xml:space="preserve">          </w:t>
      </w:r>
      <w:r>
        <w:rPr>
          <w:rFonts w:hint="eastAsia" w:ascii="仿宋" w:hAnsi="仿宋" w:eastAsia="仿宋"/>
          <w:szCs w:val="21"/>
          <w:highlight w:val="none"/>
          <w:lang w:val="en-US" w:eastAsia="zh-CN"/>
        </w:rPr>
        <w:t xml:space="preserve"> </w:t>
      </w:r>
      <w:r>
        <w:rPr>
          <w:rFonts w:hint="eastAsia" w:ascii="仿宋" w:hAnsi="仿宋" w:eastAsia="仿宋"/>
          <w:bCs/>
          <w:szCs w:val="21"/>
          <w:highlight w:val="none"/>
          <w:u w:val="single"/>
        </w:rPr>
        <w:t>)</w:t>
      </w:r>
      <w:r>
        <w:rPr>
          <w:rFonts w:hint="eastAsia" w:ascii="仿宋" w:hAnsi="仿宋" w:eastAsia="仿宋"/>
          <w:bCs/>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highlight w:val="none"/>
        </w:rPr>
      </w:pPr>
      <w:r>
        <w:rPr>
          <w:rFonts w:hint="eastAsia" w:ascii="仿宋" w:hAnsi="仿宋" w:eastAsia="仿宋"/>
          <w:bCs/>
          <w:szCs w:val="21"/>
          <w:highlight w:val="none"/>
        </w:rPr>
        <w:t>该</w:t>
      </w:r>
      <w:r>
        <w:rPr>
          <w:rFonts w:hint="eastAsia" w:ascii="仿宋" w:hAnsi="仿宋" w:eastAsia="仿宋" w:cs="仿宋"/>
          <w:szCs w:val="21"/>
          <w:highlight w:val="none"/>
        </w:rPr>
        <w:t>总价包括原材料费、制作加工费、货物价款、包装费、运输费、保险费、装卸费、安装调试费、文件费、检测费、技术服务费、税费、售后服务费等。除合同另有规定外，甲方不再支付乙方其他费用。</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 xml:space="preserve">.3 </w:t>
      </w:r>
      <w:r>
        <w:rPr>
          <w:rFonts w:hint="eastAsia" w:ascii="仿宋" w:hAnsi="仿宋" w:eastAsia="仿宋" w:cs="仿宋"/>
          <w:szCs w:val="21"/>
          <w:highlight w:val="none"/>
        </w:rPr>
        <w:t>乙方应向甲方提供标的物相关服务：指导安装、调试、试运行、售后服务、保期保障等相关服务。</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 xml:space="preserve">.4 </w:t>
      </w:r>
      <w:r>
        <w:rPr>
          <w:rFonts w:hint="eastAsia" w:ascii="仿宋" w:hAnsi="仿宋" w:eastAsia="仿宋" w:cs="仿宋"/>
          <w:szCs w:val="21"/>
          <w:highlight w:val="none"/>
        </w:rPr>
        <w:t>乙方同意甲方在本合同签订后，有权根据自身需要增减相关货物，最终根据甲方实际采购量结算。</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2.交货期限、交货地点</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2.1 交货地点：除甲方特别指定地点外，交货地为：广州白云国际机场。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ascii="仿宋" w:hAnsi="仿宋" w:eastAsia="仿宋" w:cs="仿宋"/>
          <w:szCs w:val="21"/>
          <w:highlight w:val="none"/>
        </w:rPr>
      </w:pPr>
      <w:r>
        <w:rPr>
          <w:rFonts w:hint="eastAsia" w:ascii="仿宋" w:hAnsi="仿宋" w:eastAsia="仿宋" w:cs="仿宋"/>
          <w:szCs w:val="21"/>
          <w:highlight w:val="none"/>
        </w:rPr>
        <w:t>2.2</w:t>
      </w:r>
      <w:r>
        <w:rPr>
          <w:rFonts w:ascii="仿宋" w:hAnsi="仿宋" w:eastAsia="仿宋" w:cs="仿宋"/>
          <w:szCs w:val="21"/>
          <w:highlight w:val="none"/>
        </w:rPr>
        <w:t xml:space="preserve"> </w:t>
      </w:r>
      <w:r>
        <w:rPr>
          <w:rFonts w:hint="eastAsia" w:ascii="仿宋" w:hAnsi="仿宋" w:eastAsia="仿宋" w:cs="仿宋"/>
          <w:szCs w:val="21"/>
          <w:highlight w:val="none"/>
        </w:rPr>
        <w:t>到货方式及时间：双方协商一致，按照以下</w:t>
      </w:r>
      <w:r>
        <w:rPr>
          <w:rFonts w:hint="eastAsia" w:ascii="仿宋" w:hAnsi="仿宋" w:eastAsia="仿宋" w:cs="仿宋"/>
          <w:szCs w:val="21"/>
          <w:highlight w:val="none"/>
          <w:u w:val="single"/>
        </w:rPr>
        <w:t>2</w:t>
      </w:r>
      <w:r>
        <w:rPr>
          <w:rFonts w:ascii="仿宋" w:hAnsi="仿宋" w:eastAsia="仿宋" w:cs="仿宋"/>
          <w:szCs w:val="21"/>
          <w:highlight w:val="none"/>
          <w:u w:val="single"/>
        </w:rPr>
        <w:t>.2.</w:t>
      </w: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rPr>
        <w:t>方式交货</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货物到货后负责运入甲方指定的仓库并完成卸货：</w:t>
      </w:r>
    </w:p>
    <w:p>
      <w:pPr>
        <w:numPr>
          <w:ilvl w:val="0"/>
          <w:numId w:val="18"/>
        </w:numPr>
        <w:spacing w:line="360" w:lineRule="auto"/>
        <w:ind w:left="-60" w:leftChars="0" w:firstLine="480" w:firstLineChars="0"/>
        <w:rPr>
          <w:rFonts w:ascii="仿宋" w:hAnsi="仿宋" w:eastAsia="仿宋" w:cs="仿宋"/>
          <w:szCs w:val="21"/>
          <w:highlight w:val="none"/>
        </w:rPr>
      </w:pPr>
      <w:r>
        <w:rPr>
          <w:rFonts w:hint="eastAsia" w:ascii="仿宋" w:hAnsi="仿宋" w:eastAsia="仿宋" w:cs="仿宋"/>
          <w:szCs w:val="21"/>
          <w:highlight w:val="none"/>
        </w:rPr>
        <w:t>2</w:t>
      </w:r>
      <w:r>
        <w:rPr>
          <w:rFonts w:ascii="仿宋" w:hAnsi="仿宋" w:eastAsia="仿宋" w:cs="仿宋"/>
          <w:szCs w:val="21"/>
          <w:highlight w:val="none"/>
        </w:rPr>
        <w:t>.2</w:t>
      </w:r>
      <w:r>
        <w:rPr>
          <w:rFonts w:hint="eastAsia" w:ascii="仿宋" w:hAnsi="仿宋" w:eastAsia="仿宋" w:cs="仿宋"/>
          <w:szCs w:val="21"/>
          <w:highlight w:val="none"/>
        </w:rPr>
        <w:t>.</w:t>
      </w:r>
      <w:r>
        <w:rPr>
          <w:rFonts w:ascii="仿宋" w:hAnsi="仿宋" w:eastAsia="仿宋" w:cs="仿宋"/>
          <w:szCs w:val="21"/>
          <w:highlight w:val="none"/>
        </w:rPr>
        <w:t xml:space="preserve">1 </w:t>
      </w:r>
      <w:r>
        <w:rPr>
          <w:rFonts w:hint="eastAsia" w:ascii="仿宋" w:hAnsi="仿宋" w:eastAsia="仿宋" w:cs="仿宋"/>
          <w:szCs w:val="21"/>
          <w:highlight w:val="none"/>
        </w:rPr>
        <w:t>一次性全部到货：</w:t>
      </w:r>
      <w:r>
        <w:rPr>
          <w:rFonts w:hint="eastAsia" w:ascii="仿宋" w:hAnsi="仿宋" w:eastAsia="仿宋" w:cs="仿宋"/>
          <w:szCs w:val="21"/>
          <w:highlight w:val="none"/>
          <w:lang w:val="en-US" w:eastAsia="zh-CN"/>
        </w:rPr>
        <w:t>合同签订后</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日内完成本清单内材料到货，具体地点及时间根据甲方的安排。</w:t>
      </w:r>
    </w:p>
    <w:p>
      <w:pPr>
        <w:keepNext w:val="0"/>
        <w:keepLines w:val="0"/>
        <w:pageBreakBefore w:val="0"/>
        <w:kinsoku/>
        <w:wordWrap/>
        <w:overflowPunct/>
        <w:topLinePunct w:val="0"/>
        <w:autoSpaceDE/>
        <w:autoSpaceDN/>
        <w:bidi w:val="0"/>
        <w:adjustRightInd/>
        <w:snapToGrid/>
        <w:spacing w:line="440" w:lineRule="exact"/>
        <w:ind w:firstLine="840" w:firstLineChars="4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w:t>
      </w:r>
      <w:r>
        <w:rPr>
          <w:rFonts w:ascii="仿宋" w:hAnsi="仿宋" w:eastAsia="仿宋" w:cs="仿宋"/>
          <w:szCs w:val="21"/>
          <w:highlight w:val="none"/>
        </w:rPr>
        <w:t xml:space="preserve">.2.2 </w:t>
      </w:r>
      <w:r>
        <w:rPr>
          <w:rFonts w:hint="eastAsia" w:ascii="仿宋" w:hAnsi="仿宋" w:eastAsia="仿宋" w:cs="仿宋"/>
          <w:szCs w:val="21"/>
          <w:highlight w:val="none"/>
        </w:rPr>
        <w:t>分批交货：具体交货时间、数量依甲方另行指令。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ascii="仿宋" w:hAnsi="仿宋" w:eastAsia="仿宋" w:cs="仿宋"/>
          <w:szCs w:val="21"/>
          <w:highlight w:val="none"/>
        </w:rPr>
        <w:t xml:space="preserve">2.3 </w:t>
      </w:r>
      <w:r>
        <w:rPr>
          <w:rFonts w:hint="eastAsia" w:ascii="仿宋" w:hAnsi="仿宋" w:eastAsia="仿宋" w:cs="仿宋"/>
          <w:szCs w:val="21"/>
          <w:highlight w:val="none"/>
        </w:rPr>
        <w:t>甲方货物签收人及联系方式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（乙</w:t>
      </w:r>
      <w:r>
        <w:rPr>
          <w:rFonts w:hint="eastAsia" w:ascii="仿宋" w:hAnsi="仿宋" w:eastAsia="仿宋" w:cs="仿宋"/>
          <w:szCs w:val="21"/>
          <w:highlight w:val="none"/>
        </w:rPr>
        <w:t>方发货前请务必与该货物签收人确认是否发货，未提前确认收货条件的，甲方有权拒收）。甲方货物签收人的签收仅视为数量无异议及外观无缺损，不视为验收合格，也不视为乙方交货的货物质量合格。</w:t>
      </w:r>
    </w:p>
    <w:p>
      <w:pPr>
        <w:pStyle w:val="26"/>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3.包装、装运和运输</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3.1包装必须与运输方式相适应，包装方式的确定及包装费用均由乙方负责；由于不适当的包装而造成货物在运输过程中损坏的由乙方负责。</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3.2包装应足以承受整个过程中的运输、转运、装卸、储存等，充分考虑到运输途中的各种情况（如暴露于恶劣气候等）和广州地区气候特点，以及露天存放的需要。</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3.3 因乙方或乙方相关人员在运输、装卸货物的过程中受到损害或致人损害的，乙方应承担相应的责任，与甲方无关。</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4.验收</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4.1货物运抵交付现场后</w:t>
      </w:r>
      <w:r>
        <w:rPr>
          <w:rFonts w:ascii="仿宋" w:hAnsi="仿宋" w:eastAsia="仿宋" w:cs="仿宋"/>
          <w:szCs w:val="21"/>
          <w:highlight w:val="none"/>
        </w:rPr>
        <w:t>5</w:t>
      </w:r>
      <w:r>
        <w:rPr>
          <w:rFonts w:hint="eastAsia" w:ascii="仿宋" w:hAnsi="仿宋" w:eastAsia="仿宋" w:cs="仿宋"/>
          <w:szCs w:val="21"/>
          <w:highlight w:val="none"/>
        </w:rPr>
        <w:t>个工作日内，甲方需对设备的型号、规格、数量进行清点，清点结果满足合同要求后，甲方签署《物</w:t>
      </w:r>
      <w:r>
        <w:rPr>
          <w:rFonts w:hint="eastAsia" w:ascii="仿宋" w:hAnsi="仿宋" w:eastAsia="仿宋" w:cs="仿宋"/>
          <w:szCs w:val="21"/>
          <w:highlight w:val="none"/>
          <w:lang w:eastAsia="zh-CN"/>
        </w:rPr>
        <w:t>资</w:t>
      </w:r>
      <w:r>
        <w:rPr>
          <w:rFonts w:hint="eastAsia" w:ascii="仿宋" w:hAnsi="仿宋" w:eastAsia="仿宋" w:cs="仿宋"/>
          <w:szCs w:val="21"/>
          <w:highlight w:val="none"/>
        </w:rPr>
        <w:t>入库验收单》，清点结果不满足合同要求，双方对不符之处进行记载，不符合要求的货物，甲方有权当场退回或者要求乙方在5个工作日内进行更换。如不符合要求的货物达到该笔订单总数三分之一的，甲方有权拒绝接收全部货物，因此导致甲方延迟使用的，甲方有权按延期交货索赔。</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4.2 《物</w:t>
      </w:r>
      <w:r>
        <w:rPr>
          <w:rFonts w:hint="eastAsia" w:ascii="仿宋" w:hAnsi="仿宋" w:eastAsia="仿宋" w:cs="仿宋"/>
          <w:szCs w:val="21"/>
          <w:highlight w:val="none"/>
          <w:lang w:eastAsia="zh-CN"/>
        </w:rPr>
        <w:t>资</w:t>
      </w:r>
      <w:r>
        <w:rPr>
          <w:rFonts w:hint="eastAsia" w:ascii="仿宋" w:hAnsi="仿宋" w:eastAsia="仿宋" w:cs="仿宋"/>
          <w:szCs w:val="21"/>
          <w:highlight w:val="none"/>
        </w:rPr>
        <w:t>入库验收单》仅限于对设备数量、外观、初步检测的验收，不对在短时间较难发现的质量问题进行验收。对于较难发现的属于固有质量瑕疵的货物，甲方在使用过程中发现的，可退货或要求乙方进行更换、免费维修。</w:t>
      </w:r>
      <w:r>
        <w:rPr>
          <w:rFonts w:ascii="仿宋" w:hAnsi="仿宋" w:eastAsia="仿宋" w:cs="仿宋"/>
          <w:szCs w:val="21"/>
          <w:highlight w:val="none"/>
        </w:rPr>
        <w:t>设备类货物</w:t>
      </w:r>
      <w:r>
        <w:rPr>
          <w:rFonts w:hint="eastAsia" w:ascii="仿宋" w:hAnsi="仿宋" w:eastAsia="仿宋" w:cs="仿宋"/>
          <w:szCs w:val="21"/>
          <w:highlight w:val="none"/>
        </w:rPr>
        <w:t>需</w:t>
      </w:r>
      <w:r>
        <w:rPr>
          <w:rFonts w:ascii="仿宋" w:hAnsi="仿宋" w:eastAsia="仿宋" w:cs="仿宋"/>
          <w:szCs w:val="21"/>
          <w:highlight w:val="none"/>
        </w:rPr>
        <w:t>安装</w:t>
      </w:r>
      <w:r>
        <w:rPr>
          <w:rFonts w:hint="eastAsia" w:ascii="仿宋" w:hAnsi="仿宋" w:eastAsia="仿宋" w:cs="仿宋"/>
          <w:szCs w:val="21"/>
          <w:highlight w:val="none"/>
        </w:rPr>
        <w:t>调试</w:t>
      </w:r>
      <w:r>
        <w:rPr>
          <w:rFonts w:ascii="仿宋" w:hAnsi="仿宋" w:eastAsia="仿宋" w:cs="仿宋"/>
          <w:szCs w:val="21"/>
          <w:highlight w:val="none"/>
        </w:rPr>
        <w:t>的，乙方</w:t>
      </w:r>
      <w:r>
        <w:rPr>
          <w:rFonts w:hint="eastAsia" w:ascii="仿宋" w:hAnsi="仿宋" w:eastAsia="仿宋" w:cs="仿宋"/>
          <w:szCs w:val="21"/>
          <w:highlight w:val="none"/>
        </w:rPr>
        <w:t>完工</w:t>
      </w:r>
      <w:r>
        <w:rPr>
          <w:rFonts w:ascii="仿宋" w:hAnsi="仿宋" w:eastAsia="仿宋" w:cs="仿宋"/>
          <w:szCs w:val="21"/>
          <w:highlight w:val="none"/>
        </w:rPr>
        <w:t>后提交验收申请，甲方</w:t>
      </w:r>
      <w:r>
        <w:rPr>
          <w:rFonts w:hint="eastAsia" w:ascii="仿宋" w:hAnsi="仿宋" w:eastAsia="仿宋" w:cs="仿宋"/>
          <w:szCs w:val="21"/>
          <w:highlight w:val="none"/>
        </w:rPr>
        <w:t>应</w:t>
      </w:r>
      <w:r>
        <w:rPr>
          <w:rFonts w:ascii="仿宋" w:hAnsi="仿宋" w:eastAsia="仿宋" w:cs="仿宋"/>
          <w:szCs w:val="21"/>
          <w:highlight w:val="none"/>
        </w:rPr>
        <w:t>及时进行验收，</w:t>
      </w:r>
      <w:r>
        <w:rPr>
          <w:rFonts w:hint="eastAsia" w:ascii="仿宋" w:hAnsi="仿宋" w:eastAsia="仿宋" w:cs="仿宋"/>
          <w:szCs w:val="21"/>
          <w:highlight w:val="none"/>
        </w:rPr>
        <w:t>验收</w:t>
      </w:r>
      <w:r>
        <w:rPr>
          <w:rFonts w:ascii="仿宋" w:hAnsi="仿宋" w:eastAsia="仿宋" w:cs="仿宋"/>
          <w:szCs w:val="21"/>
          <w:highlight w:val="none"/>
        </w:rPr>
        <w:t>合格的</w:t>
      </w:r>
      <w:r>
        <w:rPr>
          <w:rFonts w:hint="eastAsia" w:ascii="仿宋" w:hAnsi="仿宋" w:eastAsia="仿宋" w:cs="仿宋"/>
          <w:szCs w:val="21"/>
          <w:highlight w:val="none"/>
        </w:rPr>
        <w:t>出具</w:t>
      </w:r>
      <w:r>
        <w:rPr>
          <w:rFonts w:ascii="仿宋" w:hAnsi="仿宋" w:eastAsia="仿宋" w:cs="仿宋"/>
          <w:szCs w:val="21"/>
          <w:highlight w:val="none"/>
        </w:rPr>
        <w:t>《</w:t>
      </w:r>
      <w:r>
        <w:rPr>
          <w:rFonts w:hint="eastAsia" w:ascii="仿宋" w:hAnsi="仿宋" w:eastAsia="仿宋" w:cs="仿宋"/>
          <w:szCs w:val="21"/>
          <w:highlight w:val="none"/>
        </w:rPr>
        <w:t>验收报告</w:t>
      </w:r>
      <w:r>
        <w:rPr>
          <w:rFonts w:ascii="仿宋" w:hAnsi="仿宋" w:eastAsia="仿宋" w:cs="仿宋"/>
          <w:szCs w:val="21"/>
          <w:highlight w:val="none"/>
        </w:rPr>
        <w:t>》</w:t>
      </w:r>
      <w:r>
        <w:rPr>
          <w:rFonts w:hint="eastAsia" w:ascii="仿宋" w:hAnsi="仿宋" w:eastAsia="仿宋" w:cs="仿宋"/>
          <w:szCs w:val="21"/>
          <w:highlight w:val="none"/>
        </w:rPr>
        <w:t>，该报告经甲方签字盖章后生效，</w:t>
      </w:r>
      <w:r>
        <w:rPr>
          <w:rFonts w:ascii="仿宋" w:hAnsi="仿宋" w:eastAsia="仿宋" w:cs="仿宋"/>
          <w:szCs w:val="21"/>
          <w:highlight w:val="none"/>
        </w:rPr>
        <w:t>为验收</w:t>
      </w:r>
      <w:r>
        <w:rPr>
          <w:rFonts w:hint="eastAsia" w:ascii="仿宋" w:hAnsi="仿宋" w:eastAsia="仿宋" w:cs="仿宋"/>
          <w:szCs w:val="21"/>
          <w:highlight w:val="none"/>
        </w:rPr>
        <w:t>合格</w:t>
      </w:r>
      <w:r>
        <w:rPr>
          <w:rFonts w:ascii="仿宋" w:hAnsi="仿宋" w:eastAsia="仿宋" w:cs="仿宋"/>
          <w:szCs w:val="21"/>
          <w:highlight w:val="none"/>
        </w:rPr>
        <w:t>的唯一凭证</w:t>
      </w:r>
      <w:r>
        <w:rPr>
          <w:rFonts w:hint="eastAsia" w:ascii="仿宋" w:hAnsi="仿宋" w:eastAsia="仿宋" w:cs="仿宋"/>
          <w:szCs w:val="21"/>
          <w:highlight w:val="none"/>
        </w:rPr>
        <w:t>。</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ascii="仿宋" w:hAnsi="仿宋" w:eastAsia="仿宋" w:cs="仿宋"/>
          <w:szCs w:val="21"/>
          <w:highlight w:val="none"/>
        </w:rPr>
      </w:pPr>
      <w:r>
        <w:rPr>
          <w:rFonts w:hint="eastAsia" w:ascii="仿宋" w:hAnsi="仿宋" w:eastAsia="仿宋" w:cs="仿宋"/>
          <w:szCs w:val="21"/>
          <w:highlight w:val="none"/>
        </w:rPr>
        <w:t>4.3</w:t>
      </w:r>
      <w:r>
        <w:rPr>
          <w:rFonts w:hint="eastAsia" w:ascii="仿宋" w:hAnsi="仿宋" w:eastAsia="仿宋"/>
          <w:szCs w:val="21"/>
          <w:highlight w:val="none"/>
        </w:rPr>
        <w:t>验收由甲方负责组织，乙方负责协助。用户对验收的程序和标准有要求的以用户的要求为准，验收结论以用户的结论为准；用户对验收的程序和标准没有要求的，以甲方的要求为准。甲方组织用户或上级主管部门进行三方验收。</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4.4货物为设备的，由乙方负责安装调试，乙方需保障设备运行正常。否则甲方有权延迟付款或要求乙方返还相当于合同总价款10%的安装调试费用。</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4</w:t>
      </w:r>
      <w:r>
        <w:rPr>
          <w:rFonts w:ascii="仿宋" w:hAnsi="仿宋" w:eastAsia="仿宋" w:cs="仿宋"/>
          <w:szCs w:val="21"/>
          <w:highlight w:val="none"/>
        </w:rPr>
        <w:t xml:space="preserve">.5 </w:t>
      </w:r>
      <w:r>
        <w:rPr>
          <w:rFonts w:hint="eastAsia" w:ascii="仿宋" w:hAnsi="仿宋" w:eastAsia="仿宋" w:cs="仿宋"/>
          <w:szCs w:val="21"/>
          <w:highlight w:val="none"/>
        </w:rPr>
        <w:t>在甲方提出要求的情况下，乙方应为甲方或甲方指定的第三方提供必要的技术培训服务，以使甲方或第三方能够正常使用相关货物。</w:t>
      </w:r>
    </w:p>
    <w:p>
      <w:pPr>
        <w:pStyle w:val="26"/>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5.结算及付款方式</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5.1甲乙双方协商一致，按照以下方式付款：</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(1)合同签订后，且在收到乙方提供等额的增值税专用发票后30个工作日内，甲方向乙方支付合同金额的10%作为预付款，即¥    (大写：人民币    整）；</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（2）货物到货后，甲方验收合格后签署《物资入库验收单》，且在收到乙方提供等额的增值税专用发票后30个工作日内，支付合同金额的70 %;即¥    (大写：人民币    整）；</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(3)项目竣工验收合格后，且在收到乙方开具的剩余全额增值税专用发票后 30 个工作日内支付至合同金额的15，即¥    (大写：人民币    整）；</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(4)质保期</w:t>
      </w:r>
      <w:r>
        <w:rPr>
          <w:rFonts w:hint="eastAsia" w:ascii="仿宋" w:hAnsi="仿宋" w:eastAsia="仿宋" w:cs="仿宋"/>
          <w:kern w:val="2"/>
          <w:sz w:val="21"/>
          <w:szCs w:val="21"/>
          <w:highlight w:val="none"/>
          <w:lang w:val="en-US" w:eastAsia="zh-CN" w:bidi="ar-SA"/>
        </w:rPr>
        <w:t>为2年，在质保期满后，乙方提出付款申请，经甲方确认后，支付质保金。</w:t>
      </w:r>
    </w:p>
    <w:p>
      <w:pPr>
        <w:keepNext w:val="0"/>
        <w:keepLines w:val="0"/>
        <w:pageBreakBefore w:val="0"/>
        <w:kinsoku/>
        <w:wordWrap/>
        <w:overflowPunct/>
        <w:topLinePunct w:val="0"/>
        <w:autoSpaceDE/>
        <w:autoSpaceDN/>
        <w:bidi w:val="0"/>
        <w:adjustRightInd/>
        <w:snapToGrid/>
        <w:spacing w:line="440" w:lineRule="exact"/>
        <w:ind w:left="105" w:leftChars="50" w:firstLine="420" w:firstLineChars="200"/>
        <w:jc w:val="left"/>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5.2</w:t>
      </w:r>
      <w:r>
        <w:rPr>
          <w:rFonts w:ascii="仿宋" w:hAnsi="仿宋" w:eastAsia="仿宋" w:cs="仿宋"/>
          <w:szCs w:val="21"/>
          <w:highlight w:val="none"/>
        </w:rPr>
        <w:t xml:space="preserve"> </w:t>
      </w:r>
      <w:r>
        <w:rPr>
          <w:rFonts w:hint="eastAsia" w:ascii="仿宋" w:hAnsi="仿宋" w:eastAsia="仿宋" w:cs="仿宋"/>
          <w:szCs w:val="21"/>
          <w:highlight w:val="none"/>
        </w:rPr>
        <w:t>以上付款时，乙方应当开具相应发票</w:t>
      </w:r>
      <w:r>
        <w:rPr>
          <w:rFonts w:hint="eastAsia" w:ascii="Verdana" w:hAnsi="Verdana" w:eastAsia="宋体" w:cs="Verdana"/>
          <w:i w:val="0"/>
          <w:caps w:val="0"/>
          <w:color w:val="000000"/>
          <w:spacing w:val="75"/>
          <w:sz w:val="30"/>
          <w:szCs w:val="30"/>
          <w:highlight w:val="none"/>
          <w:shd w:val="clear" w:color="auto" w:fill="FFFFFF"/>
        </w:rPr>
        <w:sym w:font="Wingdings 2" w:char="0052"/>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u w:val="single"/>
          <w:shd w:val="clear" w:color="auto" w:fill="auto"/>
          <w:lang w:val="en-US" w:eastAsia="zh-CN"/>
        </w:rPr>
        <w:t>13</w:t>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shd w:val="clear" w:color="auto" w:fill="auto"/>
        </w:rPr>
        <w:t>%</w:t>
      </w:r>
      <w:r>
        <w:rPr>
          <w:rFonts w:hint="eastAsia" w:ascii="仿宋" w:hAnsi="仿宋" w:eastAsia="仿宋" w:cs="仿宋"/>
          <w:szCs w:val="21"/>
          <w:highlight w:val="none"/>
        </w:rPr>
        <w:t>增值税专用发票</w:t>
      </w:r>
      <w:r>
        <w:rPr>
          <w:rFonts w:hint="eastAsia" w:ascii="仿宋" w:hAnsi="仿宋" w:eastAsia="仿宋" w:cs="仿宋"/>
          <w:szCs w:val="21"/>
          <w:highlight w:val="none"/>
          <w:lang w:val="en-US" w:eastAsia="zh-CN"/>
        </w:rPr>
        <w:t>;</w:t>
      </w:r>
      <w:r>
        <w:rPr>
          <w:rFonts w:ascii="Verdana" w:hAnsi="Verdana" w:eastAsia="宋体" w:cs="Verdana"/>
          <w:i w:val="0"/>
          <w:caps w:val="0"/>
          <w:color w:val="000000"/>
          <w:spacing w:val="75"/>
          <w:sz w:val="30"/>
          <w:szCs w:val="30"/>
          <w:highlight w:val="none"/>
          <w:shd w:val="clear" w:color="auto" w:fill="FFFFFF"/>
        </w:rPr>
        <w:t>☐</w:t>
      </w:r>
      <w:r>
        <w:rPr>
          <w:rFonts w:hint="eastAsia" w:ascii="仿宋" w:hAnsi="仿宋" w:eastAsia="仿宋" w:cs="仿宋"/>
          <w:szCs w:val="21"/>
          <w:highlight w:val="none"/>
        </w:rPr>
        <w:t>其他类型票据：</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给甲方，</w:t>
      </w:r>
      <w:r>
        <w:rPr>
          <w:rFonts w:hint="eastAsia" w:ascii="仿宋" w:hAnsi="仿宋" w:eastAsia="仿宋" w:cs="仿宋"/>
          <w:szCs w:val="21"/>
          <w:highlight w:val="none"/>
          <w:lang w:val="en-US" w:eastAsia="zh-CN"/>
        </w:rPr>
        <w:t>质保金发票在前一次付款时一并提供。</w:t>
      </w:r>
      <w:r>
        <w:rPr>
          <w:rFonts w:hint="eastAsia" w:ascii="仿宋" w:hAnsi="仿宋" w:eastAsia="仿宋" w:cs="仿宋"/>
          <w:szCs w:val="21"/>
          <w:highlight w:val="none"/>
        </w:rPr>
        <w:t>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highlight w:val="none"/>
        </w:rPr>
      </w:pPr>
      <w:r>
        <w:rPr>
          <w:rFonts w:hint="eastAsia" w:ascii="仿宋" w:hAnsi="仿宋" w:eastAsia="仿宋" w:cs="仿宋"/>
          <w:szCs w:val="21"/>
          <w:highlight w:val="none"/>
        </w:rPr>
        <w:t>5</w:t>
      </w:r>
      <w:r>
        <w:rPr>
          <w:rFonts w:ascii="仿宋" w:hAnsi="仿宋" w:eastAsia="仿宋" w:cs="仿宋"/>
          <w:szCs w:val="21"/>
          <w:highlight w:val="none"/>
        </w:rPr>
        <w:t xml:space="preserve">.3 </w:t>
      </w:r>
      <w:r>
        <w:rPr>
          <w:rFonts w:hint="eastAsia" w:ascii="仿宋" w:hAnsi="仿宋" w:eastAsia="仿宋" w:cs="仿宋"/>
          <w:szCs w:val="21"/>
          <w:highlight w:val="none"/>
        </w:rPr>
        <w:t>付款方式：银行转帐，</w:t>
      </w:r>
      <w:r>
        <w:rPr>
          <w:rFonts w:hint="eastAsia" w:ascii="仿宋" w:hAnsi="仿宋" w:eastAsia="仿宋" w:cs="仿宋"/>
          <w:szCs w:val="21"/>
          <w:highlight w:val="none"/>
          <w:lang w:val="en-US" w:eastAsia="zh-CN"/>
        </w:rPr>
        <w:t>甲、</w:t>
      </w:r>
      <w:r>
        <w:rPr>
          <w:rFonts w:hint="eastAsia" w:ascii="仿宋" w:hAnsi="仿宋" w:eastAsia="仿宋" w:cs="仿宋"/>
          <w:szCs w:val="21"/>
          <w:highlight w:val="none"/>
        </w:rPr>
        <w:t>乙方银行账户</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信息如下：</w:t>
      </w:r>
    </w:p>
    <w:p>
      <w:pPr>
        <w:spacing w:line="400" w:lineRule="exact"/>
        <w:jc w:val="left"/>
        <w:rPr>
          <w:rFonts w:hint="eastAsia" w:ascii="仿宋" w:hAnsi="仿宋" w:eastAsia="仿宋" w:cs="仿宋"/>
          <w:b w:val="0"/>
          <w:bCs w:val="0"/>
          <w:sz w:val="21"/>
          <w:szCs w:val="21"/>
          <w:highlight w:val="none"/>
          <w:u w:val="none"/>
          <w:lang w:val="en-US" w:eastAsia="zh-CN"/>
        </w:rPr>
      </w:pPr>
    </w:p>
    <w:p>
      <w:pPr>
        <w:spacing w:line="400" w:lineRule="exact"/>
        <w:jc w:val="left"/>
        <w:rPr>
          <w:rFonts w:hint="eastAsia" w:ascii="仿宋" w:hAnsi="仿宋" w:eastAsia="仿宋" w:cs="仿宋"/>
          <w:b/>
          <w:bCs/>
          <w:szCs w:val="21"/>
          <w:u w:val="single"/>
          <w:lang w:eastAsia="zh-CN"/>
        </w:rPr>
      </w:pPr>
      <w:r>
        <w:rPr>
          <w:rFonts w:hint="eastAsia" w:ascii="仿宋" w:hAnsi="仿宋" w:eastAsia="仿宋" w:cs="仿宋"/>
          <w:szCs w:val="21"/>
        </w:rPr>
        <w:t>甲方户名</w:t>
      </w:r>
      <w:r>
        <w:rPr>
          <w:rFonts w:hint="eastAsia" w:ascii="仿宋" w:hAnsi="仿宋" w:eastAsia="仿宋" w:cs="仿宋"/>
          <w:b/>
          <w:bCs/>
          <w:szCs w:val="21"/>
        </w:rPr>
        <w:t>：</w:t>
      </w:r>
      <w:r>
        <w:rPr>
          <w:rFonts w:hint="eastAsia" w:ascii="仿宋" w:hAnsi="仿宋" w:eastAsia="仿宋" w:cs="仿宋"/>
          <w:b/>
          <w:bCs/>
          <w:szCs w:val="21"/>
          <w:u w:val="single"/>
          <w:lang w:eastAsia="zh-CN"/>
        </w:rPr>
        <w:t>广东机场白云信息科技股份有限公司</w:t>
      </w:r>
    </w:p>
    <w:p>
      <w:pPr>
        <w:spacing w:line="400" w:lineRule="exact"/>
        <w:jc w:val="left"/>
        <w:rPr>
          <w:rFonts w:hint="eastAsia" w:ascii="仿宋" w:hAnsi="仿宋" w:eastAsia="仿宋" w:cs="仿宋"/>
          <w:b/>
          <w:bCs/>
          <w:szCs w:val="21"/>
          <w:u w:val="single"/>
        </w:rPr>
      </w:pPr>
      <w:r>
        <w:rPr>
          <w:rFonts w:hint="eastAsia" w:ascii="仿宋" w:hAnsi="仿宋" w:eastAsia="仿宋" w:cs="仿宋"/>
          <w:szCs w:val="21"/>
        </w:rPr>
        <w:t>一般纳税人识别号</w:t>
      </w:r>
      <w:r>
        <w:rPr>
          <w:rFonts w:hint="eastAsia" w:ascii="仿宋" w:hAnsi="仿宋" w:eastAsia="仿宋" w:cs="仿宋"/>
          <w:b/>
          <w:bCs/>
          <w:szCs w:val="21"/>
          <w:u w:val="single"/>
        </w:rPr>
        <w:t>：91440000712401304U</w:t>
      </w:r>
    </w:p>
    <w:p>
      <w:pPr>
        <w:spacing w:line="400" w:lineRule="exact"/>
        <w:jc w:val="left"/>
        <w:rPr>
          <w:rFonts w:hint="eastAsia" w:ascii="仿宋" w:hAnsi="仿宋" w:eastAsia="仿宋" w:cs="仿宋"/>
          <w:b/>
          <w:bCs/>
          <w:szCs w:val="21"/>
          <w:u w:val="single"/>
        </w:rPr>
      </w:pPr>
      <w:r>
        <w:rPr>
          <w:rFonts w:hint="eastAsia" w:ascii="仿宋" w:hAnsi="仿宋" w:eastAsia="仿宋" w:cs="仿宋"/>
          <w:szCs w:val="21"/>
        </w:rPr>
        <w:t>帐号</w:t>
      </w:r>
      <w:r>
        <w:rPr>
          <w:rFonts w:hint="eastAsia" w:ascii="仿宋" w:hAnsi="仿宋" w:eastAsia="仿宋" w:cs="仿宋"/>
          <w:szCs w:val="21"/>
          <w:u w:val="single"/>
        </w:rPr>
        <w:t>：</w:t>
      </w:r>
      <w:r>
        <w:rPr>
          <w:rFonts w:hint="eastAsia" w:ascii="仿宋" w:hAnsi="仿宋" w:eastAsia="仿宋" w:cs="仿宋"/>
          <w:b/>
          <w:bCs/>
          <w:szCs w:val="21"/>
          <w:u w:val="single"/>
        </w:rPr>
        <w:t>8248 0078 8016 0000 0023</w:t>
      </w:r>
    </w:p>
    <w:p>
      <w:pPr>
        <w:spacing w:line="400" w:lineRule="exact"/>
        <w:jc w:val="left"/>
        <w:rPr>
          <w:rFonts w:ascii="仿宋" w:hAnsi="仿宋" w:eastAsia="仿宋" w:cs="仿宋"/>
          <w:sz w:val="32"/>
          <w:szCs w:val="32"/>
        </w:rPr>
      </w:pPr>
      <w:r>
        <w:rPr>
          <w:rFonts w:hint="eastAsia" w:ascii="仿宋" w:hAnsi="仿宋" w:eastAsia="仿宋" w:cs="仿宋"/>
          <w:szCs w:val="21"/>
        </w:rPr>
        <w:t>开户行</w:t>
      </w:r>
      <w:r>
        <w:rPr>
          <w:rFonts w:hint="eastAsia" w:ascii="仿宋" w:hAnsi="仿宋" w:eastAsia="仿宋" w:cs="仿宋"/>
          <w:szCs w:val="21"/>
          <w:u w:val="single"/>
        </w:rPr>
        <w:t>：</w:t>
      </w:r>
      <w:r>
        <w:rPr>
          <w:rFonts w:hint="eastAsia" w:ascii="仿宋" w:hAnsi="仿宋" w:eastAsia="仿宋" w:cs="仿宋"/>
          <w:b/>
          <w:bCs/>
          <w:szCs w:val="21"/>
          <w:u w:val="single"/>
        </w:rPr>
        <w:t>上海浦东发展银行股份有限公司广州空港支行</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仿宋" w:hAnsi="仿宋" w:eastAsia="仿宋" w:cs="仿宋"/>
          <w:szCs w:val="21"/>
        </w:rPr>
        <w:t>联行号</w:t>
      </w:r>
      <w:r>
        <w:rPr>
          <w:rFonts w:hint="eastAsia" w:ascii="仿宋" w:hAnsi="仿宋" w:eastAsia="仿宋" w:cs="仿宋"/>
          <w:b/>
          <w:bCs/>
          <w:szCs w:val="21"/>
          <w:u w:val="single"/>
        </w:rPr>
        <w:t>：310290000048</w:t>
      </w:r>
      <w:r>
        <w:rPr>
          <w:rFonts w:hint="eastAsia" w:ascii="仿宋" w:hAnsi="仿宋" w:eastAsia="仿宋" w:cs="仿宋"/>
          <w:b/>
          <w:bCs/>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Cs w:val="21"/>
          <w:u w:val="single"/>
          <w:lang w:val="en-US" w:eastAsia="zh-CN"/>
        </w:rPr>
      </w:pPr>
      <w:r>
        <w:rPr>
          <w:rFonts w:hint="eastAsia" w:ascii="仿宋" w:hAnsi="仿宋" w:eastAsia="仿宋" w:cs="仿宋"/>
          <w:b/>
          <w:bCs/>
          <w:szCs w:val="21"/>
          <w:u w:val="single"/>
          <w:lang w:val="en-US" w:eastAsia="zh-CN"/>
        </w:rPr>
        <w:t>电话：020-36063187</w:t>
      </w:r>
    </w:p>
    <w:p>
      <w:pPr>
        <w:pStyle w:val="21"/>
        <w:rPr>
          <w:rFonts w:hint="default"/>
          <w:b/>
          <w:bCs/>
          <w:lang w:val="en-US" w:eastAsia="zh-CN"/>
        </w:rPr>
      </w:pPr>
      <w:r>
        <w:rPr>
          <w:rFonts w:hint="eastAsia" w:ascii="仿宋" w:hAnsi="仿宋" w:eastAsia="仿宋" w:cs="仿宋"/>
          <w:kern w:val="2"/>
          <w:sz w:val="21"/>
          <w:szCs w:val="21"/>
          <w:lang w:val="en-US" w:eastAsia="zh-CN" w:bidi="ar-SA"/>
        </w:rPr>
        <w:t>住所：</w:t>
      </w:r>
      <w:r>
        <w:rPr>
          <w:rFonts w:hint="eastAsia" w:ascii="仿宋" w:hAnsi="仿宋" w:eastAsia="仿宋" w:cs="仿宋"/>
          <w:b/>
          <w:bCs/>
          <w:kern w:val="2"/>
          <w:sz w:val="21"/>
          <w:szCs w:val="21"/>
          <w:u w:val="single"/>
          <w:lang w:val="en-US" w:eastAsia="zh-CN" w:bidi="ar-SA"/>
        </w:rPr>
        <w:t>广州市白云区新白云国际机场A4地块二级公司业务楼北楼</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1"/>
          <w:szCs w:val="21"/>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000000"/>
          <w:kern w:val="0"/>
          <w:sz w:val="21"/>
          <w:szCs w:val="21"/>
          <w:highlight w:val="none"/>
          <w:u w:val="single"/>
          <w:shd w:val="clear" w:color="auto" w:fill="FFFFFF"/>
          <w:lang w:val="en-US" w:eastAsia="zh-CN" w:bidi="ar"/>
        </w:rPr>
      </w:pPr>
      <w:r>
        <w:rPr>
          <w:rFonts w:hint="eastAsia" w:ascii="仿宋" w:hAnsi="仿宋" w:eastAsia="仿宋" w:cs="仿宋"/>
          <w:color w:val="000000"/>
          <w:kern w:val="0"/>
          <w:sz w:val="21"/>
          <w:szCs w:val="21"/>
          <w:highlight w:val="none"/>
          <w:shd w:val="clear" w:color="auto" w:fill="FFFFFF"/>
          <w:lang w:val="en-US" w:eastAsia="zh-CN" w:bidi="ar"/>
        </w:rPr>
        <w:t>乙方户名：</w:t>
      </w:r>
      <w:r>
        <w:rPr>
          <w:rFonts w:hint="eastAsia" w:ascii="仿宋" w:hAnsi="仿宋" w:eastAsia="仿宋" w:cs="仿宋"/>
          <w:color w:val="000000"/>
          <w:kern w:val="0"/>
          <w:sz w:val="21"/>
          <w:szCs w:val="21"/>
          <w:highlight w:val="none"/>
          <w:u w:val="singl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000000"/>
          <w:kern w:val="0"/>
          <w:sz w:val="21"/>
          <w:szCs w:val="21"/>
          <w:highlight w:val="none"/>
          <w:shd w:val="clear" w:color="auto" w:fill="FFFFFF"/>
          <w:lang w:val="en-US" w:eastAsia="zh-CN" w:bidi="ar"/>
        </w:rPr>
      </w:pPr>
      <w:r>
        <w:rPr>
          <w:rFonts w:hint="eastAsia" w:ascii="仿宋" w:hAnsi="仿宋" w:eastAsia="仿宋" w:cs="仿宋"/>
          <w:color w:val="000000"/>
          <w:kern w:val="0"/>
          <w:sz w:val="21"/>
          <w:szCs w:val="21"/>
          <w:highlight w:val="none"/>
          <w:shd w:val="clear" w:color="auto" w:fill="FFFFFF"/>
          <w:lang w:val="en-US" w:eastAsia="zh-CN" w:bidi="ar"/>
        </w:rPr>
        <w:t>联行号：</w:t>
      </w:r>
      <w:r>
        <w:rPr>
          <w:rFonts w:hint="eastAsia" w:ascii="仿宋" w:hAnsi="仿宋" w:eastAsia="仿宋" w:cs="仿宋"/>
          <w:color w:val="000000"/>
          <w:kern w:val="0"/>
          <w:sz w:val="21"/>
          <w:szCs w:val="21"/>
          <w:highlight w:val="none"/>
          <w:u w:val="single"/>
          <w:shd w:val="clear" w:color="auto" w:fill="FFFFFF"/>
          <w:lang w:val="en-US" w:eastAsia="zh-CN" w:bidi="ar"/>
        </w:rPr>
        <w:t xml:space="preserve">                                  </w:t>
      </w:r>
      <w:r>
        <w:rPr>
          <w:rFonts w:hint="eastAsia" w:ascii="仿宋" w:hAnsi="仿宋" w:eastAsia="仿宋" w:cs="仿宋"/>
          <w:color w:val="000000"/>
          <w:kern w:val="0"/>
          <w:sz w:val="21"/>
          <w:szCs w:val="21"/>
          <w:highlight w:val="non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000000"/>
          <w:kern w:val="0"/>
          <w:sz w:val="21"/>
          <w:szCs w:val="21"/>
          <w:highlight w:val="none"/>
          <w:shd w:val="clear" w:color="auto" w:fill="FFFFFF"/>
          <w:lang w:val="en-US" w:eastAsia="zh-CN" w:bidi="ar"/>
        </w:rPr>
      </w:pPr>
      <w:r>
        <w:rPr>
          <w:rFonts w:hint="eastAsia" w:ascii="仿宋" w:hAnsi="仿宋" w:eastAsia="仿宋" w:cs="仿宋"/>
          <w:color w:val="000000"/>
          <w:kern w:val="0"/>
          <w:sz w:val="21"/>
          <w:szCs w:val="21"/>
          <w:highlight w:val="none"/>
          <w:shd w:val="clear" w:color="auto" w:fill="FFFFFF"/>
          <w:lang w:val="en-US" w:eastAsia="zh-CN" w:bidi="ar"/>
        </w:rPr>
        <w:t>账  号：</w:t>
      </w:r>
      <w:r>
        <w:rPr>
          <w:rFonts w:hint="eastAsia" w:ascii="仿宋" w:hAnsi="仿宋" w:eastAsia="仿宋" w:cs="仿宋"/>
          <w:color w:val="000000"/>
          <w:kern w:val="0"/>
          <w:sz w:val="21"/>
          <w:szCs w:val="21"/>
          <w:highlight w:val="none"/>
          <w:u w:val="single"/>
          <w:shd w:val="clear" w:color="auto" w:fill="FFFFFF"/>
          <w:lang w:val="en-US" w:eastAsia="zh-CN" w:bidi="ar"/>
        </w:rPr>
        <w:t xml:space="preserve">                                  </w:t>
      </w:r>
      <w:r>
        <w:rPr>
          <w:rFonts w:hint="eastAsia" w:ascii="仿宋" w:hAnsi="仿宋" w:eastAsia="仿宋" w:cs="仿宋"/>
          <w:color w:val="000000"/>
          <w:kern w:val="0"/>
          <w:sz w:val="21"/>
          <w:szCs w:val="21"/>
          <w:highlight w:val="non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sz w:val="32"/>
          <w:szCs w:val="32"/>
          <w:highlight w:val="none"/>
          <w:lang w:val="en-US" w:eastAsia="zh-CN"/>
        </w:rPr>
      </w:pPr>
      <w:r>
        <w:rPr>
          <w:rFonts w:hint="eastAsia" w:ascii="仿宋" w:hAnsi="仿宋" w:eastAsia="仿宋" w:cs="仿宋"/>
          <w:color w:val="000000"/>
          <w:kern w:val="0"/>
          <w:sz w:val="21"/>
          <w:szCs w:val="21"/>
          <w:highlight w:val="none"/>
          <w:shd w:val="clear" w:color="auto" w:fill="FFFFFF"/>
          <w:lang w:val="en-US" w:eastAsia="zh-CN" w:bidi="ar"/>
        </w:rPr>
        <w:t>纳税人识别号：</w:t>
      </w:r>
      <w:r>
        <w:rPr>
          <w:rFonts w:hint="eastAsia" w:ascii="仿宋" w:hAnsi="仿宋" w:eastAsia="仿宋" w:cs="仿宋"/>
          <w:b/>
          <w:bCs/>
          <w:color w:val="000000"/>
          <w:kern w:val="0"/>
          <w:sz w:val="21"/>
          <w:szCs w:val="21"/>
          <w:highlight w:val="none"/>
          <w:u w:val="singl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highlight w:val="none"/>
          <w:lang w:val="en-US"/>
        </w:rPr>
      </w:pPr>
      <w:r>
        <w:rPr>
          <w:rFonts w:hint="eastAsia" w:ascii="仿宋" w:hAnsi="仿宋" w:eastAsia="仿宋" w:cs="仿宋"/>
          <w:color w:val="000000"/>
          <w:kern w:val="0"/>
          <w:sz w:val="21"/>
          <w:szCs w:val="21"/>
          <w:highlight w:val="none"/>
          <w:shd w:val="clear" w:color="auto" w:fill="FFFFFF"/>
          <w:lang w:val="en-US" w:eastAsia="zh-CN" w:bidi="ar"/>
        </w:rPr>
        <w:t>通讯地址：</w:t>
      </w:r>
      <w:r>
        <w:rPr>
          <w:rFonts w:hint="eastAsia" w:ascii="仿宋" w:hAnsi="仿宋" w:eastAsia="仿宋" w:cs="仿宋"/>
          <w:b/>
          <w:bCs/>
          <w:color w:val="000000"/>
          <w:kern w:val="0"/>
          <w:sz w:val="21"/>
          <w:szCs w:val="21"/>
          <w:highlight w:val="none"/>
          <w:u w:val="single"/>
          <w:shd w:val="clear" w:color="auto" w:fill="FFFFFF"/>
          <w:lang w:val="en-US" w:eastAsia="zh-CN" w:bidi="ar"/>
        </w:rPr>
        <w:t xml:space="preserve">                                </w:t>
      </w:r>
    </w:p>
    <w:p>
      <w:pPr>
        <w:pStyle w:val="26"/>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6.质量保证及售后服务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6.1乙方保证所提供的产品为甲方所规定之全新产品，质量符合相应的国家和行业标准。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6.2乙方保证所供货物无任何权利瑕疵或质量瑕疵，所有货物均未侵犯他人知识产权等权益，所有货物均属原生产厂商在中国大陆区域内合法销售、使用的货物，且甲方将该等货物出售给其他任何第三方不存在任何限制。否则，甲方有权退货，乙方应退还甲方已支付的一切款项，由此给甲方、实际使用人或其他第三方造成的一切法律责任和经济损失概由乙方承担。甲方因问题货物支付赔偿款后有权向乙方追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6.3</w:t>
      </w:r>
      <w:r>
        <w:rPr>
          <w:rStyle w:val="138"/>
          <w:rFonts w:hint="eastAsia" w:ascii="仿宋" w:hAnsi="仿宋" w:eastAsia="仿宋" w:cs="仿宋"/>
          <w:sz w:val="21"/>
          <w:szCs w:val="21"/>
          <w:highlight w:val="none"/>
        </w:rPr>
        <w:t>当甲方正常使用本合同内的设备而发生故障时，经技术人员检测后，确定要更换备件时，乙方免费为甲方提供备件（不包括易耗件）现场更换，在不超过</w:t>
      </w:r>
      <w:r>
        <w:rPr>
          <w:rStyle w:val="138"/>
          <w:rFonts w:hint="eastAsia" w:ascii="仿宋" w:hAnsi="仿宋" w:eastAsia="仿宋" w:cs="仿宋"/>
          <w:sz w:val="21"/>
          <w:szCs w:val="21"/>
          <w:highlight w:val="yellow"/>
          <w:u w:val="single"/>
          <w:lang w:val="en-US" w:eastAsia="zh-CN"/>
        </w:rPr>
        <w:t>48</w:t>
      </w:r>
      <w:r>
        <w:rPr>
          <w:rStyle w:val="138"/>
          <w:rFonts w:hint="eastAsia" w:ascii="仿宋" w:hAnsi="仿宋" w:eastAsia="仿宋" w:cs="仿宋"/>
          <w:sz w:val="21"/>
          <w:szCs w:val="21"/>
          <w:highlight w:val="none"/>
        </w:rPr>
        <w:t>小时内恢复设备。</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Style w:val="138"/>
          <w:rFonts w:hint="eastAsia" w:ascii="仿宋" w:hAnsi="仿宋" w:eastAsia="仿宋" w:cs="仿宋"/>
          <w:sz w:val="21"/>
          <w:szCs w:val="21"/>
          <w:highlight w:val="none"/>
        </w:rPr>
        <w:t>6.4</w:t>
      </w:r>
      <w:r>
        <w:rPr>
          <w:rFonts w:hint="eastAsia" w:ascii="仿宋" w:hAnsi="仿宋" w:eastAsia="仿宋" w:cs="仿宋"/>
          <w:szCs w:val="21"/>
          <w:highlight w:val="none"/>
        </w:rPr>
        <w:t>乙方向甲方提供为期</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24</w:t>
      </w:r>
      <w:r>
        <w:rPr>
          <w:rFonts w:hint="eastAsia" w:ascii="仿宋" w:hAnsi="仿宋" w:eastAsia="仿宋" w:cs="仿宋"/>
          <w:szCs w:val="21"/>
          <w:highlight w:val="none"/>
        </w:rPr>
        <w:t>个月的原厂保修服务。保修期自</w:t>
      </w:r>
      <w:r>
        <w:rPr>
          <w:rFonts w:hint="eastAsia" w:ascii="仿宋" w:hAnsi="仿宋" w:eastAsia="仿宋" w:cs="仿宋"/>
          <w:szCs w:val="21"/>
          <w:highlight w:val="none"/>
          <w:lang w:val="en-US" w:eastAsia="zh-CN"/>
        </w:rPr>
        <w:t>项目竣工</w:t>
      </w:r>
      <w:r>
        <w:rPr>
          <w:rFonts w:hint="eastAsia" w:ascii="仿宋" w:hAnsi="仿宋" w:eastAsia="仿宋" w:cs="仿宋"/>
          <w:szCs w:val="21"/>
          <w:highlight w:val="none"/>
        </w:rPr>
        <w:t>验收合格之日开始计算，对于更换的货物保修期自实际更换之日起计算。需安装调试</w:t>
      </w:r>
      <w:r>
        <w:rPr>
          <w:rFonts w:ascii="仿宋" w:hAnsi="仿宋" w:eastAsia="仿宋" w:cs="仿宋"/>
          <w:szCs w:val="21"/>
          <w:highlight w:val="none"/>
        </w:rPr>
        <w:t>的以甲方出具《</w:t>
      </w:r>
      <w:r>
        <w:rPr>
          <w:rFonts w:hint="eastAsia" w:ascii="仿宋" w:hAnsi="仿宋" w:eastAsia="仿宋" w:cs="仿宋"/>
          <w:szCs w:val="21"/>
          <w:highlight w:val="none"/>
        </w:rPr>
        <w:t>验收报告</w:t>
      </w:r>
      <w:r>
        <w:rPr>
          <w:rFonts w:ascii="仿宋" w:hAnsi="仿宋" w:eastAsia="仿宋" w:cs="仿宋"/>
          <w:szCs w:val="21"/>
          <w:highlight w:val="none"/>
        </w:rPr>
        <w:t>》</w:t>
      </w:r>
      <w:r>
        <w:rPr>
          <w:rFonts w:hint="eastAsia" w:ascii="仿宋" w:hAnsi="仿宋" w:eastAsia="仿宋" w:cs="仿宋"/>
          <w:szCs w:val="21"/>
          <w:highlight w:val="none"/>
        </w:rPr>
        <w:t>之日</w:t>
      </w:r>
      <w:r>
        <w:rPr>
          <w:rFonts w:ascii="仿宋" w:hAnsi="仿宋" w:eastAsia="仿宋" w:cs="仿宋"/>
          <w:szCs w:val="21"/>
          <w:highlight w:val="none"/>
        </w:rPr>
        <w:t>计算</w:t>
      </w:r>
      <w:r>
        <w:rPr>
          <w:rFonts w:hint="eastAsia" w:ascii="仿宋" w:hAnsi="仿宋" w:eastAsia="仿宋" w:cs="仿宋"/>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6.5保修期内，乙方应当向甲方提供免费售后服务（免维修人工费、免零部件费等一切费用）。如乙方未能向甲方提供及时有效售后服务，或在甲方通知其货物发生故障后</w:t>
      </w:r>
      <w:r>
        <w:rPr>
          <w:rFonts w:hint="eastAsia" w:ascii="仿宋" w:hAnsi="仿宋" w:eastAsia="仿宋" w:cs="仿宋"/>
          <w:szCs w:val="21"/>
          <w:highlight w:val="none"/>
          <w:u w:val="single"/>
        </w:rPr>
        <w:t xml:space="preserve"> </w:t>
      </w:r>
      <w:r>
        <w:rPr>
          <w:rFonts w:hint="eastAsia" w:ascii="仿宋" w:hAnsi="仿宋" w:eastAsia="仿宋" w:cs="仿宋"/>
          <w:szCs w:val="21"/>
          <w:highlight w:val="yellow"/>
          <w:u w:val="single"/>
          <w:lang w:val="en-US" w:eastAsia="zh-CN"/>
        </w:rPr>
        <w:t>48</w:t>
      </w:r>
      <w:r>
        <w:rPr>
          <w:rFonts w:ascii="仿宋" w:hAnsi="仿宋" w:eastAsia="仿宋" w:cs="仿宋"/>
          <w:szCs w:val="21"/>
          <w:highlight w:val="none"/>
          <w:u w:val="single"/>
        </w:rPr>
        <w:t xml:space="preserve"> </w:t>
      </w:r>
      <w:r>
        <w:rPr>
          <w:rFonts w:hint="eastAsia" w:ascii="仿宋" w:hAnsi="仿宋" w:eastAsia="仿宋" w:cs="仿宋"/>
          <w:szCs w:val="21"/>
          <w:highlight w:val="none"/>
        </w:rPr>
        <w:t>个小时内仍未完成修复工作，使得甲方无法正常使用该货物的，甲方有权委托第三方维修该货物，由此产生的费用和损失全部由乙方承担。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6.6保修期内，非因甲方原因导致货物因同一原因返修超过两次的，甲方有权选择更换或退货。甲方选择更换的，乙方应在接到甲方书面更换要求之日起五个工作日内完成更换；甲方选择退货的，乙方应于收到退货通知之日起五个工作日内退还甲方相应的款项。因机器故障给甲方造成损失的，乙方应赔偿甲方因此遭受的全部损失。</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w:t>
      </w:r>
      <w:r>
        <w:rPr>
          <w:rFonts w:ascii="仿宋" w:hAnsi="仿宋" w:eastAsia="仿宋" w:cs="仿宋"/>
          <w:szCs w:val="21"/>
          <w:highlight w:val="none"/>
        </w:rPr>
        <w:t>7</w:t>
      </w:r>
      <w:r>
        <w:rPr>
          <w:rFonts w:hint="eastAsia" w:ascii="仿宋" w:hAnsi="仿宋" w:eastAsia="仿宋" w:cs="仿宋"/>
          <w:szCs w:val="21"/>
          <w:highlight w:val="none"/>
        </w:rPr>
        <w:t xml:space="preserve"> 保修期内，非因甲方原因，出现质量问题的货物数量累计超过货物总数五分之四的，即可认为整批货物为劣质产品。甲方有权退回全部货物，并要求乙方退回已收取的款项。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6.8保修期满后，甲方可与乙方签订货物续保合同。如甲方放弃与乙方签订该续保合同，在此情况下如遇货物故障或受损，甲方要求乙方给予维修或调换，乙方将按实际费用向甲方收费，但应给予甲方一定的优惠。</w:t>
      </w:r>
    </w:p>
    <w:p>
      <w:pPr>
        <w:pStyle w:val="26"/>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7.保险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highlight w:val="none"/>
        </w:rPr>
      </w:pPr>
      <w:r>
        <w:rPr>
          <w:rFonts w:hint="eastAsia" w:ascii="仿宋" w:hAnsi="仿宋" w:eastAsia="仿宋" w:cs="仿宋"/>
          <w:szCs w:val="21"/>
          <w:highlight w:val="none"/>
        </w:rPr>
        <w:t>货物交付给甲方之前的所有保险费用（按货物总价的110%价值投保）和派往甲方进行服务的人员投保人身险和其他有关险种，由乙方负责。</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8.产权与风险转移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8.1货物毁损、灭失的风险在签署《物</w:t>
      </w:r>
      <w:r>
        <w:rPr>
          <w:rFonts w:hint="eastAsia" w:ascii="仿宋" w:hAnsi="仿宋" w:eastAsia="仿宋" w:cs="仿宋"/>
          <w:szCs w:val="21"/>
          <w:highlight w:val="none"/>
          <w:lang w:eastAsia="zh-CN"/>
        </w:rPr>
        <w:t>资</w:t>
      </w:r>
      <w:r>
        <w:rPr>
          <w:rFonts w:hint="eastAsia" w:ascii="仿宋" w:hAnsi="仿宋" w:eastAsia="仿宋" w:cs="仿宋"/>
          <w:szCs w:val="21"/>
          <w:highlight w:val="none"/>
        </w:rPr>
        <w:t>入库验收单》后，由乙方转移至甲方。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8.2在甲方按本合同的约定拒收货物或者解除合同的情况下，货物毁损、灭失的风险由乙方承担。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highlight w:val="none"/>
          <w:u w:val="single"/>
        </w:rPr>
      </w:pPr>
      <w:r>
        <w:rPr>
          <w:rFonts w:hint="eastAsia" w:ascii="仿宋" w:hAnsi="仿宋" w:eastAsia="仿宋" w:cs="仿宋"/>
          <w:szCs w:val="21"/>
          <w:highlight w:val="none"/>
        </w:rPr>
        <w:t>8.3产权和风险的转移，不影响因乙方履行义务不符合约定，甲方要求其承担违约责任的权利。</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9.知识产权</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9.1乙方应保证，甲方在中华人民共和国使用该货物或货物的任何一部分时，免受第三方提出的侵犯其专利权、商标权或其他知识产权的起诉。如发生此类纠纷，由乙方承担一切责任。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kern w:val="24"/>
          <w:szCs w:val="21"/>
          <w:highlight w:val="none"/>
        </w:rPr>
      </w:pPr>
      <w:r>
        <w:rPr>
          <w:rFonts w:hint="eastAsia" w:ascii="仿宋" w:hAnsi="仿宋" w:eastAsia="仿宋" w:cs="仿宋"/>
          <w:szCs w:val="21"/>
          <w:highlight w:val="none"/>
        </w:rPr>
        <w:t>9.2甲方享有乙方为执行本合同而提供的技术资料的使用权，技术资料的著作权仍属于乙方所有。</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kern w:val="24"/>
          <w:szCs w:val="21"/>
          <w:highlight w:val="none"/>
        </w:rPr>
        <w:t>9.3</w:t>
      </w:r>
      <w:r>
        <w:rPr>
          <w:rFonts w:hint="eastAsia" w:ascii="仿宋" w:hAnsi="仿宋" w:eastAsia="仿宋" w:cs="仿宋"/>
          <w:szCs w:val="21"/>
          <w:highlight w:val="none"/>
        </w:rPr>
        <w:t>除了双方为执行合同所需人员外，在未经对方同意的情况下，任何一方不得将合同、合同中的规定、有关规格、计划、图纸、式样、样本或对方为上述内容向本方提供的资料透露给任何人。双方须在对外保密的前提下，对其雇用人员提供有关情况，所提供的情况仅限于执行合同必不可少的范围内。</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 w:val="24"/>
          <w:highlight w:val="none"/>
        </w:rPr>
      </w:pPr>
      <w:r>
        <w:rPr>
          <w:rFonts w:hint="eastAsia" w:ascii="仿宋" w:hAnsi="仿宋" w:eastAsia="仿宋" w:cs="仿宋"/>
          <w:szCs w:val="21"/>
          <w:highlight w:val="none"/>
        </w:rPr>
        <w:t>9.4除非执行合同需要，在事先未得到对方同意的情况下，任何一方不得使用上款中所列的任何文件和资料。</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10.技术文件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0</w:t>
      </w:r>
      <w:r>
        <w:rPr>
          <w:rFonts w:hint="eastAsia" w:ascii="仿宋" w:hAnsi="仿宋" w:eastAsia="仿宋" w:cs="仿宋"/>
          <w:szCs w:val="21"/>
          <w:highlight w:val="none"/>
        </w:rPr>
        <w:t>.1</w:t>
      </w:r>
      <w:r>
        <w:rPr>
          <w:rFonts w:ascii="仿宋" w:hAnsi="仿宋" w:eastAsia="仿宋" w:cs="仿宋"/>
          <w:szCs w:val="21"/>
          <w:highlight w:val="none"/>
        </w:rPr>
        <w:t xml:space="preserve"> </w:t>
      </w:r>
      <w:r>
        <w:rPr>
          <w:rFonts w:hint="eastAsia" w:ascii="仿宋" w:hAnsi="仿宋" w:eastAsia="仿宋" w:cs="仿宋"/>
          <w:szCs w:val="21"/>
          <w:highlight w:val="none"/>
        </w:rPr>
        <w:t>乙方应向甲方提供包含保证甲方能够正确进行操作、检查、维修、维护、测试、验收和运作所需要的所有内容的技术文件（含电子文档）一式三套。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0</w:t>
      </w:r>
      <w:r>
        <w:rPr>
          <w:rFonts w:hint="eastAsia" w:ascii="仿宋" w:hAnsi="仿宋" w:eastAsia="仿宋" w:cs="仿宋"/>
          <w:szCs w:val="21"/>
          <w:highlight w:val="none"/>
        </w:rPr>
        <w:t>.2甲方完全按照乙方提供的技术文件指导所进行的任何操作、检查维修、维护、测试、验收所引起的系统、设备或其部件的损坏由乙方承担责任。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0</w:t>
      </w:r>
      <w:r>
        <w:rPr>
          <w:rFonts w:hint="eastAsia" w:ascii="仿宋" w:hAnsi="仿宋" w:eastAsia="仿宋" w:cs="仿宋"/>
          <w:szCs w:val="21"/>
          <w:highlight w:val="none"/>
        </w:rPr>
        <w:t>.3乙方未提供合同规定的技术文件，甲方可以推迟付款，直至乙方补齐有关技术文件。</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11.违约责任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11.1乙方如不能按时按量交货的须支付违约金给甲方，逾期一日的按合同总金额</w:t>
      </w:r>
      <w:r>
        <w:rPr>
          <w:rFonts w:hint="eastAsia" w:ascii="仿宋" w:hAnsi="仿宋" w:eastAsia="仿宋" w:cs="仿宋"/>
          <w:szCs w:val="21"/>
          <w:highlight w:val="none"/>
          <w:u w:val="single"/>
        </w:rPr>
        <w:t xml:space="preserve">  万分之五</w:t>
      </w:r>
      <w:r>
        <w:rPr>
          <w:rFonts w:hint="eastAsia" w:ascii="仿宋" w:hAnsi="仿宋" w:eastAsia="仿宋" w:cs="仿宋"/>
          <w:szCs w:val="21"/>
          <w:highlight w:val="none"/>
        </w:rPr>
        <w:t>计算。如超过合同规定交货期限三十日乙方仍不能交货的，则甲方有权解除合同，并要求乙方按合同总金额5%支付违约金。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1</w:t>
      </w:r>
      <w:r>
        <w:rPr>
          <w:rFonts w:ascii="仿宋" w:hAnsi="仿宋" w:eastAsia="仿宋" w:cs="仿宋"/>
          <w:szCs w:val="21"/>
          <w:highlight w:val="none"/>
        </w:rPr>
        <w:t>1</w:t>
      </w:r>
      <w:r>
        <w:rPr>
          <w:rFonts w:hint="eastAsia" w:ascii="仿宋" w:hAnsi="仿宋" w:eastAsia="仿宋" w:cs="仿宋"/>
          <w:szCs w:val="21"/>
          <w:highlight w:val="none"/>
        </w:rPr>
        <w:t>.2 甲方需要退回或更换的货物，乙方应及时退款或更换的，否则应按照1</w:t>
      </w:r>
      <w:r>
        <w:rPr>
          <w:rFonts w:ascii="仿宋" w:hAnsi="仿宋" w:eastAsia="仿宋" w:cs="仿宋"/>
          <w:szCs w:val="21"/>
          <w:highlight w:val="none"/>
        </w:rPr>
        <w:t>1.1</w:t>
      </w:r>
      <w:r>
        <w:rPr>
          <w:rFonts w:hint="eastAsia" w:ascii="仿宋" w:hAnsi="仿宋" w:eastAsia="仿宋" w:cs="仿宋"/>
          <w:szCs w:val="21"/>
          <w:highlight w:val="none"/>
        </w:rPr>
        <w:t>逾期交货处理。除此外，因甲方未能及时使用货物导致其他损失的，乙方仍应承担赔偿责任。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 w:val="24"/>
          <w:highlight w:val="none"/>
        </w:rPr>
      </w:pPr>
      <w:r>
        <w:rPr>
          <w:rFonts w:hint="eastAsia" w:ascii="仿宋" w:hAnsi="仿宋" w:eastAsia="仿宋" w:cs="仿宋"/>
          <w:szCs w:val="21"/>
          <w:highlight w:val="none"/>
        </w:rPr>
        <w:t>1</w:t>
      </w:r>
      <w:r>
        <w:rPr>
          <w:rFonts w:ascii="仿宋" w:hAnsi="仿宋" w:eastAsia="仿宋" w:cs="仿宋"/>
          <w:szCs w:val="21"/>
          <w:highlight w:val="none"/>
        </w:rPr>
        <w:t>1</w:t>
      </w:r>
      <w:r>
        <w:rPr>
          <w:rFonts w:hint="eastAsia" w:ascii="仿宋" w:hAnsi="仿宋" w:eastAsia="仿宋" w:cs="仿宋"/>
          <w:szCs w:val="21"/>
          <w:highlight w:val="none"/>
        </w:rPr>
        <w:t>.3 因乙方原因导致甲方损失的，甲方可要求乙方承担赔偿损失，甲方的损失包括但不限于未能正常使用货物经营损失、第三方追究责任、重新采购消耗的时间人力成本费用、为维护权利而支出的取证费、律师费、诉讼保全费等。上述费用甲方有权在质保金中直接抵扣。</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12.不可抗力</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.1不可抗力包括因战争、动乱、空中飞行物体坠落或其他非甲方乙方责任造成的爆炸、火灾。</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.2由于不可抗力造成不可意料的事故并影响本合同的继续执行时，发生事故的一方应立即以书面的形式通告合同另一方，并提供事故发生的有效证明。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bCs/>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2</w:t>
      </w:r>
      <w:r>
        <w:rPr>
          <w:rFonts w:hint="eastAsia" w:ascii="仿宋" w:hAnsi="仿宋" w:eastAsia="仿宋" w:cs="仿宋"/>
          <w:szCs w:val="21"/>
          <w:highlight w:val="none"/>
        </w:rPr>
        <w:t>.3在不可抗力事件发生后，双方应努力寻求采取合理的方案履行不受不可抗力影响的其他事项。如不可抗拒因素继续存在，致使在合同规定的交货期后三十天内仍不能交货，经双方协商同意，可解除本合同，这时，甲乙双方均不互提出索赔。甲乙双方均不承担终止合同的责任。</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13.通知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lang w:val="en-GB"/>
        </w:rPr>
      </w:pPr>
      <w:r>
        <w:rPr>
          <w:rFonts w:hint="eastAsia" w:ascii="仿宋" w:hAnsi="仿宋" w:eastAsia="仿宋" w:cs="仿宋"/>
          <w:szCs w:val="21"/>
          <w:highlight w:val="none"/>
        </w:rPr>
        <w:t>合同任一方就本合同发出的通知、声明等书面文件，可以按照合同双方在本合同中列明的住址/公司注册地</w:t>
      </w:r>
      <w:r>
        <w:rPr>
          <w:rFonts w:hint="eastAsia" w:ascii="仿宋" w:hAnsi="仿宋" w:eastAsia="仿宋" w:cs="仿宋"/>
          <w:szCs w:val="21"/>
          <w:highlight w:val="none"/>
          <w:lang w:eastAsia="zh-CN"/>
        </w:rPr>
        <w:t>，</w:t>
      </w:r>
      <w:r>
        <w:rPr>
          <w:rFonts w:hint="eastAsia" w:ascii="仿宋" w:hAnsi="仿宋" w:eastAsia="仿宋" w:cs="仿宋"/>
          <w:szCs w:val="21"/>
          <w:highlight w:val="none"/>
        </w:rPr>
        <w:t>或</w:t>
      </w:r>
      <w:r>
        <w:rPr>
          <w:rFonts w:hint="eastAsia" w:ascii="仿宋" w:hAnsi="仿宋" w:eastAsia="仿宋" w:cs="仿宋"/>
          <w:szCs w:val="21"/>
          <w:highlight w:val="none"/>
          <w:lang w:eastAsia="zh-CN"/>
        </w:rPr>
        <w:t>电子邮箱送达</w:t>
      </w:r>
      <w:r>
        <w:rPr>
          <w:rFonts w:hint="eastAsia" w:ascii="仿宋" w:hAnsi="仿宋" w:eastAsia="仿宋" w:cs="仿宋"/>
          <w:szCs w:val="21"/>
          <w:highlight w:val="none"/>
        </w:rPr>
        <w:t>对方（双方联系</w:t>
      </w:r>
      <w:r>
        <w:rPr>
          <w:rFonts w:hint="eastAsia" w:ascii="仿宋" w:hAnsi="仿宋" w:eastAsia="仿宋" w:cs="仿宋"/>
          <w:szCs w:val="21"/>
          <w:highlight w:val="none"/>
          <w:lang w:eastAsia="zh-CN"/>
        </w:rPr>
        <w:t>方式或</w:t>
      </w:r>
      <w:r>
        <w:rPr>
          <w:rFonts w:hint="eastAsia" w:ascii="仿宋" w:hAnsi="仿宋" w:eastAsia="仿宋" w:cs="仿宋"/>
          <w:szCs w:val="21"/>
          <w:highlight w:val="none"/>
        </w:rPr>
        <w:t>地址如有变更，应当及时书面通知合同对方，否则视为未变更）。</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14.争议解决</w:t>
      </w:r>
    </w:p>
    <w:p>
      <w:pPr>
        <w:keepNext w:val="0"/>
        <w:keepLines w:val="0"/>
        <w:pageBreakBefore w:val="0"/>
        <w:shd w:val="clear" w:color="auto" w:fill="auto"/>
        <w:kinsoku/>
        <w:wordWrap/>
        <w:overflowPunct/>
        <w:topLinePunct w:val="0"/>
        <w:autoSpaceDE/>
        <w:autoSpaceDN/>
        <w:bidi w:val="0"/>
        <w:adjustRightInd/>
        <w:snapToGrid/>
        <w:spacing w:line="440" w:lineRule="exact"/>
        <w:ind w:firstLine="6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ascii="仿宋" w:hAnsi="仿宋" w:eastAsia="仿宋" w:cs="仿宋"/>
          <w:szCs w:val="21"/>
          <w:highlight w:val="none"/>
        </w:rPr>
        <w:t>4</w:t>
      </w:r>
      <w:r>
        <w:rPr>
          <w:rFonts w:hint="eastAsia" w:ascii="仿宋" w:hAnsi="仿宋" w:eastAsia="仿宋" w:cs="仿宋"/>
          <w:szCs w:val="21"/>
          <w:highlight w:val="none"/>
        </w:rPr>
        <w:t>.</w:t>
      </w:r>
      <w:r>
        <w:rPr>
          <w:rFonts w:hint="eastAsia" w:ascii="仿宋" w:hAnsi="仿宋" w:eastAsia="仿宋" w:cs="仿宋"/>
          <w:szCs w:val="21"/>
          <w:highlight w:val="none"/>
          <w:lang w:eastAsia="zh-CN"/>
        </w:rPr>
        <w:t>1与本合同有关，或因本合同引起的一切争议，甲乙双方应首先通过友好协商解决，如经协商后仍不能达成协议时，双方约定任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color="auto" w:fill="auto"/>
        <w:kinsoku/>
        <w:wordWrap/>
        <w:overflowPunct/>
        <w:topLinePunct w:val="0"/>
        <w:autoSpaceDE/>
        <w:autoSpaceDN/>
        <w:bidi w:val="0"/>
        <w:adjustRightInd/>
        <w:snapToGrid/>
        <w:spacing w:line="440" w:lineRule="exact"/>
        <w:ind w:firstLine="600"/>
        <w:textAlignment w:val="auto"/>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4</w:t>
      </w:r>
      <w:r>
        <w:rPr>
          <w:rFonts w:hint="eastAsia" w:ascii="仿宋" w:hAnsi="仿宋" w:eastAsia="仿宋" w:cs="仿宋"/>
          <w:szCs w:val="21"/>
          <w:highlight w:val="none"/>
        </w:rPr>
        <w:t>.2</w:t>
      </w:r>
      <w:r>
        <w:rPr>
          <w:rFonts w:hint="eastAsia" w:ascii="仿宋" w:hAnsi="仿宋" w:eastAsia="仿宋"/>
          <w:szCs w:val="21"/>
          <w:highlight w:val="none"/>
        </w:rPr>
        <w:t>在进行法院审理期间，除提交法院审理的事项外，合同其他部分仍应继续履行。</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rPr>
        <w:t>15.合同文本格式</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双方对此合同有任何修改及补充均应另行签订补充协议。合同正文中任何非打印的文字或者图形，除非经双方盖章确认同意，不产生约束力。</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sz w:val="24"/>
          <w:highlight w:val="none"/>
        </w:rPr>
        <w:t>16.合</w:t>
      </w:r>
      <w:r>
        <w:rPr>
          <w:rFonts w:hint="eastAsia" w:ascii="仿宋" w:hAnsi="仿宋" w:eastAsia="仿宋" w:cs="仿宋"/>
          <w:b/>
          <w:bCs/>
          <w:sz w:val="24"/>
          <w:highlight w:val="none"/>
        </w:rPr>
        <w:t>同生效</w:t>
      </w:r>
    </w:p>
    <w:p>
      <w:pPr>
        <w:pStyle w:val="26"/>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trike/>
          <w:dstrike w:val="0"/>
          <w:szCs w:val="21"/>
          <w:highlight w:val="none"/>
          <w:lang w:val="en-US" w:eastAsia="zh-CN"/>
        </w:rPr>
      </w:pPr>
      <w:r>
        <w:rPr>
          <w:rFonts w:hint="eastAsia" w:ascii="仿宋" w:hAnsi="仿宋" w:eastAsia="仿宋" w:cs="仿宋"/>
          <w:szCs w:val="21"/>
          <w:highlight w:val="none"/>
          <w:shd w:val="clear" w:color="auto" w:fill="auto"/>
        </w:rPr>
        <w:t>本协议一式</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份，甲</w:t>
      </w:r>
      <w:r>
        <w:rPr>
          <w:rFonts w:hint="eastAsia" w:ascii="仿宋" w:hAnsi="仿宋" w:eastAsia="仿宋" w:cs="仿宋"/>
          <w:szCs w:val="21"/>
          <w:highlight w:val="none"/>
          <w:shd w:val="clear" w:color="auto" w:fill="auto"/>
          <w:lang w:eastAsia="zh-CN"/>
        </w:rPr>
        <w:t>方执三份，乙方</w:t>
      </w:r>
      <w:r>
        <w:rPr>
          <w:rFonts w:hint="eastAsia" w:ascii="仿宋" w:hAnsi="仿宋" w:eastAsia="仿宋" w:cs="仿宋"/>
          <w:szCs w:val="21"/>
          <w:highlight w:val="none"/>
          <w:shd w:val="clear" w:color="auto" w:fill="auto"/>
        </w:rPr>
        <w:t>乙</w:t>
      </w:r>
      <w:r>
        <w:rPr>
          <w:rFonts w:hint="eastAsia" w:ascii="仿宋" w:hAnsi="仿宋" w:eastAsia="仿宋" w:cs="仿宋"/>
          <w:szCs w:val="21"/>
          <w:highlight w:val="none"/>
          <w:shd w:val="clear" w:color="auto" w:fill="auto"/>
          <w:lang w:eastAsia="zh-CN"/>
        </w:rPr>
        <w:t>执</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w:t>
      </w:r>
      <w:r>
        <w:rPr>
          <w:rFonts w:hint="eastAsia" w:ascii="仿宋" w:hAnsi="仿宋" w:eastAsia="仿宋" w:cs="仿宋"/>
          <w:szCs w:val="21"/>
          <w:highlight w:val="none"/>
        </w:rPr>
        <w:t>经双方盖章、签字后生效</w:t>
      </w:r>
      <w:r>
        <w:rPr>
          <w:rFonts w:hint="eastAsia" w:ascii="仿宋" w:hAnsi="仿宋" w:eastAsia="仿宋" w:cs="仿宋"/>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6" w:hanging="11"/>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highlight w:val="none"/>
        </w:rPr>
        <w:t>17.</w:t>
      </w:r>
      <w:r>
        <w:rPr>
          <w:rFonts w:hint="eastAsia" w:ascii="仿宋" w:hAnsi="仿宋" w:eastAsia="仿宋" w:cs="仿宋"/>
          <w:b/>
          <w:bCs/>
          <w:sz w:val="24"/>
          <w:szCs w:val="24"/>
          <w:highlight w:val="none"/>
          <w:lang w:val="en-US" w:eastAsia="zh-CN"/>
        </w:rPr>
        <w:t>履约保证条款</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 xml:space="preserve">17.1 </w:t>
      </w:r>
      <w:r>
        <w:rPr>
          <w:rFonts w:hint="eastAsia" w:ascii="仿宋" w:hAnsi="仿宋" w:eastAsia="仿宋" w:cs="仿宋"/>
          <w:sz w:val="21"/>
          <w:szCs w:val="21"/>
          <w:highlight w:val="none"/>
          <w:lang w:eastAsia="zh-CN"/>
        </w:rPr>
        <w:t>经甲乙双方协商一致，乙方按照以下第</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③</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种方式提供履约担保：</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①乙方应在合同生效后10日内向甲方交纳履约保证金计</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②乙方应在合同生效后10日内向甲方提交金额为</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③乙方无需开具履约保证金或履约保函。</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b/>
          <w:bCs/>
          <w:sz w:val="21"/>
          <w:szCs w:val="21"/>
          <w:highlight w:val="none"/>
          <w:lang w:eastAsia="zh-CN"/>
        </w:rPr>
      </w:pPr>
      <w:r>
        <w:rPr>
          <w:rFonts w:hint="eastAsia" w:ascii="仿宋" w:hAnsi="仿宋" w:eastAsia="仿宋" w:cs="仿宋"/>
          <w:sz w:val="21"/>
          <w:szCs w:val="21"/>
          <w:highlight w:val="none"/>
          <w:lang w:val="en-US" w:eastAsia="zh-CN"/>
        </w:rPr>
        <w:t xml:space="preserve">17.2 </w:t>
      </w:r>
      <w:r>
        <w:rPr>
          <w:rFonts w:hint="eastAsia" w:ascii="仿宋" w:hAnsi="仿宋" w:eastAsia="仿宋" w:cs="仿宋"/>
          <w:sz w:val="21"/>
          <w:szCs w:val="21"/>
          <w:highlight w:val="none"/>
          <w:lang w:eastAsia="zh-CN"/>
        </w:rPr>
        <w:t>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18.</w:t>
      </w:r>
      <w:r>
        <w:rPr>
          <w:rFonts w:hint="eastAsia" w:ascii="仿宋" w:hAnsi="仿宋" w:eastAsia="仿宋" w:cs="仿宋"/>
          <w:b/>
          <w:bCs/>
          <w:sz w:val="24"/>
          <w:highlight w:val="none"/>
        </w:rPr>
        <w:t>特别约定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 xml:space="preserve"> （无）</w:t>
      </w:r>
      <w:r>
        <w:rPr>
          <w:rFonts w:ascii="仿宋" w:hAnsi="仿宋" w:eastAsia="仿宋"/>
          <w:color w:val="333333"/>
          <w:szCs w:val="21"/>
          <w:highlight w:val="none"/>
          <w:u w:val="single"/>
          <w:shd w:val="clear" w:color="auto" w:fill="FFFFFF"/>
        </w:rPr>
        <w:t xml:space="preserve"> </w:t>
      </w:r>
      <w:r>
        <w:rPr>
          <w:rFonts w:hint="eastAsia" w:ascii="仿宋" w:hAnsi="仿宋" w:eastAsia="仿宋"/>
          <w:color w:val="333333"/>
          <w:szCs w:val="21"/>
          <w:highlight w:val="none"/>
          <w:u w:val="single"/>
          <w:shd w:val="clear" w:color="auto" w:fill="FFFFFF"/>
        </w:rPr>
        <w:t>或</w:t>
      </w:r>
      <w:r>
        <w:rPr>
          <w:rFonts w:ascii="仿宋" w:hAnsi="仿宋" w:eastAsia="仿宋"/>
          <w:color w:val="333333"/>
          <w:szCs w:val="21"/>
          <w:highlight w:val="none"/>
          <w:u w:val="single"/>
          <w:shd w:val="clear" w:color="auto" w:fill="FFFFFF"/>
        </w:rPr>
        <w:t>根据</w:t>
      </w:r>
      <w:r>
        <w:rPr>
          <w:rFonts w:hint="eastAsia" w:ascii="仿宋" w:hAnsi="仿宋" w:eastAsia="仿宋"/>
          <w:color w:val="333333"/>
          <w:szCs w:val="21"/>
          <w:highlight w:val="none"/>
          <w:u w:val="single"/>
          <w:shd w:val="clear" w:color="auto" w:fill="FFFFFF"/>
        </w:rPr>
        <w:t>实际谈判</w:t>
      </w:r>
      <w:r>
        <w:rPr>
          <w:rFonts w:ascii="仿宋" w:hAnsi="仿宋" w:eastAsia="仿宋"/>
          <w:color w:val="333333"/>
          <w:szCs w:val="21"/>
          <w:highlight w:val="none"/>
          <w:u w:val="single"/>
          <w:shd w:val="clear" w:color="auto" w:fill="FFFFFF"/>
        </w:rPr>
        <w:t xml:space="preserve">内容填写    </w:t>
      </w:r>
    </w:p>
    <w:p>
      <w:pPr>
        <w:pStyle w:val="26"/>
        <w:keepNext w:val="0"/>
        <w:keepLines w:val="0"/>
        <w:pageBreakBefore w:val="0"/>
        <w:kinsoku/>
        <w:wordWrap/>
        <w:overflowPunct/>
        <w:topLinePunct w:val="0"/>
        <w:autoSpaceDE/>
        <w:autoSpaceDN/>
        <w:bidi w:val="0"/>
        <w:adjustRightInd/>
        <w:snapToGrid/>
        <w:spacing w:line="440" w:lineRule="exact"/>
        <w:ind w:firstLine="56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（以下无正文）</w:t>
      </w:r>
    </w:p>
    <w:p>
      <w:pPr>
        <w:pStyle w:val="26"/>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highlight w:val="none"/>
        </w:rPr>
      </w:pPr>
    </w:p>
    <w:tbl>
      <w:tblPr>
        <w:tblStyle w:val="51"/>
        <w:tblpPr w:leftFromText="180" w:rightFromText="180" w:vertAnchor="text" w:horzAnchor="margin" w:tblpXSpec="center" w:tblpY="42"/>
        <w:tblW w:w="0" w:type="auto"/>
        <w:jc w:val="center"/>
        <w:tblLayout w:type="fixed"/>
        <w:tblCellMar>
          <w:top w:w="0" w:type="dxa"/>
          <w:left w:w="108" w:type="dxa"/>
          <w:bottom w:w="0" w:type="dxa"/>
          <w:right w:w="108" w:type="dxa"/>
        </w:tblCellMar>
      </w:tblPr>
      <w:tblGrid>
        <w:gridCol w:w="5070"/>
        <w:gridCol w:w="4872"/>
      </w:tblGrid>
      <w:tr>
        <w:tblPrEx>
          <w:tblCellMar>
            <w:top w:w="0" w:type="dxa"/>
            <w:left w:w="108" w:type="dxa"/>
            <w:bottom w:w="0" w:type="dxa"/>
            <w:right w:w="108" w:type="dxa"/>
          </w:tblCellMar>
        </w:tblPrEx>
        <w:trPr>
          <w:jc w:val="center"/>
        </w:trPr>
        <w:tc>
          <w:tcPr>
            <w:tcW w:w="5070" w:type="dxa"/>
            <w:noWrap w:val="0"/>
            <w:vAlign w:val="top"/>
          </w:tcPr>
          <w:p>
            <w:pPr>
              <w:spacing w:line="360" w:lineRule="exact"/>
              <w:ind w:left="315" w:hanging="315" w:hangingChars="15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lang w:eastAsia="zh-CN"/>
              </w:rPr>
              <w:t>广东机场白云信息科技股份有限公司</w:t>
            </w:r>
            <w:r>
              <w:rPr>
                <w:rFonts w:hint="eastAsia" w:ascii="仿宋" w:hAnsi="仿宋" w:eastAsia="仿宋" w:cs="仿宋"/>
                <w:highlight w:val="none"/>
              </w:rPr>
              <w:t>（盖章）</w:t>
            </w: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highlight w:val="none"/>
              </w:rPr>
              <w:t xml:space="preserve">                  </w:t>
            </w:r>
          </w:p>
        </w:tc>
        <w:tc>
          <w:tcPr>
            <w:tcW w:w="4872" w:type="dxa"/>
            <w:noWrap w:val="0"/>
            <w:vAlign w:val="top"/>
          </w:tcPr>
          <w:p>
            <w:pPr>
              <w:rPr>
                <w:rFonts w:hint="eastAsia" w:ascii="仿宋" w:hAnsi="仿宋" w:eastAsia="仿宋" w:cs="仿宋"/>
                <w:highlight w:val="none"/>
                <w:lang w:val="en-US" w:eastAsia="zh-CN"/>
              </w:rPr>
            </w:pPr>
            <w:r>
              <w:rPr>
                <w:rFonts w:hint="eastAsia" w:ascii="仿宋" w:hAnsi="仿宋" w:eastAsia="仿宋" w:cs="仿宋"/>
                <w:bCs/>
                <w:highlight w:val="none"/>
              </w:rPr>
              <w:t>乙方：</w:t>
            </w:r>
          </w:p>
          <w:p>
            <w:pPr>
              <w:spacing w:line="360" w:lineRule="exact"/>
              <w:rPr>
                <w:rFonts w:hint="eastAsia" w:ascii="仿宋" w:hAnsi="仿宋" w:eastAsia="仿宋" w:cs="仿宋"/>
                <w:bCs/>
                <w:highlight w:val="none"/>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highlight w:val="none"/>
              </w:rPr>
            </w:pPr>
            <w:r>
              <w:rPr>
                <w:rFonts w:hint="eastAsia" w:ascii="仿宋" w:hAnsi="仿宋" w:eastAsia="仿宋" w:cs="仿宋"/>
                <w:highlight w:val="none"/>
              </w:rPr>
              <w:t>法人代表</w:t>
            </w:r>
            <w:r>
              <w:rPr>
                <w:rFonts w:hint="eastAsia" w:ascii="仿宋" w:hAnsi="仿宋" w:eastAsia="仿宋" w:cs="仿宋"/>
                <w:szCs w:val="22"/>
                <w:highlight w:val="none"/>
              </w:rPr>
              <w:t>/授权代表（</w:t>
            </w:r>
            <w:r>
              <w:rPr>
                <w:rFonts w:hint="eastAsia" w:ascii="仿宋" w:hAnsi="仿宋" w:eastAsia="仿宋" w:cs="仿宋"/>
                <w:highlight w:val="none"/>
              </w:rPr>
              <w:t>签字）：</w:t>
            </w:r>
          </w:p>
        </w:tc>
        <w:tc>
          <w:tcPr>
            <w:tcW w:w="4872" w:type="dxa"/>
            <w:noWrap w:val="0"/>
            <w:vAlign w:val="top"/>
          </w:tcPr>
          <w:p>
            <w:pPr>
              <w:spacing w:line="360" w:lineRule="exact"/>
              <w:rPr>
                <w:rFonts w:hint="eastAsia" w:ascii="仿宋" w:hAnsi="仿宋" w:eastAsia="仿宋" w:cs="仿宋"/>
                <w:bCs/>
                <w:highlight w:val="none"/>
              </w:rPr>
            </w:pPr>
            <w:r>
              <w:rPr>
                <w:rFonts w:hint="eastAsia" w:ascii="仿宋" w:hAnsi="仿宋" w:eastAsia="仿宋" w:cs="仿宋"/>
                <w:bCs/>
                <w:highlight w:val="none"/>
              </w:rPr>
              <w:t>法人代</w:t>
            </w:r>
            <w:r>
              <w:rPr>
                <w:rFonts w:hint="eastAsia" w:ascii="仿宋" w:hAnsi="仿宋" w:eastAsia="仿宋" w:cs="仿宋"/>
                <w:szCs w:val="22"/>
                <w:highlight w:val="none"/>
              </w:rPr>
              <w:t>表/授权代表（签字</w:t>
            </w:r>
            <w:r>
              <w:rPr>
                <w:rFonts w:hint="eastAsia" w:ascii="仿宋" w:hAnsi="仿宋" w:eastAsia="仿宋" w:cs="仿宋"/>
                <w:bCs/>
                <w:highlight w:val="none"/>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highlight w:val="none"/>
              </w:rPr>
            </w:pPr>
          </w:p>
        </w:tc>
        <w:tc>
          <w:tcPr>
            <w:tcW w:w="4872" w:type="dxa"/>
            <w:noWrap w:val="0"/>
            <w:vAlign w:val="top"/>
          </w:tcPr>
          <w:p>
            <w:pPr>
              <w:spacing w:line="360" w:lineRule="exact"/>
              <w:rPr>
                <w:rFonts w:hint="eastAsia" w:ascii="仿宋" w:hAnsi="仿宋" w:eastAsia="仿宋" w:cs="仿宋"/>
                <w:bCs/>
                <w:highlight w:val="none"/>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szCs w:val="22"/>
                <w:highlight w:val="none"/>
              </w:rPr>
            </w:pPr>
            <w:r>
              <w:rPr>
                <w:rFonts w:hint="eastAsia" w:ascii="仿宋" w:hAnsi="仿宋" w:eastAsia="仿宋" w:cs="仿宋"/>
                <w:szCs w:val="22"/>
                <w:highlight w:val="none"/>
              </w:rPr>
              <w:t xml:space="preserve">日    期：     </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年   月   日</w:t>
            </w:r>
          </w:p>
        </w:tc>
        <w:tc>
          <w:tcPr>
            <w:tcW w:w="4872" w:type="dxa"/>
            <w:noWrap w:val="0"/>
            <w:vAlign w:val="top"/>
          </w:tcPr>
          <w:p>
            <w:pPr>
              <w:spacing w:line="360" w:lineRule="exact"/>
              <w:rPr>
                <w:rFonts w:hint="eastAsia" w:ascii="仿宋" w:hAnsi="仿宋" w:eastAsia="仿宋" w:cs="仿宋"/>
                <w:szCs w:val="22"/>
                <w:highlight w:val="none"/>
              </w:rPr>
            </w:pPr>
            <w:r>
              <w:rPr>
                <w:rFonts w:hint="eastAsia" w:ascii="仿宋" w:hAnsi="仿宋" w:eastAsia="仿宋" w:cs="仿宋"/>
                <w:szCs w:val="22"/>
                <w:highlight w:val="none"/>
              </w:rPr>
              <w:t xml:space="preserve">日    期：     </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年   月   日</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highlight w:val="none"/>
                <w:lang w:val="en-US" w:eastAsia="zh-CN"/>
              </w:rPr>
            </w:pPr>
            <w:r>
              <w:rPr>
                <w:rFonts w:hint="eastAsia" w:ascii="仿宋" w:hAnsi="仿宋" w:eastAsia="仿宋" w:cs="仿宋"/>
                <w:highlight w:val="none"/>
              </w:rPr>
              <w:t>通讯地址：</w:t>
            </w:r>
            <w:r>
              <w:rPr>
                <w:rFonts w:hint="eastAsia" w:ascii="仿宋" w:hAnsi="仿宋" w:eastAsia="仿宋" w:cs="仿宋"/>
                <w:szCs w:val="21"/>
                <w:highlight w:val="none"/>
              </w:rPr>
              <w:t>广州白云国际机场</w:t>
            </w:r>
            <w:r>
              <w:rPr>
                <w:rFonts w:hint="eastAsia" w:ascii="仿宋" w:hAnsi="仿宋" w:eastAsia="仿宋" w:cs="仿宋"/>
                <w:szCs w:val="21"/>
                <w:highlight w:val="none"/>
                <w:lang w:val="en-US" w:eastAsia="zh-CN"/>
              </w:rPr>
              <w:t>西南商务区A栋5层</w:t>
            </w:r>
          </w:p>
        </w:tc>
        <w:tc>
          <w:tcPr>
            <w:tcW w:w="4872" w:type="dxa"/>
            <w:noWrap w:val="0"/>
            <w:vAlign w:val="top"/>
          </w:tcPr>
          <w:p>
            <w:pPr>
              <w:spacing w:line="360" w:lineRule="exact"/>
              <w:rPr>
                <w:rFonts w:hint="eastAsia" w:ascii="仿宋" w:hAnsi="仿宋" w:eastAsia="仿宋" w:cs="仿宋"/>
                <w:bCs/>
                <w:highlight w:val="none"/>
              </w:rPr>
            </w:pPr>
            <w:r>
              <w:rPr>
                <w:rFonts w:hint="eastAsia" w:ascii="仿宋" w:hAnsi="仿宋" w:eastAsia="仿宋" w:cs="仿宋"/>
                <w:bCs/>
                <w:highlight w:val="none"/>
              </w:rPr>
              <w:t xml:space="preserve">通讯地址： </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highlight w:val="none"/>
                <w:lang w:val="en-US" w:eastAsia="zh-CN"/>
              </w:rPr>
            </w:pPr>
            <w:r>
              <w:rPr>
                <w:rFonts w:hint="eastAsia" w:ascii="仿宋" w:hAnsi="仿宋" w:eastAsia="仿宋" w:cs="仿宋"/>
                <w:highlight w:val="none"/>
                <w:lang w:eastAsia="zh-CN"/>
              </w:rPr>
              <w:t>联系人</w:t>
            </w:r>
            <w:r>
              <w:rPr>
                <w:rFonts w:hint="eastAsia" w:ascii="仿宋" w:hAnsi="仿宋" w:eastAsia="仿宋" w:cs="仿宋"/>
                <w:highlight w:val="none"/>
              </w:rPr>
              <w:t>：</w:t>
            </w:r>
          </w:p>
        </w:tc>
        <w:tc>
          <w:tcPr>
            <w:tcW w:w="4872" w:type="dxa"/>
            <w:noWrap w:val="0"/>
            <w:vAlign w:val="top"/>
          </w:tcPr>
          <w:p>
            <w:pPr>
              <w:spacing w:line="360" w:lineRule="exact"/>
              <w:rPr>
                <w:rFonts w:hint="default" w:ascii="仿宋" w:hAnsi="仿宋" w:eastAsia="仿宋" w:cs="仿宋"/>
                <w:bCs/>
                <w:highlight w:val="none"/>
                <w:lang w:val="en-US" w:eastAsia="zh-CN"/>
              </w:rPr>
            </w:pPr>
            <w:r>
              <w:rPr>
                <w:rFonts w:hint="eastAsia" w:ascii="仿宋" w:hAnsi="仿宋" w:eastAsia="仿宋" w:cs="仿宋"/>
                <w:bCs/>
                <w:highlight w:val="none"/>
                <w:lang w:eastAsia="zh-CN"/>
              </w:rPr>
              <w:t>联系人</w:t>
            </w:r>
            <w:r>
              <w:rPr>
                <w:rFonts w:hint="eastAsia" w:ascii="仿宋" w:hAnsi="仿宋" w:eastAsia="仿宋" w:cs="仿宋"/>
                <w:bCs/>
                <w:highlight w:val="none"/>
              </w:rPr>
              <w:t>：</w:t>
            </w:r>
          </w:p>
        </w:tc>
      </w:tr>
      <w:tr>
        <w:tblPrEx>
          <w:tblCellMar>
            <w:top w:w="0" w:type="dxa"/>
            <w:left w:w="108" w:type="dxa"/>
            <w:bottom w:w="0" w:type="dxa"/>
            <w:right w:w="108" w:type="dxa"/>
          </w:tblCellMar>
        </w:tblPrEx>
        <w:trPr>
          <w:trHeight w:val="348" w:hRule="atLeast"/>
          <w:jc w:val="center"/>
        </w:trPr>
        <w:tc>
          <w:tcPr>
            <w:tcW w:w="5070" w:type="dxa"/>
            <w:noWrap w:val="0"/>
            <w:vAlign w:val="top"/>
          </w:tcPr>
          <w:p>
            <w:pPr>
              <w:spacing w:line="360" w:lineRule="exact"/>
              <w:rPr>
                <w:rFonts w:hint="default" w:ascii="仿宋" w:hAnsi="仿宋" w:eastAsia="仿宋" w:cs="仿宋"/>
                <w:highlight w:val="none"/>
                <w:lang w:val="en-US" w:eastAsia="zh-CN"/>
              </w:rPr>
            </w:pPr>
            <w:r>
              <w:rPr>
                <w:rFonts w:hint="eastAsia" w:ascii="仿宋" w:hAnsi="仿宋" w:eastAsia="仿宋" w:cs="仿宋"/>
                <w:highlight w:val="none"/>
                <w:lang w:val="en-US" w:eastAsia="zh-CN"/>
              </w:rPr>
              <w:t>联系电话：</w:t>
            </w:r>
          </w:p>
        </w:tc>
        <w:tc>
          <w:tcPr>
            <w:tcW w:w="4872" w:type="dxa"/>
            <w:noWrap w:val="0"/>
            <w:vAlign w:val="top"/>
          </w:tcPr>
          <w:p>
            <w:pPr>
              <w:spacing w:line="360" w:lineRule="exact"/>
              <w:rPr>
                <w:rFonts w:hint="default" w:ascii="仿宋" w:hAnsi="仿宋" w:eastAsia="仿宋" w:cs="仿宋"/>
                <w:bCs/>
                <w:highlight w:val="none"/>
                <w:lang w:val="en-US"/>
              </w:rPr>
            </w:pPr>
            <w:r>
              <w:rPr>
                <w:rFonts w:hint="eastAsia" w:ascii="仿宋" w:hAnsi="仿宋" w:eastAsia="仿宋" w:cs="仿宋"/>
                <w:highlight w:val="none"/>
                <w:lang w:val="en-US" w:eastAsia="zh-CN"/>
              </w:rPr>
              <w:t>联系电话：</w:t>
            </w:r>
          </w:p>
        </w:tc>
      </w:tr>
      <w:tr>
        <w:tblPrEx>
          <w:tblCellMar>
            <w:top w:w="0" w:type="dxa"/>
            <w:left w:w="108" w:type="dxa"/>
            <w:bottom w:w="0" w:type="dxa"/>
            <w:right w:w="108" w:type="dxa"/>
          </w:tblCellMar>
        </w:tblPrEx>
        <w:trPr>
          <w:trHeight w:val="90" w:hRule="atLeast"/>
          <w:jc w:val="center"/>
        </w:trPr>
        <w:tc>
          <w:tcPr>
            <w:tcW w:w="5070" w:type="dxa"/>
            <w:noWrap w:val="0"/>
            <w:vAlign w:val="top"/>
          </w:tcPr>
          <w:p>
            <w:pPr>
              <w:spacing w:line="360" w:lineRule="exact"/>
              <w:rPr>
                <w:rFonts w:hint="default" w:ascii="仿宋" w:hAnsi="仿宋" w:eastAsia="仿宋" w:cs="仿宋"/>
                <w:highlight w:val="none"/>
                <w:lang w:val="en-US" w:eastAsia="zh-CN"/>
              </w:rPr>
            </w:pPr>
            <w:r>
              <w:rPr>
                <w:rFonts w:hint="eastAsia" w:ascii="仿宋" w:hAnsi="仿宋" w:eastAsia="仿宋" w:cs="仿宋"/>
                <w:highlight w:val="none"/>
                <w:lang w:eastAsia="zh-CN"/>
              </w:rPr>
              <w:t>电子邮箱：</w:t>
            </w:r>
          </w:p>
        </w:tc>
        <w:tc>
          <w:tcPr>
            <w:tcW w:w="4872" w:type="dxa"/>
            <w:noWrap w:val="0"/>
            <w:vAlign w:val="top"/>
          </w:tcPr>
          <w:p>
            <w:pPr>
              <w:spacing w:line="360" w:lineRule="exact"/>
              <w:rPr>
                <w:rFonts w:hint="default" w:ascii="仿宋" w:hAnsi="仿宋" w:eastAsia="仿宋" w:cs="仿宋"/>
                <w:bCs/>
                <w:highlight w:val="none"/>
                <w:lang w:val="en-US"/>
              </w:rPr>
            </w:pPr>
            <w:r>
              <w:rPr>
                <w:rFonts w:hint="eastAsia" w:ascii="仿宋" w:hAnsi="仿宋" w:eastAsia="仿宋" w:cs="仿宋"/>
                <w:highlight w:val="none"/>
                <w:lang w:eastAsia="zh-CN"/>
              </w:rPr>
              <w:t>电子邮箱：</w:t>
            </w:r>
          </w:p>
        </w:tc>
      </w:tr>
    </w:tbl>
    <w:p>
      <w:pPr>
        <w:adjustRightInd w:val="0"/>
        <w:spacing w:line="360" w:lineRule="auto"/>
        <w:rPr>
          <w:rFonts w:hint="eastAsia" w:ascii="仿宋" w:hAnsi="仿宋" w:eastAsia="仿宋"/>
          <w:szCs w:val="21"/>
          <w:highlight w:val="none"/>
        </w:rPr>
      </w:pPr>
    </w:p>
    <w:p>
      <w:pPr>
        <w:spacing w:line="400" w:lineRule="exact"/>
        <w:jc w:val="left"/>
        <w:rPr>
          <w:rFonts w:hint="eastAsia" w:ascii="黑体" w:hAnsi="黑体" w:eastAsia="黑体" w:cs="黑体"/>
          <w:b/>
          <w:szCs w:val="21"/>
          <w:highlight w:val="none"/>
          <w:lang w:val="en-US" w:eastAsia="zh-CN"/>
        </w:rPr>
      </w:pPr>
      <w:r>
        <w:rPr>
          <w:rFonts w:hint="eastAsia" w:ascii="黑体" w:hAnsi="黑体" w:eastAsia="黑体" w:cs="黑体"/>
          <w:b/>
          <w:szCs w:val="21"/>
          <w:highlight w:val="none"/>
          <w:lang w:val="en-US" w:eastAsia="zh-CN"/>
        </w:rPr>
        <w:br w:type="page"/>
      </w:r>
      <w:r>
        <w:rPr>
          <w:rFonts w:hint="eastAsia" w:ascii="黑体" w:hAnsi="黑体" w:eastAsia="黑体" w:cs="黑体"/>
          <w:b/>
          <w:szCs w:val="21"/>
          <w:highlight w:val="none"/>
          <w:lang w:val="en-US" w:eastAsia="zh-CN"/>
        </w:rPr>
        <w:t>附件1</w:t>
      </w:r>
    </w:p>
    <w:p>
      <w:pPr>
        <w:spacing w:line="400" w:lineRule="exact"/>
        <w:ind w:firstLine="562" w:firstLineChars="200"/>
        <w:jc w:val="center"/>
        <w:rPr>
          <w:rFonts w:ascii="仿宋" w:hAnsi="仿宋" w:eastAsia="仿宋"/>
          <w:b/>
          <w:sz w:val="28"/>
          <w:szCs w:val="28"/>
          <w:highlight w:val="none"/>
        </w:rPr>
      </w:pPr>
      <w:r>
        <w:rPr>
          <w:rFonts w:hint="eastAsia" w:ascii="仿宋" w:hAnsi="仿宋" w:eastAsia="仿宋"/>
          <w:b/>
          <w:sz w:val="28"/>
          <w:szCs w:val="28"/>
          <w:highlight w:val="none"/>
        </w:rPr>
        <w:t>反商业</w:t>
      </w:r>
      <w:r>
        <w:rPr>
          <w:rFonts w:ascii="仿宋" w:hAnsi="仿宋" w:eastAsia="仿宋"/>
          <w:b/>
          <w:sz w:val="28"/>
          <w:szCs w:val="28"/>
          <w:highlight w:val="none"/>
        </w:rPr>
        <w:t>贿赂协议</w:t>
      </w:r>
    </w:p>
    <w:p>
      <w:pPr>
        <w:spacing w:line="400" w:lineRule="exact"/>
        <w:ind w:firstLine="420" w:firstLineChars="200"/>
        <w:jc w:val="left"/>
        <w:rPr>
          <w:rFonts w:hint="eastAsia" w:ascii="仿宋" w:hAnsi="仿宋" w:eastAsia="仿宋"/>
          <w:szCs w:val="21"/>
          <w:highlight w:val="none"/>
          <w:lang w:eastAsia="zh-CN"/>
        </w:rPr>
      </w:pPr>
      <w:r>
        <w:rPr>
          <w:rFonts w:hint="eastAsia" w:ascii="仿宋" w:hAnsi="仿宋" w:eastAsia="仿宋"/>
          <w:szCs w:val="21"/>
          <w:highlight w:val="none"/>
        </w:rPr>
        <w:t>甲方</w:t>
      </w:r>
      <w:r>
        <w:rPr>
          <w:rFonts w:ascii="仿宋" w:hAnsi="仿宋" w:eastAsia="仿宋"/>
          <w:szCs w:val="21"/>
          <w:highlight w:val="none"/>
        </w:rPr>
        <w:t>：</w:t>
      </w:r>
      <w:r>
        <w:rPr>
          <w:rFonts w:hint="eastAsia" w:ascii="仿宋" w:hAnsi="仿宋" w:eastAsia="仿宋"/>
          <w:szCs w:val="21"/>
          <w:highlight w:val="none"/>
          <w:lang w:eastAsia="zh-CN"/>
        </w:rPr>
        <w:t>广东机场白云信息科技股份有限公司</w:t>
      </w:r>
    </w:p>
    <w:p>
      <w:pPr>
        <w:spacing w:line="400" w:lineRule="exact"/>
        <w:ind w:firstLine="420" w:firstLineChars="200"/>
        <w:jc w:val="left"/>
        <w:rPr>
          <w:rFonts w:hint="eastAsia" w:ascii="仿宋" w:hAnsi="仿宋" w:eastAsia="仿宋" w:cs="仿宋"/>
          <w:highlight w:val="none"/>
          <w:lang w:val="en-US" w:eastAsia="zh-CN"/>
        </w:rPr>
      </w:pPr>
      <w:r>
        <w:rPr>
          <w:rFonts w:hint="eastAsia" w:ascii="仿宋" w:hAnsi="仿宋" w:eastAsia="仿宋"/>
          <w:szCs w:val="21"/>
          <w:highlight w:val="none"/>
        </w:rPr>
        <w:t>乙方</w:t>
      </w:r>
      <w:r>
        <w:rPr>
          <w:rFonts w:ascii="仿宋" w:hAnsi="仿宋" w:eastAsia="仿宋"/>
          <w:szCs w:val="21"/>
          <w:highlight w:val="none"/>
        </w:rPr>
        <w:t>：</w:t>
      </w:r>
    </w:p>
    <w:p>
      <w:pPr>
        <w:spacing w:line="400" w:lineRule="exact"/>
        <w:ind w:firstLine="420" w:firstLineChars="200"/>
        <w:jc w:val="left"/>
        <w:rPr>
          <w:rFonts w:ascii="仿宋" w:hAnsi="仿宋" w:eastAsia="仿宋"/>
          <w:szCs w:val="21"/>
          <w:highlight w:val="none"/>
        </w:rPr>
      </w:pPr>
      <w:r>
        <w:rPr>
          <w:rFonts w:hint="eastAsia" w:ascii="仿宋" w:hAnsi="仿宋" w:eastAsia="仿宋"/>
          <w:szCs w:val="21"/>
          <w:highlight w:val="none"/>
        </w:rPr>
        <w:t>为</w:t>
      </w:r>
      <w:r>
        <w:rPr>
          <w:rFonts w:ascii="仿宋" w:hAnsi="仿宋" w:eastAsia="仿宋"/>
          <w:szCs w:val="21"/>
          <w:highlight w:val="none"/>
        </w:rPr>
        <w:t>共同制止商业</w:t>
      </w:r>
      <w:r>
        <w:rPr>
          <w:rFonts w:hint="eastAsia" w:ascii="仿宋" w:hAnsi="仿宋" w:eastAsia="仿宋"/>
          <w:szCs w:val="21"/>
          <w:highlight w:val="none"/>
        </w:rPr>
        <w:t>贿赂</w:t>
      </w:r>
      <w:r>
        <w:rPr>
          <w:rFonts w:ascii="仿宋" w:hAnsi="仿宋" w:eastAsia="仿宋"/>
          <w:szCs w:val="21"/>
          <w:highlight w:val="none"/>
        </w:rPr>
        <w:t>行为，维护各自及双方共同的</w:t>
      </w:r>
      <w:r>
        <w:rPr>
          <w:rFonts w:hint="eastAsia" w:ascii="仿宋" w:hAnsi="仿宋" w:eastAsia="仿宋"/>
          <w:szCs w:val="21"/>
          <w:highlight w:val="none"/>
        </w:rPr>
        <w:t>合法</w:t>
      </w:r>
      <w:r>
        <w:rPr>
          <w:rFonts w:ascii="仿宋" w:hAnsi="仿宋" w:eastAsia="仿宋"/>
          <w:szCs w:val="21"/>
          <w:highlight w:val="none"/>
        </w:rPr>
        <w:t>权益，保证甲乙双方商业合作关系健康发展，根据《中华人民共和国反不正当竞争法》（以下简称</w:t>
      </w:r>
      <w:r>
        <w:rPr>
          <w:rFonts w:hint="eastAsia" w:ascii="仿宋" w:hAnsi="仿宋" w:eastAsia="仿宋"/>
          <w:szCs w:val="21"/>
          <w:highlight w:val="none"/>
        </w:rPr>
        <w:t>反</w:t>
      </w:r>
      <w:r>
        <w:rPr>
          <w:rFonts w:ascii="仿宋" w:hAnsi="仿宋" w:eastAsia="仿宋"/>
          <w:szCs w:val="21"/>
          <w:highlight w:val="none"/>
        </w:rPr>
        <w:t>不正当竞争法）、国家工商</w:t>
      </w:r>
      <w:r>
        <w:rPr>
          <w:rFonts w:hint="eastAsia" w:ascii="仿宋" w:hAnsi="仿宋" w:eastAsia="仿宋"/>
          <w:szCs w:val="21"/>
          <w:highlight w:val="none"/>
        </w:rPr>
        <w:t>行政</w:t>
      </w:r>
      <w:r>
        <w:rPr>
          <w:rFonts w:ascii="仿宋" w:hAnsi="仿宋" w:eastAsia="仿宋"/>
          <w:szCs w:val="21"/>
          <w:highlight w:val="none"/>
        </w:rPr>
        <w:t>管理局《关于禁止商业贿赂行为的暂行规定》（国家工商行政管理局令第</w:t>
      </w:r>
      <w:r>
        <w:rPr>
          <w:rFonts w:hint="eastAsia" w:ascii="仿宋" w:hAnsi="仿宋" w:eastAsia="仿宋"/>
          <w:szCs w:val="21"/>
          <w:highlight w:val="none"/>
        </w:rPr>
        <w:t>60号</w:t>
      </w:r>
      <w:r>
        <w:rPr>
          <w:rFonts w:ascii="仿宋" w:hAnsi="仿宋" w:eastAsia="仿宋"/>
          <w:szCs w:val="21"/>
          <w:highlight w:val="none"/>
        </w:rPr>
        <w:t>）等有关法律、法规、经甲乙双方友好协商，达成如下反商业贿赂协议，以资双方信守履行：</w:t>
      </w:r>
    </w:p>
    <w:p>
      <w:pPr>
        <w:pStyle w:val="188"/>
        <w:numPr>
          <w:ilvl w:val="0"/>
          <w:numId w:val="19"/>
        </w:numPr>
        <w:spacing w:line="400" w:lineRule="exact"/>
        <w:ind w:left="420" w:leftChars="200" w:firstLine="0" w:firstLineChars="0"/>
        <w:jc w:val="left"/>
        <w:rPr>
          <w:rFonts w:ascii="仿宋" w:hAnsi="仿宋" w:eastAsia="仿宋"/>
          <w:sz w:val="21"/>
          <w:szCs w:val="21"/>
          <w:highlight w:val="none"/>
        </w:rPr>
      </w:pPr>
      <w:r>
        <w:rPr>
          <w:rFonts w:ascii="仿宋" w:hAnsi="仿宋" w:eastAsia="仿宋"/>
          <w:sz w:val="21"/>
          <w:szCs w:val="21"/>
          <w:highlight w:val="none"/>
        </w:rPr>
        <w:t>本协议所称的商业贿赂是指甲方与</w:t>
      </w:r>
      <w:r>
        <w:rPr>
          <w:rFonts w:hint="eastAsia" w:ascii="仿宋" w:hAnsi="仿宋" w:eastAsia="仿宋"/>
          <w:sz w:val="21"/>
          <w:szCs w:val="21"/>
          <w:highlight w:val="none"/>
        </w:rPr>
        <w:t>乙方</w:t>
      </w:r>
      <w:r>
        <w:rPr>
          <w:rFonts w:ascii="仿宋" w:hAnsi="仿宋" w:eastAsia="仿宋"/>
          <w:sz w:val="21"/>
          <w:szCs w:val="21"/>
          <w:highlight w:val="none"/>
        </w:rPr>
        <w:t>在合作过程中，乙方或其单位工作人员给予甲方人员的贿赂，具体由检查</w:t>
      </w:r>
      <w:r>
        <w:rPr>
          <w:rFonts w:hint="eastAsia" w:ascii="仿宋" w:hAnsi="仿宋" w:eastAsia="仿宋"/>
          <w:sz w:val="21"/>
          <w:szCs w:val="21"/>
          <w:highlight w:val="none"/>
        </w:rPr>
        <w:t>机关</w:t>
      </w:r>
      <w:r>
        <w:rPr>
          <w:rFonts w:ascii="仿宋" w:hAnsi="仿宋" w:eastAsia="仿宋"/>
          <w:sz w:val="21"/>
          <w:szCs w:val="21"/>
          <w:highlight w:val="none"/>
        </w:rPr>
        <w:t>或纪检监察部门界定。</w:t>
      </w:r>
    </w:p>
    <w:p>
      <w:pPr>
        <w:pStyle w:val="188"/>
        <w:numPr>
          <w:ilvl w:val="0"/>
          <w:numId w:val="19"/>
        </w:numPr>
        <w:spacing w:line="400" w:lineRule="exact"/>
        <w:ind w:left="420" w:leftChars="200" w:firstLine="0" w:firstLineChars="0"/>
        <w:jc w:val="left"/>
        <w:rPr>
          <w:rFonts w:ascii="仿宋" w:hAnsi="仿宋" w:eastAsia="仿宋"/>
          <w:sz w:val="21"/>
          <w:szCs w:val="21"/>
          <w:highlight w:val="none"/>
        </w:rPr>
      </w:pPr>
      <w:r>
        <w:rPr>
          <w:rFonts w:hint="eastAsia" w:ascii="仿宋" w:hAnsi="仿宋" w:eastAsia="仿宋"/>
          <w:sz w:val="21"/>
          <w:szCs w:val="21"/>
          <w:highlight w:val="none"/>
        </w:rPr>
        <w:t>甲方</w:t>
      </w:r>
      <w:r>
        <w:rPr>
          <w:rFonts w:ascii="仿宋" w:hAnsi="仿宋" w:eastAsia="仿宋"/>
          <w:sz w:val="21"/>
          <w:szCs w:val="21"/>
          <w:highlight w:val="none"/>
        </w:rPr>
        <w:t>人员不得以任何名义</w:t>
      </w:r>
      <w:r>
        <w:rPr>
          <w:rFonts w:hint="eastAsia" w:ascii="仿宋" w:hAnsi="仿宋" w:eastAsia="仿宋"/>
          <w:sz w:val="21"/>
          <w:szCs w:val="21"/>
          <w:highlight w:val="none"/>
        </w:rPr>
        <w:t>向</w:t>
      </w:r>
      <w:r>
        <w:rPr>
          <w:rFonts w:ascii="仿宋" w:hAnsi="仿宋" w:eastAsia="仿宋"/>
          <w:sz w:val="21"/>
          <w:szCs w:val="21"/>
          <w:highlight w:val="none"/>
        </w:rPr>
        <w:t>乙方索取贿赂</w:t>
      </w:r>
      <w:r>
        <w:rPr>
          <w:rFonts w:hint="eastAsia" w:ascii="仿宋" w:hAnsi="仿宋" w:eastAsia="仿宋"/>
          <w:sz w:val="21"/>
          <w:szCs w:val="21"/>
          <w:highlight w:val="none"/>
        </w:rPr>
        <w:t>；</w:t>
      </w:r>
      <w:r>
        <w:rPr>
          <w:rFonts w:ascii="仿宋" w:hAnsi="仿宋" w:eastAsia="仿宋"/>
          <w:sz w:val="21"/>
          <w:szCs w:val="21"/>
          <w:highlight w:val="none"/>
        </w:rPr>
        <w:t>收受贿赂的人员，甲方给予解雇，没收违法所得，情节严重构成犯罪的，移交司法机关追究刑事责任。</w:t>
      </w:r>
    </w:p>
    <w:p>
      <w:pPr>
        <w:pStyle w:val="188"/>
        <w:numPr>
          <w:ilvl w:val="0"/>
          <w:numId w:val="19"/>
        </w:numPr>
        <w:spacing w:line="400" w:lineRule="exact"/>
        <w:ind w:left="420" w:leftChars="200" w:firstLine="0" w:firstLineChars="0"/>
        <w:jc w:val="left"/>
        <w:rPr>
          <w:rFonts w:ascii="仿宋" w:hAnsi="仿宋" w:eastAsia="仿宋"/>
          <w:sz w:val="21"/>
          <w:szCs w:val="21"/>
          <w:highlight w:val="none"/>
        </w:rPr>
      </w:pPr>
      <w:r>
        <w:rPr>
          <w:rFonts w:hint="eastAsia" w:ascii="仿宋" w:hAnsi="仿宋" w:eastAsia="仿宋"/>
          <w:sz w:val="21"/>
          <w:szCs w:val="21"/>
          <w:highlight w:val="none"/>
        </w:rPr>
        <w:t>属甲方</w:t>
      </w:r>
      <w:r>
        <w:rPr>
          <w:rFonts w:ascii="仿宋" w:hAnsi="仿宋" w:eastAsia="仿宋"/>
          <w:sz w:val="21"/>
          <w:szCs w:val="21"/>
          <w:highlight w:val="none"/>
        </w:rPr>
        <w:t>人员主动索贿，乙方不配合甲方或其上级机关调查其人员受贿行为，将视为乙方违反协议，经核实后，甲方有权终止与乙方的合同。</w:t>
      </w:r>
    </w:p>
    <w:p>
      <w:pPr>
        <w:pStyle w:val="188"/>
        <w:numPr>
          <w:ilvl w:val="0"/>
          <w:numId w:val="19"/>
        </w:numPr>
        <w:spacing w:line="400" w:lineRule="exact"/>
        <w:ind w:left="420" w:leftChars="200" w:firstLine="0" w:firstLineChars="0"/>
        <w:jc w:val="left"/>
        <w:rPr>
          <w:rFonts w:ascii="仿宋" w:hAnsi="仿宋" w:eastAsia="仿宋"/>
          <w:sz w:val="21"/>
          <w:szCs w:val="21"/>
          <w:highlight w:val="none"/>
        </w:rPr>
      </w:pPr>
      <w:r>
        <w:rPr>
          <w:rFonts w:hint="eastAsia" w:ascii="仿宋" w:hAnsi="仿宋" w:eastAsia="仿宋"/>
          <w:sz w:val="21"/>
          <w:szCs w:val="21"/>
          <w:highlight w:val="none"/>
        </w:rPr>
        <w:t>乙方</w:t>
      </w:r>
      <w:r>
        <w:rPr>
          <w:rFonts w:ascii="仿宋" w:hAnsi="仿宋" w:eastAsia="仿宋"/>
          <w:sz w:val="21"/>
          <w:szCs w:val="21"/>
          <w:highlight w:val="none"/>
        </w:rPr>
        <w:t>违反协议，单位或工作人员贿赂甲方人员，以图获取不正当商业利益，经核实后，乙方需向甲方按</w:t>
      </w:r>
      <w:r>
        <w:rPr>
          <w:rFonts w:hint="eastAsia" w:ascii="仿宋" w:hAnsi="仿宋" w:eastAsia="仿宋"/>
          <w:sz w:val="21"/>
          <w:szCs w:val="21"/>
          <w:highlight w:val="none"/>
        </w:rPr>
        <w:t>合同</w:t>
      </w:r>
      <w:r>
        <w:rPr>
          <w:rFonts w:ascii="仿宋" w:hAnsi="仿宋" w:eastAsia="仿宋"/>
          <w:sz w:val="21"/>
          <w:szCs w:val="21"/>
          <w:highlight w:val="none"/>
        </w:rPr>
        <w:t>标的额支付相应违约金</w:t>
      </w:r>
      <w:r>
        <w:rPr>
          <w:rFonts w:hint="eastAsia" w:ascii="仿宋" w:hAnsi="仿宋" w:eastAsia="仿宋"/>
          <w:sz w:val="21"/>
          <w:szCs w:val="21"/>
          <w:highlight w:val="none"/>
        </w:rPr>
        <w:t>。</w:t>
      </w:r>
      <w:r>
        <w:rPr>
          <w:rFonts w:ascii="仿宋" w:hAnsi="仿宋" w:eastAsia="仿宋"/>
          <w:sz w:val="21"/>
          <w:szCs w:val="21"/>
          <w:highlight w:val="none"/>
        </w:rPr>
        <w:t>其中</w:t>
      </w:r>
      <w:r>
        <w:rPr>
          <w:rFonts w:hint="eastAsia" w:ascii="仿宋" w:hAnsi="仿宋" w:eastAsia="仿宋"/>
          <w:sz w:val="21"/>
          <w:szCs w:val="21"/>
          <w:highlight w:val="none"/>
        </w:rPr>
        <w:t>：</w:t>
      </w:r>
    </w:p>
    <w:p>
      <w:pPr>
        <w:spacing w:line="400" w:lineRule="exact"/>
        <w:ind w:firstLine="420" w:firstLineChars="200"/>
        <w:jc w:val="left"/>
        <w:rPr>
          <w:rFonts w:ascii="仿宋" w:hAnsi="仿宋" w:eastAsia="仿宋"/>
          <w:sz w:val="21"/>
          <w:szCs w:val="21"/>
          <w:highlight w:val="none"/>
        </w:rPr>
      </w:pPr>
      <w:r>
        <w:rPr>
          <w:rFonts w:hint="eastAsia" w:ascii="仿宋" w:hAnsi="仿宋" w:eastAsia="仿宋"/>
          <w:sz w:val="21"/>
          <w:szCs w:val="21"/>
          <w:highlight w:val="none"/>
          <w:lang w:val="en-US" w:eastAsia="zh-CN"/>
        </w:rPr>
        <w:t xml:space="preserve">4.1. </w:t>
      </w:r>
      <w:r>
        <w:rPr>
          <w:rFonts w:ascii="仿宋" w:hAnsi="仿宋" w:eastAsia="仿宋"/>
          <w:sz w:val="21"/>
          <w:szCs w:val="21"/>
          <w:highlight w:val="none"/>
        </w:rPr>
        <w:t>100</w:t>
      </w:r>
      <w:r>
        <w:rPr>
          <w:rFonts w:hint="eastAsia" w:ascii="仿宋" w:hAnsi="仿宋" w:eastAsia="仿宋"/>
          <w:sz w:val="21"/>
          <w:szCs w:val="21"/>
          <w:highlight w:val="none"/>
        </w:rPr>
        <w:t>万元</w:t>
      </w:r>
      <w:r>
        <w:rPr>
          <w:rFonts w:ascii="仿宋" w:hAnsi="仿宋" w:eastAsia="仿宋"/>
          <w:sz w:val="21"/>
          <w:szCs w:val="21"/>
          <w:highlight w:val="none"/>
        </w:rPr>
        <w:t>以下的合同</w:t>
      </w:r>
      <w:r>
        <w:rPr>
          <w:rFonts w:hint="eastAsia" w:ascii="仿宋" w:hAnsi="仿宋" w:eastAsia="仿宋"/>
          <w:sz w:val="21"/>
          <w:szCs w:val="21"/>
          <w:highlight w:val="none"/>
        </w:rPr>
        <w:t>，</w:t>
      </w:r>
      <w:r>
        <w:rPr>
          <w:rFonts w:ascii="仿宋" w:hAnsi="仿宋" w:eastAsia="仿宋"/>
          <w:sz w:val="21"/>
          <w:szCs w:val="21"/>
          <w:highlight w:val="none"/>
        </w:rPr>
        <w:t>支付标的额</w:t>
      </w:r>
      <w:r>
        <w:rPr>
          <w:rFonts w:hint="eastAsia" w:ascii="仿宋" w:hAnsi="仿宋" w:eastAsia="仿宋"/>
          <w:sz w:val="21"/>
          <w:szCs w:val="21"/>
          <w:highlight w:val="none"/>
        </w:rPr>
        <w:t>20</w:t>
      </w:r>
      <w:r>
        <w:rPr>
          <w:rFonts w:ascii="仿宋" w:hAnsi="仿宋" w:eastAsia="仿宋"/>
          <w:sz w:val="21"/>
          <w:szCs w:val="21"/>
          <w:highlight w:val="none"/>
        </w:rPr>
        <w:t>%的违约金；</w:t>
      </w:r>
    </w:p>
    <w:p>
      <w:pPr>
        <w:spacing w:line="400" w:lineRule="exact"/>
        <w:ind w:firstLine="420" w:firstLineChars="200"/>
        <w:jc w:val="left"/>
        <w:rPr>
          <w:rFonts w:ascii="仿宋" w:hAnsi="仿宋" w:eastAsia="仿宋"/>
          <w:szCs w:val="21"/>
          <w:highlight w:val="none"/>
        </w:rPr>
      </w:pPr>
      <w:r>
        <w:rPr>
          <w:rFonts w:hint="eastAsia" w:ascii="仿宋" w:hAnsi="仿宋" w:eastAsia="仿宋"/>
          <w:sz w:val="21"/>
          <w:szCs w:val="21"/>
          <w:highlight w:val="none"/>
          <w:lang w:val="en-US" w:eastAsia="zh-CN"/>
        </w:rPr>
        <w:t xml:space="preserve">4.2  </w:t>
      </w:r>
      <w:r>
        <w:rPr>
          <w:rFonts w:ascii="仿宋" w:hAnsi="仿宋" w:eastAsia="仿宋"/>
          <w:sz w:val="21"/>
          <w:szCs w:val="21"/>
          <w:highlight w:val="none"/>
        </w:rPr>
        <w:t>100</w:t>
      </w:r>
      <w:r>
        <w:rPr>
          <w:rFonts w:hint="eastAsia" w:ascii="仿宋" w:hAnsi="仿宋" w:eastAsia="仿宋"/>
          <w:sz w:val="21"/>
          <w:szCs w:val="21"/>
          <w:highlight w:val="none"/>
        </w:rPr>
        <w:t>万元</w:t>
      </w:r>
      <w:r>
        <w:rPr>
          <w:rFonts w:ascii="仿宋" w:hAnsi="仿宋" w:eastAsia="仿宋"/>
          <w:sz w:val="21"/>
          <w:szCs w:val="21"/>
          <w:highlight w:val="none"/>
        </w:rPr>
        <w:t>-1000</w:t>
      </w:r>
      <w:r>
        <w:rPr>
          <w:rFonts w:hint="eastAsia" w:ascii="仿宋" w:hAnsi="仿宋" w:eastAsia="仿宋"/>
          <w:sz w:val="21"/>
          <w:szCs w:val="21"/>
          <w:highlight w:val="none"/>
        </w:rPr>
        <w:t>万元</w:t>
      </w:r>
      <w:r>
        <w:rPr>
          <w:rFonts w:ascii="仿宋" w:hAnsi="仿宋" w:eastAsia="仿宋"/>
          <w:sz w:val="21"/>
          <w:szCs w:val="21"/>
          <w:highlight w:val="none"/>
        </w:rPr>
        <w:t>（含）的合同，</w:t>
      </w:r>
      <w:r>
        <w:rPr>
          <w:rFonts w:hint="eastAsia" w:ascii="仿宋" w:hAnsi="仿宋" w:eastAsia="仿宋"/>
          <w:sz w:val="21"/>
          <w:szCs w:val="21"/>
          <w:highlight w:val="none"/>
        </w:rPr>
        <w:t>100万元</w:t>
      </w:r>
      <w:r>
        <w:rPr>
          <w:rFonts w:ascii="仿宋" w:hAnsi="仿宋" w:eastAsia="仿宋"/>
          <w:sz w:val="21"/>
          <w:szCs w:val="21"/>
          <w:highlight w:val="none"/>
        </w:rPr>
        <w:t>按</w:t>
      </w:r>
      <w:r>
        <w:rPr>
          <w:rFonts w:hint="eastAsia" w:ascii="仿宋" w:hAnsi="仿宋" w:eastAsia="仿宋"/>
          <w:sz w:val="21"/>
          <w:szCs w:val="21"/>
          <w:highlight w:val="none"/>
        </w:rPr>
        <w:t>20</w:t>
      </w:r>
      <w:r>
        <w:rPr>
          <w:rFonts w:ascii="仿宋" w:hAnsi="仿宋" w:eastAsia="仿宋"/>
          <w:sz w:val="21"/>
          <w:szCs w:val="21"/>
          <w:highlight w:val="none"/>
        </w:rPr>
        <w:t>%、超出</w:t>
      </w:r>
      <w:r>
        <w:rPr>
          <w:rFonts w:hint="eastAsia" w:ascii="仿宋" w:hAnsi="仿宋" w:eastAsia="仿宋"/>
          <w:sz w:val="21"/>
          <w:szCs w:val="21"/>
          <w:highlight w:val="none"/>
        </w:rPr>
        <w:t>100万元</w:t>
      </w:r>
      <w:r>
        <w:rPr>
          <w:rFonts w:ascii="仿宋" w:hAnsi="仿宋" w:eastAsia="仿宋"/>
          <w:sz w:val="21"/>
          <w:szCs w:val="21"/>
          <w:highlight w:val="none"/>
        </w:rPr>
        <w:t>部</w:t>
      </w:r>
      <w:r>
        <w:rPr>
          <w:rFonts w:ascii="仿宋" w:hAnsi="仿宋" w:eastAsia="仿宋"/>
          <w:szCs w:val="21"/>
          <w:highlight w:val="none"/>
        </w:rPr>
        <w:t>分按</w:t>
      </w:r>
      <w:r>
        <w:rPr>
          <w:rFonts w:hint="eastAsia" w:ascii="仿宋" w:hAnsi="仿宋" w:eastAsia="仿宋"/>
          <w:szCs w:val="21"/>
          <w:highlight w:val="none"/>
        </w:rPr>
        <w:t>15</w:t>
      </w:r>
      <w:r>
        <w:rPr>
          <w:rFonts w:ascii="仿宋" w:hAnsi="仿宋" w:eastAsia="仿宋"/>
          <w:szCs w:val="21"/>
          <w:highlight w:val="none"/>
        </w:rPr>
        <w:t>%，累计支付违约金；</w:t>
      </w:r>
    </w:p>
    <w:p>
      <w:pPr>
        <w:spacing w:line="40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 xml:space="preserve">4.3  </w:t>
      </w:r>
      <w:r>
        <w:rPr>
          <w:rFonts w:ascii="仿宋" w:hAnsi="仿宋" w:eastAsia="仿宋"/>
          <w:szCs w:val="21"/>
          <w:highlight w:val="none"/>
        </w:rPr>
        <w:t>1000</w:t>
      </w:r>
      <w:r>
        <w:rPr>
          <w:rFonts w:hint="eastAsia" w:ascii="仿宋" w:hAnsi="仿宋" w:eastAsia="仿宋"/>
          <w:szCs w:val="21"/>
          <w:highlight w:val="none"/>
        </w:rPr>
        <w:t>万元</w:t>
      </w:r>
      <w:r>
        <w:rPr>
          <w:rFonts w:ascii="仿宋" w:hAnsi="仿宋" w:eastAsia="仿宋"/>
          <w:szCs w:val="21"/>
          <w:highlight w:val="none"/>
        </w:rPr>
        <w:t>以上的合同，</w:t>
      </w:r>
      <w:r>
        <w:rPr>
          <w:rFonts w:hint="eastAsia" w:ascii="仿宋" w:hAnsi="仿宋" w:eastAsia="仿宋"/>
          <w:szCs w:val="21"/>
          <w:highlight w:val="none"/>
        </w:rPr>
        <w:t>100万元</w:t>
      </w:r>
      <w:r>
        <w:rPr>
          <w:rFonts w:ascii="仿宋" w:hAnsi="仿宋" w:eastAsia="仿宋"/>
          <w:szCs w:val="21"/>
          <w:highlight w:val="none"/>
        </w:rPr>
        <w:t>按</w:t>
      </w:r>
      <w:r>
        <w:rPr>
          <w:rFonts w:hint="eastAsia" w:ascii="仿宋" w:hAnsi="仿宋" w:eastAsia="仿宋"/>
          <w:szCs w:val="21"/>
          <w:highlight w:val="none"/>
        </w:rPr>
        <w:t>20</w:t>
      </w:r>
      <w:r>
        <w:rPr>
          <w:rFonts w:ascii="仿宋" w:hAnsi="仿宋" w:eastAsia="仿宋"/>
          <w:szCs w:val="21"/>
          <w:highlight w:val="none"/>
        </w:rPr>
        <w:t>%、100</w:t>
      </w:r>
      <w:r>
        <w:rPr>
          <w:rFonts w:hint="eastAsia" w:ascii="仿宋" w:hAnsi="仿宋" w:eastAsia="仿宋"/>
          <w:szCs w:val="21"/>
          <w:highlight w:val="none"/>
        </w:rPr>
        <w:t>万元</w:t>
      </w:r>
      <w:r>
        <w:rPr>
          <w:rFonts w:ascii="仿宋" w:hAnsi="仿宋" w:eastAsia="仿宋"/>
          <w:szCs w:val="21"/>
          <w:highlight w:val="none"/>
        </w:rPr>
        <w:t>以上-1000</w:t>
      </w:r>
      <w:r>
        <w:rPr>
          <w:rFonts w:hint="eastAsia" w:ascii="仿宋" w:hAnsi="仿宋" w:eastAsia="仿宋"/>
          <w:szCs w:val="21"/>
          <w:highlight w:val="none"/>
        </w:rPr>
        <w:t>万元</w:t>
      </w:r>
      <w:r>
        <w:rPr>
          <w:rFonts w:ascii="仿宋" w:hAnsi="仿宋" w:eastAsia="仿宋"/>
          <w:szCs w:val="21"/>
          <w:highlight w:val="none"/>
        </w:rPr>
        <w:t>（含）按</w:t>
      </w:r>
      <w:r>
        <w:rPr>
          <w:rFonts w:hint="eastAsia" w:ascii="仿宋" w:hAnsi="仿宋" w:eastAsia="仿宋"/>
          <w:szCs w:val="21"/>
          <w:highlight w:val="none"/>
        </w:rPr>
        <w:t>15</w:t>
      </w:r>
      <w:r>
        <w:rPr>
          <w:rFonts w:ascii="仿宋" w:hAnsi="仿宋" w:eastAsia="仿宋"/>
          <w:szCs w:val="21"/>
          <w:highlight w:val="none"/>
        </w:rPr>
        <w:t>%、超出</w:t>
      </w:r>
      <w:r>
        <w:rPr>
          <w:rFonts w:hint="eastAsia" w:ascii="仿宋" w:hAnsi="仿宋" w:eastAsia="仿宋"/>
          <w:szCs w:val="21"/>
          <w:highlight w:val="none"/>
        </w:rPr>
        <w:t>1000万元</w:t>
      </w:r>
      <w:r>
        <w:rPr>
          <w:rFonts w:ascii="仿宋" w:hAnsi="仿宋" w:eastAsia="仿宋"/>
          <w:szCs w:val="21"/>
          <w:highlight w:val="none"/>
        </w:rPr>
        <w:t>部分按</w:t>
      </w:r>
      <w:r>
        <w:rPr>
          <w:rFonts w:hint="eastAsia" w:ascii="仿宋" w:hAnsi="仿宋" w:eastAsia="仿宋"/>
          <w:szCs w:val="21"/>
          <w:highlight w:val="none"/>
        </w:rPr>
        <w:t>10</w:t>
      </w:r>
      <w:r>
        <w:rPr>
          <w:rFonts w:ascii="仿宋" w:hAnsi="仿宋" w:eastAsia="仿宋"/>
          <w:szCs w:val="21"/>
          <w:highlight w:val="none"/>
        </w:rPr>
        <w:t>%，累计支付违约金。</w:t>
      </w:r>
    </w:p>
    <w:p>
      <w:pPr>
        <w:spacing w:line="40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 xml:space="preserve">5. </w:t>
      </w:r>
      <w:r>
        <w:rPr>
          <w:rFonts w:ascii="仿宋" w:hAnsi="仿宋" w:eastAsia="仿宋"/>
          <w:szCs w:val="21"/>
          <w:highlight w:val="none"/>
        </w:rPr>
        <w:t>乙方违反协议，单位或工作人员（含关联企业或关联人士）贿赂甲方人员，被人民法院认定或</w:t>
      </w:r>
      <w:r>
        <w:rPr>
          <w:rFonts w:hint="eastAsia" w:ascii="仿宋" w:hAnsi="仿宋" w:eastAsia="仿宋"/>
          <w:szCs w:val="21"/>
          <w:highlight w:val="none"/>
        </w:rPr>
        <w:t>检查</w:t>
      </w:r>
      <w:r>
        <w:rPr>
          <w:rFonts w:ascii="仿宋" w:hAnsi="仿宋" w:eastAsia="仿宋"/>
          <w:szCs w:val="21"/>
          <w:highlight w:val="none"/>
        </w:rPr>
        <w:t>机关</w:t>
      </w:r>
      <w:r>
        <w:rPr>
          <w:rFonts w:hint="eastAsia" w:ascii="仿宋" w:hAnsi="仿宋" w:eastAsia="仿宋"/>
          <w:szCs w:val="21"/>
          <w:highlight w:val="none"/>
        </w:rPr>
        <w:t>、纪检</w:t>
      </w:r>
      <w:r>
        <w:rPr>
          <w:rFonts w:ascii="仿宋" w:hAnsi="仿宋" w:eastAsia="仿宋"/>
          <w:szCs w:val="21"/>
          <w:highlight w:val="none"/>
        </w:rPr>
        <w:t>监察机关、工商行政管理机关立案查处的，甲方有权立即中止合同，由此导致甲方的损失以及发生的一切费用均由乙方承担。</w:t>
      </w:r>
    </w:p>
    <w:p>
      <w:pPr>
        <w:spacing w:line="40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 xml:space="preserve">6. </w:t>
      </w:r>
      <w:r>
        <w:rPr>
          <w:rFonts w:ascii="仿宋" w:hAnsi="仿宋" w:eastAsia="仿宋"/>
          <w:szCs w:val="21"/>
          <w:highlight w:val="none"/>
        </w:rPr>
        <w:t>若甲方人员要求乙方给予任何形式的不正当利益，乙方必须及时反映给甲方，并提供相关证据给甲方，经甲方查实后作出处理，</w:t>
      </w:r>
      <w:r>
        <w:rPr>
          <w:rFonts w:hint="eastAsia" w:ascii="仿宋" w:hAnsi="仿宋" w:eastAsia="仿宋"/>
          <w:szCs w:val="21"/>
          <w:highlight w:val="none"/>
        </w:rPr>
        <w:t>并</w:t>
      </w:r>
      <w:r>
        <w:rPr>
          <w:rFonts w:ascii="仿宋" w:hAnsi="仿宋" w:eastAsia="仿宋"/>
          <w:szCs w:val="21"/>
          <w:highlight w:val="none"/>
        </w:rPr>
        <w:t>为乙方保密</w:t>
      </w:r>
      <w:r>
        <w:rPr>
          <w:rFonts w:hint="eastAsia" w:ascii="仿宋" w:hAnsi="仿宋" w:eastAsia="仿宋"/>
          <w:szCs w:val="21"/>
          <w:highlight w:val="none"/>
        </w:rPr>
        <w:t>。</w:t>
      </w:r>
      <w:r>
        <w:rPr>
          <w:rFonts w:ascii="仿宋" w:hAnsi="仿宋" w:eastAsia="仿宋"/>
          <w:szCs w:val="21"/>
          <w:highlight w:val="none"/>
        </w:rPr>
        <w:t>对于</w:t>
      </w:r>
      <w:r>
        <w:rPr>
          <w:rFonts w:hint="eastAsia" w:ascii="仿宋" w:hAnsi="仿宋" w:eastAsia="仿宋"/>
          <w:szCs w:val="21"/>
          <w:highlight w:val="none"/>
        </w:rPr>
        <w:t>乙方</w:t>
      </w:r>
      <w:r>
        <w:rPr>
          <w:rFonts w:ascii="仿宋" w:hAnsi="仿宋" w:eastAsia="仿宋"/>
          <w:szCs w:val="21"/>
          <w:highlight w:val="none"/>
        </w:rPr>
        <w:t>的协助，甲方将根据情况给予乙方更多的商业合作</w:t>
      </w:r>
      <w:r>
        <w:rPr>
          <w:rFonts w:hint="eastAsia" w:ascii="仿宋" w:hAnsi="仿宋" w:eastAsia="仿宋"/>
          <w:szCs w:val="21"/>
          <w:highlight w:val="none"/>
        </w:rPr>
        <w:t>机会</w:t>
      </w:r>
      <w:r>
        <w:rPr>
          <w:rFonts w:ascii="仿宋" w:hAnsi="仿宋" w:eastAsia="仿宋"/>
          <w:szCs w:val="21"/>
          <w:highlight w:val="none"/>
        </w:rPr>
        <w:t>。</w:t>
      </w:r>
    </w:p>
    <w:p>
      <w:pPr>
        <w:spacing w:line="40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7.</w:t>
      </w:r>
      <w:r>
        <w:rPr>
          <w:rFonts w:ascii="仿宋" w:hAnsi="仿宋" w:eastAsia="仿宋"/>
          <w:szCs w:val="21"/>
          <w:highlight w:val="none"/>
        </w:rPr>
        <w:t>甲方</w:t>
      </w:r>
      <w:r>
        <w:rPr>
          <w:rFonts w:hint="eastAsia" w:ascii="仿宋" w:hAnsi="仿宋" w:eastAsia="仿宋"/>
          <w:szCs w:val="21"/>
          <w:highlight w:val="none"/>
        </w:rPr>
        <w:t>设定</w:t>
      </w:r>
      <w:r>
        <w:rPr>
          <w:rFonts w:ascii="仿宋" w:hAnsi="仿宋" w:eastAsia="仿宋"/>
          <w:szCs w:val="21"/>
          <w:highlight w:val="none"/>
        </w:rPr>
        <w:t>专人专线接受乙方反映情况</w:t>
      </w:r>
    </w:p>
    <w:p>
      <w:pPr>
        <w:spacing w:line="400" w:lineRule="exact"/>
        <w:ind w:firstLine="420" w:firstLineChars="200"/>
        <w:jc w:val="left"/>
        <w:rPr>
          <w:rFonts w:hint="eastAsia" w:ascii="仿宋" w:hAnsi="仿宋" w:eastAsia="仿宋"/>
          <w:szCs w:val="21"/>
          <w:highlight w:val="none"/>
          <w:lang w:eastAsia="zh-CN"/>
        </w:rPr>
      </w:pPr>
      <w:r>
        <w:rPr>
          <w:rFonts w:hint="eastAsia" w:ascii="仿宋" w:hAnsi="仿宋" w:eastAsia="仿宋"/>
          <w:szCs w:val="21"/>
          <w:highlight w:val="none"/>
        </w:rPr>
        <w:t>电话</w:t>
      </w:r>
      <w:r>
        <w:rPr>
          <w:rFonts w:ascii="仿宋" w:hAnsi="仿宋" w:eastAsia="仿宋"/>
          <w:szCs w:val="21"/>
          <w:highlight w:val="none"/>
        </w:rPr>
        <w:t>：</w:t>
      </w:r>
      <w:r>
        <w:rPr>
          <w:rFonts w:hint="eastAsia" w:ascii="仿宋" w:hAnsi="仿宋" w:eastAsia="仿宋"/>
          <w:szCs w:val="21"/>
          <w:highlight w:val="none"/>
        </w:rPr>
        <w:t>020</w:t>
      </w:r>
      <w:r>
        <w:rPr>
          <w:rFonts w:ascii="仿宋" w:hAnsi="仿宋" w:eastAsia="仿宋"/>
          <w:szCs w:val="21"/>
          <w:highlight w:val="none"/>
        </w:rPr>
        <w:t>-36063</w:t>
      </w:r>
      <w:r>
        <w:rPr>
          <w:rFonts w:hint="eastAsia" w:ascii="仿宋" w:hAnsi="仿宋" w:eastAsia="仿宋"/>
          <w:szCs w:val="21"/>
          <w:highlight w:val="none"/>
          <w:lang w:val="en-US" w:eastAsia="zh-CN"/>
        </w:rPr>
        <w:t>182</w:t>
      </w:r>
      <w:r>
        <w:rPr>
          <w:rFonts w:hint="eastAsia" w:ascii="仿宋" w:hAnsi="仿宋" w:eastAsia="仿宋"/>
          <w:szCs w:val="21"/>
          <w:highlight w:val="none"/>
        </w:rPr>
        <w:t xml:space="preserve">  联系人</w:t>
      </w:r>
      <w:r>
        <w:rPr>
          <w:rFonts w:ascii="仿宋" w:hAnsi="仿宋" w:eastAsia="仿宋"/>
          <w:szCs w:val="21"/>
          <w:highlight w:val="none"/>
        </w:rPr>
        <w:t xml:space="preserve">： </w:t>
      </w:r>
      <w:r>
        <w:rPr>
          <w:rFonts w:hint="eastAsia" w:ascii="仿宋" w:hAnsi="仿宋" w:eastAsia="仿宋"/>
          <w:szCs w:val="21"/>
          <w:highlight w:val="none"/>
          <w:lang w:val="en-US" w:eastAsia="zh-CN"/>
        </w:rPr>
        <w:t>骆</w:t>
      </w:r>
      <w:r>
        <w:rPr>
          <w:rFonts w:hint="eastAsia" w:ascii="仿宋" w:hAnsi="仿宋" w:eastAsia="仿宋"/>
          <w:szCs w:val="21"/>
          <w:highlight w:val="none"/>
          <w:lang w:eastAsia="zh-CN"/>
        </w:rPr>
        <w:t>主任</w:t>
      </w:r>
    </w:p>
    <w:p>
      <w:pPr>
        <w:pStyle w:val="26"/>
        <w:spacing w:line="400" w:lineRule="exact"/>
        <w:ind w:firstLine="560"/>
        <w:rPr>
          <w:rFonts w:ascii="仿宋" w:hAnsi="仿宋" w:eastAsia="仿宋" w:cs="仿宋"/>
          <w:szCs w:val="21"/>
          <w:highlight w:val="none"/>
        </w:rPr>
      </w:pPr>
      <w:r>
        <w:rPr>
          <w:rFonts w:hint="eastAsia" w:ascii="仿宋" w:hAnsi="仿宋" w:eastAsia="仿宋" w:cs="仿宋"/>
          <w:szCs w:val="21"/>
          <w:highlight w:val="none"/>
        </w:rPr>
        <w:t>（以下无正文）</w:t>
      </w:r>
    </w:p>
    <w:p>
      <w:pPr>
        <w:spacing w:line="400" w:lineRule="exact"/>
        <w:ind w:firstLine="420" w:firstLineChars="200"/>
        <w:jc w:val="left"/>
        <w:rPr>
          <w:rFonts w:ascii="仿宋" w:hAnsi="仿宋" w:eastAsia="仿宋"/>
          <w:szCs w:val="21"/>
          <w:highlight w:val="none"/>
        </w:rPr>
      </w:pPr>
    </w:p>
    <w:p>
      <w:pPr>
        <w:spacing w:line="400" w:lineRule="exact"/>
        <w:ind w:firstLine="0" w:firstLineChars="0"/>
        <w:jc w:val="left"/>
        <w:rPr>
          <w:rFonts w:ascii="仿宋" w:hAnsi="仿宋" w:eastAsia="仿宋"/>
          <w:szCs w:val="21"/>
          <w:highlight w:val="none"/>
        </w:rPr>
      </w:pPr>
    </w:p>
    <w:p>
      <w:pPr>
        <w:spacing w:line="400" w:lineRule="exact"/>
        <w:jc w:val="left"/>
        <w:rPr>
          <w:rFonts w:ascii="仿宋" w:hAnsi="仿宋" w:eastAsia="仿宋"/>
          <w:szCs w:val="21"/>
          <w:highlight w:val="none"/>
        </w:rPr>
      </w:pPr>
      <w:r>
        <w:rPr>
          <w:rFonts w:hint="eastAsia" w:ascii="仿宋" w:hAnsi="仿宋" w:eastAsia="仿宋"/>
          <w:szCs w:val="21"/>
          <w:highlight w:val="none"/>
        </w:rPr>
        <w:t>甲方</w:t>
      </w:r>
      <w:r>
        <w:rPr>
          <w:rFonts w:ascii="仿宋" w:hAnsi="仿宋" w:eastAsia="仿宋"/>
          <w:szCs w:val="21"/>
          <w:highlight w:val="none"/>
        </w:rPr>
        <w:t>（</w:t>
      </w:r>
      <w:r>
        <w:rPr>
          <w:rFonts w:hint="eastAsia" w:ascii="仿宋" w:hAnsi="仿宋" w:eastAsia="仿宋"/>
          <w:szCs w:val="21"/>
          <w:highlight w:val="none"/>
        </w:rPr>
        <w:t>盖章</w:t>
      </w:r>
      <w:r>
        <w:rPr>
          <w:rFonts w:ascii="仿宋" w:hAnsi="仿宋" w:eastAsia="仿宋"/>
          <w:szCs w:val="21"/>
          <w:highlight w:val="none"/>
        </w:rPr>
        <w:t>）</w:t>
      </w:r>
      <w:r>
        <w:rPr>
          <w:rFonts w:hint="eastAsia" w:ascii="仿宋" w:hAnsi="仿宋" w:eastAsia="仿宋"/>
          <w:szCs w:val="21"/>
          <w:highlight w:val="none"/>
        </w:rPr>
        <w:t xml:space="preserve">： </w:t>
      </w:r>
      <w:r>
        <w:rPr>
          <w:rFonts w:hint="eastAsia" w:ascii="仿宋" w:hAnsi="仿宋" w:eastAsia="仿宋"/>
          <w:szCs w:val="21"/>
          <w:highlight w:val="none"/>
          <w:lang w:eastAsia="zh-CN"/>
        </w:rPr>
        <w:t>广东机场白云信息科技股份有限公司</w:t>
      </w:r>
      <w:r>
        <w:rPr>
          <w:rFonts w:hint="eastAsia" w:ascii="仿宋" w:hAnsi="仿宋" w:eastAsia="仿宋"/>
          <w:szCs w:val="21"/>
          <w:highlight w:val="none"/>
        </w:rPr>
        <w:t xml:space="preserve"> </w:t>
      </w:r>
      <w:r>
        <w:rPr>
          <w:rFonts w:hint="eastAsia" w:ascii="仿宋" w:hAnsi="仿宋" w:eastAsia="仿宋"/>
          <w:szCs w:val="21"/>
          <w:highlight w:val="none"/>
          <w:lang w:val="en-US" w:eastAsia="zh-CN"/>
        </w:rPr>
        <w:t xml:space="preserve">    </w:t>
      </w:r>
      <w:r>
        <w:rPr>
          <w:rFonts w:hint="eastAsia" w:ascii="仿宋" w:hAnsi="仿宋" w:eastAsia="仿宋"/>
          <w:szCs w:val="21"/>
          <w:highlight w:val="none"/>
        </w:rPr>
        <w:t>乙方</w:t>
      </w:r>
      <w:r>
        <w:rPr>
          <w:rFonts w:ascii="仿宋" w:hAnsi="仿宋" w:eastAsia="仿宋"/>
          <w:szCs w:val="21"/>
          <w:highlight w:val="none"/>
        </w:rPr>
        <w:t>（盖章）：</w:t>
      </w:r>
    </w:p>
    <w:p>
      <w:pPr>
        <w:spacing w:line="400" w:lineRule="exact"/>
        <w:jc w:val="left"/>
        <w:rPr>
          <w:rFonts w:hint="eastAsia"/>
        </w:rPr>
      </w:pPr>
      <w:r>
        <w:rPr>
          <w:rFonts w:ascii="仿宋" w:hAnsi="仿宋" w:eastAsia="仿宋"/>
          <w:szCs w:val="21"/>
          <w:highlight w:val="none"/>
        </w:rPr>
        <w:br w:type="page"/>
      </w:r>
      <w:r>
        <w:rPr>
          <w:rFonts w:hint="eastAsia" w:ascii="黑体" w:hAnsi="黑体" w:eastAsia="黑体" w:cs="黑体"/>
          <w:b/>
          <w:szCs w:val="21"/>
          <w:highlight w:val="none"/>
          <w:lang w:val="en-US" w:eastAsia="zh-CN"/>
        </w:rPr>
        <w:t>附件2</w:t>
      </w:r>
      <w:r>
        <w:rPr>
          <w:rFonts w:hint="eastAsia"/>
        </w:rPr>
        <w:t>：</w:t>
      </w:r>
    </w:p>
    <w:p>
      <w:pPr>
        <w:pStyle w:val="2"/>
        <w:ind w:left="0" w:leftChars="0"/>
        <w:jc w:val="center"/>
        <w:outlineLvl w:val="0"/>
        <w:rPr>
          <w:rFonts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zh-CN"/>
        </w:rPr>
        <w:t>广州白云国际机场廉洁协议</w:t>
      </w:r>
    </w:p>
    <w:p>
      <w:pPr>
        <w:rPr>
          <w:rFonts w:ascii="仿宋" w:hAnsi="仿宋" w:eastAsia="仿宋" w:cs="仿宋"/>
          <w:color w:val="000000"/>
          <w:szCs w:val="21"/>
        </w:rPr>
      </w:pP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widowControl/>
        <w:adjustRightInd w:val="0"/>
        <w:snapToGrid w:val="0"/>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1.本协议适用范围</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甲乙双方一致确认，本协议效力适用于甲方与乙方（含分支机构等关联机构）的所有业务合作往来的全过程，包括但不限于招投标、网上竞价、综合评审、竞争性谈判、单一来源采购、直接采购等物资、服务采购环节及合同签订、履行环节等。</w:t>
      </w:r>
    </w:p>
    <w:p>
      <w:pPr>
        <w:widowControl/>
        <w:adjustRightInd w:val="0"/>
        <w:snapToGrid w:val="0"/>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2.本协议期限</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本协议期限与主合同保持一致。</w:t>
      </w:r>
    </w:p>
    <w:p>
      <w:pPr>
        <w:widowControl/>
        <w:adjustRightInd w:val="0"/>
        <w:snapToGrid w:val="0"/>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3.双方职责</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 合同一方及其工作人员应当保持与合同相对方及其工作人员的正常业务交往，不得向对方工作人员及其亲属有以下任何一项行为：</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3.2.1 支付回扣等好处费；</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3.2.2 支付礼金、有价证券或贵重物品，或报销任何应由个人支付的费用；</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3.2.3 为对方工作人员购置或者提供通讯工具、交通工具、家电、高档办公用品等物品；</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3.2.4 邀请对方工作人员参加可能对其公正执行职务有影响的宴请、旅游或其它娱乐活动；</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3.2.5 为对方工作人员提供住房装修、婚丧嫁娶、家属的工作安排或出国（出境）等提供方便或财物支持；</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3.2.6 与对方工作人员就双方合作内容涉及的权利义务变更等进行私下商谈或者达成默契；</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3.2.7 其它可能对对方工作人员公正执行职务有影响的不当行为。</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3.3 合同一方及其工作人员在履约过程中应当廉洁自律，不得向对方的客户索取和收受财物、有价证券或其他好处。</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3.4 乙方如发现甲方工作人员违反协议，收受对方好处或有其它不当行为的，应向甲方指定纪检监察部门举报。接受举报一方不得以任何借口对举报方进行报复。</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甲方指定纪检监察部门接受举报的电话或邮箱：</w:t>
      </w:r>
      <w:r>
        <w:rPr>
          <w:rFonts w:hint="eastAsia" w:ascii="仿宋" w:hAnsi="仿宋" w:eastAsia="仿宋" w:cs="仿宋"/>
          <w:color w:val="000000"/>
          <w:szCs w:val="21"/>
          <w:u w:val="single"/>
        </w:rPr>
        <w:t xml:space="preserve"> </w:t>
      </w:r>
      <w:r>
        <w:rPr>
          <w:rFonts w:hint="eastAsia" w:ascii="仿宋" w:hAnsi="仿宋" w:eastAsia="仿宋"/>
          <w:szCs w:val="21"/>
          <w:highlight w:val="none"/>
          <w:u w:val="single"/>
        </w:rPr>
        <w:t>020</w:t>
      </w:r>
      <w:r>
        <w:rPr>
          <w:rFonts w:ascii="仿宋" w:hAnsi="仿宋" w:eastAsia="仿宋"/>
          <w:szCs w:val="21"/>
          <w:highlight w:val="none"/>
          <w:u w:val="single"/>
        </w:rPr>
        <w:t>-36063</w:t>
      </w:r>
      <w:r>
        <w:rPr>
          <w:rFonts w:hint="eastAsia" w:ascii="仿宋" w:hAnsi="仿宋" w:eastAsia="仿宋"/>
          <w:szCs w:val="21"/>
          <w:highlight w:val="none"/>
          <w:u w:val="single"/>
          <w:lang w:val="en-US" w:eastAsia="zh-CN"/>
        </w:rPr>
        <w:t>182</w:t>
      </w:r>
      <w:r>
        <w:rPr>
          <w:rFonts w:hint="eastAsia" w:ascii="仿宋" w:hAnsi="仿宋" w:eastAsia="仿宋"/>
          <w:szCs w:val="21"/>
          <w:highlight w:val="none"/>
          <w:u w:val="single"/>
        </w:rPr>
        <w:t xml:space="preserve"> </w:t>
      </w:r>
      <w:r>
        <w:rPr>
          <w:rFonts w:hint="eastAsia" w:ascii="仿宋" w:hAnsi="仿宋" w:eastAsia="仿宋" w:cs="仿宋"/>
          <w:color w:val="000000"/>
          <w:szCs w:val="21"/>
          <w:u w:val="single"/>
        </w:rPr>
        <w:t xml:space="preserve"> 。</w:t>
      </w:r>
    </w:p>
    <w:p>
      <w:pPr>
        <w:widowControl/>
        <w:adjustRightInd w:val="0"/>
        <w:snapToGrid w:val="0"/>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4.违约责任</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4.1 协议中任何一方因不履行本协议下约定内容导致的一切后果，应自行承担。</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4.2  乙方存在违反廉洁协议约定情形的，甲方有权扣除乙方履约保证金20%作为廉洁违约金。符合合同继续履行条件的，乙方须在7个工作日内补足履约保证金。情节严重的，甲方有权单方面免责解除合同，并将乙方列入白云机场“不予合作对象名单”，保留追溯乙方非法获利、赔偿甲方损失的权利。</w:t>
      </w:r>
    </w:p>
    <w:p>
      <w:pPr>
        <w:widowControl/>
        <w:adjustRightInd w:val="0"/>
        <w:snapToGrid w:val="0"/>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5.其他事项</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5.1 本廉洁协议作为甲方招标、采购文件的一部分，与主合同具有同等法律效力。</w:t>
      </w:r>
    </w:p>
    <w:p>
      <w:pPr>
        <w:widowControl/>
        <w:adjustRightInd w:val="0"/>
        <w:snapToGrid w:val="0"/>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5.2 本廉洁协议一式    份，合同双方当事人各执    份。</w:t>
      </w:r>
    </w:p>
    <w:p>
      <w:pPr>
        <w:widowControl/>
        <w:adjustRightInd w:val="0"/>
        <w:snapToGrid w:val="0"/>
        <w:spacing w:line="360" w:lineRule="auto"/>
        <w:ind w:firstLine="420" w:firstLineChars="200"/>
        <w:rPr>
          <w:rFonts w:ascii="仿宋" w:hAnsi="仿宋" w:eastAsia="仿宋" w:cs="仿宋"/>
          <w:color w:val="000000"/>
          <w:szCs w:val="21"/>
        </w:rPr>
      </w:pPr>
    </w:p>
    <w:p>
      <w:pPr>
        <w:pStyle w:val="21"/>
        <w:rPr>
          <w:rFonts w:hint="eastAsia"/>
        </w:rPr>
      </w:pPr>
    </w:p>
    <w:tbl>
      <w:tblPr>
        <w:tblStyle w:val="51"/>
        <w:tblpPr w:leftFromText="180" w:rightFromText="180" w:vertAnchor="text" w:horzAnchor="margin" w:tblpXSpec="center" w:tblpY="42"/>
        <w:tblW w:w="0" w:type="auto"/>
        <w:jc w:val="center"/>
        <w:tblLayout w:type="fixed"/>
        <w:tblCellMar>
          <w:top w:w="0" w:type="dxa"/>
          <w:left w:w="108" w:type="dxa"/>
          <w:bottom w:w="0" w:type="dxa"/>
          <w:right w:w="108" w:type="dxa"/>
        </w:tblCellMar>
      </w:tblPr>
      <w:tblGrid>
        <w:gridCol w:w="5070"/>
        <w:gridCol w:w="4872"/>
      </w:tblGrid>
      <w:tr>
        <w:tblPrEx>
          <w:tblCellMar>
            <w:top w:w="0" w:type="dxa"/>
            <w:left w:w="108" w:type="dxa"/>
            <w:bottom w:w="0" w:type="dxa"/>
            <w:right w:w="108" w:type="dxa"/>
          </w:tblCellMar>
        </w:tblPrEx>
        <w:trPr>
          <w:jc w:val="center"/>
        </w:trPr>
        <w:tc>
          <w:tcPr>
            <w:tcW w:w="5070" w:type="dxa"/>
            <w:noWrap w:val="0"/>
            <w:vAlign w:val="top"/>
          </w:tcPr>
          <w:p>
            <w:pPr>
              <w:spacing w:line="360" w:lineRule="exact"/>
              <w:ind w:left="315" w:hanging="315" w:hangingChars="15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lang w:eastAsia="zh-CN"/>
              </w:rPr>
              <w:t>广东机场白云信息科技股份有限公司</w:t>
            </w:r>
            <w:r>
              <w:rPr>
                <w:rFonts w:hint="eastAsia" w:ascii="仿宋" w:hAnsi="仿宋" w:eastAsia="仿宋" w:cs="仿宋"/>
                <w:highlight w:val="none"/>
              </w:rPr>
              <w:t>（盖章）</w:t>
            </w: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highlight w:val="none"/>
              </w:rPr>
              <w:t xml:space="preserve">                  </w:t>
            </w:r>
          </w:p>
        </w:tc>
        <w:tc>
          <w:tcPr>
            <w:tcW w:w="4872" w:type="dxa"/>
            <w:noWrap w:val="0"/>
            <w:vAlign w:val="top"/>
          </w:tcPr>
          <w:p>
            <w:pPr>
              <w:rPr>
                <w:rFonts w:hint="eastAsia" w:ascii="仿宋" w:hAnsi="仿宋" w:eastAsia="仿宋" w:cs="仿宋"/>
                <w:highlight w:val="none"/>
                <w:lang w:val="en-US" w:eastAsia="zh-CN"/>
              </w:rPr>
            </w:pPr>
            <w:r>
              <w:rPr>
                <w:rFonts w:hint="eastAsia" w:ascii="仿宋" w:hAnsi="仿宋" w:eastAsia="仿宋" w:cs="仿宋"/>
                <w:bCs/>
                <w:highlight w:val="none"/>
              </w:rPr>
              <w:t>乙方：</w:t>
            </w:r>
          </w:p>
          <w:p>
            <w:pPr>
              <w:spacing w:line="360" w:lineRule="exact"/>
              <w:rPr>
                <w:rFonts w:hint="eastAsia" w:ascii="仿宋" w:hAnsi="仿宋" w:eastAsia="仿宋" w:cs="仿宋"/>
                <w:bCs/>
                <w:highlight w:val="none"/>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highlight w:val="none"/>
              </w:rPr>
            </w:pPr>
            <w:r>
              <w:rPr>
                <w:rFonts w:hint="eastAsia" w:ascii="仿宋" w:hAnsi="仿宋" w:eastAsia="仿宋" w:cs="仿宋"/>
                <w:highlight w:val="none"/>
              </w:rPr>
              <w:t>法人代表</w:t>
            </w:r>
            <w:r>
              <w:rPr>
                <w:rFonts w:hint="eastAsia" w:ascii="仿宋" w:hAnsi="仿宋" w:eastAsia="仿宋" w:cs="仿宋"/>
                <w:szCs w:val="22"/>
                <w:highlight w:val="none"/>
              </w:rPr>
              <w:t>/授权代表（</w:t>
            </w:r>
            <w:r>
              <w:rPr>
                <w:rFonts w:hint="eastAsia" w:ascii="仿宋" w:hAnsi="仿宋" w:eastAsia="仿宋" w:cs="仿宋"/>
                <w:highlight w:val="none"/>
              </w:rPr>
              <w:t>签字）：</w:t>
            </w:r>
          </w:p>
        </w:tc>
        <w:tc>
          <w:tcPr>
            <w:tcW w:w="4872" w:type="dxa"/>
            <w:noWrap w:val="0"/>
            <w:vAlign w:val="top"/>
          </w:tcPr>
          <w:p>
            <w:pPr>
              <w:spacing w:line="360" w:lineRule="exact"/>
              <w:rPr>
                <w:rFonts w:hint="eastAsia" w:ascii="仿宋" w:hAnsi="仿宋" w:eastAsia="仿宋" w:cs="仿宋"/>
                <w:bCs/>
                <w:highlight w:val="none"/>
              </w:rPr>
            </w:pPr>
            <w:r>
              <w:rPr>
                <w:rFonts w:hint="eastAsia" w:ascii="仿宋" w:hAnsi="仿宋" w:eastAsia="仿宋" w:cs="仿宋"/>
                <w:bCs/>
                <w:highlight w:val="none"/>
              </w:rPr>
              <w:t>法人代</w:t>
            </w:r>
            <w:r>
              <w:rPr>
                <w:rFonts w:hint="eastAsia" w:ascii="仿宋" w:hAnsi="仿宋" w:eastAsia="仿宋" w:cs="仿宋"/>
                <w:szCs w:val="22"/>
                <w:highlight w:val="none"/>
              </w:rPr>
              <w:t>表/授权代表（签字</w:t>
            </w:r>
            <w:r>
              <w:rPr>
                <w:rFonts w:hint="eastAsia" w:ascii="仿宋" w:hAnsi="仿宋" w:eastAsia="仿宋" w:cs="仿宋"/>
                <w:bCs/>
                <w:highlight w:val="none"/>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highlight w:val="none"/>
              </w:rPr>
            </w:pPr>
          </w:p>
        </w:tc>
        <w:tc>
          <w:tcPr>
            <w:tcW w:w="4872" w:type="dxa"/>
            <w:noWrap w:val="0"/>
            <w:vAlign w:val="top"/>
          </w:tcPr>
          <w:p>
            <w:pPr>
              <w:spacing w:line="360" w:lineRule="exact"/>
              <w:rPr>
                <w:rFonts w:hint="eastAsia" w:ascii="仿宋" w:hAnsi="仿宋" w:eastAsia="仿宋" w:cs="仿宋"/>
                <w:bCs/>
                <w:highlight w:val="none"/>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szCs w:val="22"/>
                <w:highlight w:val="none"/>
              </w:rPr>
            </w:pPr>
            <w:r>
              <w:rPr>
                <w:rFonts w:hint="eastAsia" w:ascii="仿宋" w:hAnsi="仿宋" w:eastAsia="仿宋" w:cs="仿宋"/>
                <w:szCs w:val="22"/>
                <w:highlight w:val="none"/>
              </w:rPr>
              <w:t xml:space="preserve">日    期：     </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年   月   日</w:t>
            </w:r>
          </w:p>
        </w:tc>
        <w:tc>
          <w:tcPr>
            <w:tcW w:w="4872" w:type="dxa"/>
            <w:noWrap w:val="0"/>
            <w:vAlign w:val="top"/>
          </w:tcPr>
          <w:p>
            <w:pPr>
              <w:spacing w:line="360" w:lineRule="exact"/>
              <w:rPr>
                <w:rFonts w:hint="eastAsia" w:ascii="仿宋" w:hAnsi="仿宋" w:eastAsia="仿宋" w:cs="仿宋"/>
                <w:szCs w:val="22"/>
                <w:highlight w:val="none"/>
              </w:rPr>
            </w:pPr>
            <w:r>
              <w:rPr>
                <w:rFonts w:hint="eastAsia" w:ascii="仿宋" w:hAnsi="仿宋" w:eastAsia="仿宋" w:cs="仿宋"/>
                <w:szCs w:val="22"/>
                <w:highlight w:val="none"/>
              </w:rPr>
              <w:t xml:space="preserve">日    期：     </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年   月   日</w:t>
            </w:r>
          </w:p>
        </w:tc>
      </w:tr>
    </w:tbl>
    <w:p>
      <w:pPr>
        <w:rPr>
          <w:rFonts w:hint="eastAsia"/>
          <w:b/>
          <w:color w:val="auto"/>
          <w:sz w:val="32"/>
          <w:szCs w:val="32"/>
          <w:highlight w:val="none"/>
        </w:rPr>
      </w:pPr>
      <w:r>
        <w:rPr>
          <w:rFonts w:hint="eastAsia"/>
          <w:b/>
          <w:color w:val="auto"/>
          <w:sz w:val="32"/>
          <w:szCs w:val="32"/>
          <w:highlight w:val="none"/>
        </w:rPr>
        <w:br w:type="page"/>
      </w:r>
    </w:p>
    <w:p>
      <w:pPr>
        <w:spacing w:line="312" w:lineRule="auto"/>
        <w:jc w:val="center"/>
        <w:outlineLvl w:val="0"/>
        <w:rPr>
          <w:rFonts w:hint="eastAsia"/>
          <w:b/>
          <w:color w:val="auto"/>
          <w:sz w:val="32"/>
          <w:szCs w:val="32"/>
          <w:highlight w:val="none"/>
        </w:rPr>
      </w:pPr>
      <w:r>
        <w:rPr>
          <w:rFonts w:hint="eastAsia"/>
          <w:b/>
          <w:color w:val="auto"/>
          <w:sz w:val="32"/>
          <w:szCs w:val="32"/>
          <w:highlight w:val="none"/>
        </w:rPr>
        <w:t>第四部分 报价文件格式</w:t>
      </w:r>
    </w:p>
    <w:p>
      <w:pPr>
        <w:pStyle w:val="4"/>
        <w:rPr>
          <w:rFonts w:ascii="黑体" w:hAnsi="黑体" w:eastAsia="黑体"/>
          <w:color w:val="auto"/>
          <w:szCs w:val="21"/>
          <w:highlight w:val="none"/>
        </w:rPr>
      </w:pPr>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lang w:eastAsia="zh-CN"/>
        </w:rPr>
        <w:t>广东机场白云信息科技股份有限公司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1"/>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pStyle w:val="2"/>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2"/>
        <w:ind w:left="420"/>
        <w:rPr>
          <w:color w:val="auto"/>
          <w:highlight w:val="none"/>
        </w:rPr>
      </w:pPr>
    </w:p>
    <w:p>
      <w:pPr>
        <w:pStyle w:val="2"/>
        <w:ind w:left="0" w:leftChars="0"/>
        <w:rPr>
          <w:color w:val="auto"/>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4"/>
        <w:rPr>
          <w:color w:val="auto"/>
          <w:highlight w:val="none"/>
        </w:rPr>
      </w:pPr>
      <w:r>
        <w:rPr>
          <w:rFonts w:hint="eastAsia"/>
          <w:color w:val="auto"/>
          <w:highlight w:val="none"/>
        </w:rPr>
        <w:t>附件3</w:t>
      </w:r>
    </w:p>
    <w:p>
      <w:pPr>
        <w:widowControl/>
        <w:tabs>
          <w:tab w:val="left" w:pos="142"/>
        </w:tabs>
        <w:autoSpaceDE w:val="0"/>
        <w:autoSpaceDN w:val="0"/>
        <w:jc w:val="center"/>
        <w:textAlignment w:val="bottom"/>
        <w:rPr>
          <w:rFonts w:ascii="宋体" w:hAnsi="宋体"/>
          <w:b/>
          <w:color w:val="auto"/>
          <w:sz w:val="32"/>
          <w:szCs w:val="32"/>
          <w:highlight w:val="none"/>
        </w:rPr>
      </w:pPr>
      <w:r>
        <w:rPr>
          <w:rFonts w:hint="eastAsia" w:ascii="宋体" w:hAnsi="宋体"/>
          <w:b/>
          <w:color w:val="auto"/>
          <w:sz w:val="32"/>
          <w:szCs w:val="32"/>
          <w:highlight w:val="none"/>
        </w:rPr>
        <w:t>报 价 函</w:t>
      </w:r>
    </w:p>
    <w:p>
      <w:pPr>
        <w:widowControl/>
        <w:tabs>
          <w:tab w:val="left" w:pos="142"/>
        </w:tabs>
        <w:autoSpaceDE w:val="0"/>
        <w:autoSpaceDN w:val="0"/>
        <w:jc w:val="center"/>
        <w:textAlignment w:val="bottom"/>
        <w:rPr>
          <w:rFonts w:ascii="宋体" w:hAnsi="宋体"/>
          <w:color w:val="auto"/>
          <w:sz w:val="36"/>
          <w:highlight w:val="none"/>
        </w:rPr>
      </w:pPr>
    </w:p>
    <w:p>
      <w:pPr>
        <w:widowControl/>
        <w:tabs>
          <w:tab w:val="left" w:pos="142"/>
        </w:tabs>
        <w:autoSpaceDE w:val="0"/>
        <w:autoSpaceDN w:val="0"/>
        <w:textAlignment w:val="bottom"/>
        <w:rPr>
          <w:color w:val="auto"/>
          <w:highlight w:val="none"/>
        </w:rPr>
      </w:pPr>
      <w:r>
        <w:rPr>
          <w:rFonts w:hint="eastAsia"/>
          <w:color w:val="auto"/>
          <w:highlight w:val="none"/>
        </w:rPr>
        <w:t>项目名称：</w:t>
      </w:r>
      <w:r>
        <w:rPr>
          <w:rFonts w:hint="eastAsia"/>
          <w:color w:val="auto"/>
          <w:highlight w:val="none"/>
          <w:u w:val="single"/>
        </w:rPr>
        <w:t>XXXX项目</w:t>
      </w:r>
    </w:p>
    <w:p>
      <w:pPr>
        <w:widowControl/>
        <w:tabs>
          <w:tab w:val="left" w:pos="142"/>
        </w:tabs>
        <w:autoSpaceDE w:val="0"/>
        <w:autoSpaceDN w:val="0"/>
        <w:textAlignment w:val="bottom"/>
        <w:rPr>
          <w:color w:val="auto"/>
          <w:highlight w:val="none"/>
        </w:rPr>
      </w:pPr>
    </w:p>
    <w:p>
      <w:pPr>
        <w:pStyle w:val="26"/>
        <w:spacing w:line="288" w:lineRule="auto"/>
        <w:rPr>
          <w:rFonts w:ascii="Times New Roman" w:hAnsi="Times New Roman"/>
          <w:color w:val="auto"/>
          <w:highlight w:val="none"/>
          <w:u w:val="single"/>
        </w:rPr>
      </w:pPr>
      <w:r>
        <w:rPr>
          <w:rFonts w:hint="eastAsia" w:ascii="Times New Roman" w:hAnsi="Times New Roman"/>
          <w:color w:val="auto"/>
          <w:highlight w:val="none"/>
        </w:rPr>
        <w:t>致</w:t>
      </w:r>
      <w:r>
        <w:rPr>
          <w:rFonts w:ascii="Times New Roman" w:hAnsi="Times New Roman"/>
          <w:color w:val="auto"/>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hAnsi="宋体"/>
          <w:color w:val="auto"/>
          <w:highlight w:val="none"/>
          <w:u w:val="single"/>
          <w:lang w:eastAsia="zh-CN"/>
        </w:rPr>
        <w:t>广东机场白云信息科技股份有限公司</w:t>
      </w:r>
      <w:r>
        <w:rPr>
          <w:rFonts w:hint="eastAsia" w:hAnsi="宋体"/>
          <w:color w:val="auto"/>
          <w:highlight w:val="none"/>
          <w:u w:val="single"/>
        </w:rPr>
        <w:t xml:space="preserve"> </w:t>
      </w:r>
    </w:p>
    <w:p>
      <w:pPr>
        <w:widowControl/>
        <w:tabs>
          <w:tab w:val="left" w:pos="142"/>
        </w:tabs>
        <w:autoSpaceDE w:val="0"/>
        <w:autoSpaceDN w:val="0"/>
        <w:spacing w:line="288" w:lineRule="auto"/>
        <w:textAlignment w:val="bottom"/>
        <w:rPr>
          <w:color w:val="auto"/>
          <w:highlight w:val="none"/>
        </w:rPr>
      </w:pPr>
      <w:r>
        <w:rPr>
          <w:color w:val="auto"/>
          <w:highlight w:val="none"/>
        </w:rPr>
        <w:t xml:space="preserve">    </w:t>
      </w:r>
    </w:p>
    <w:p>
      <w:pPr>
        <w:widowControl/>
        <w:tabs>
          <w:tab w:val="left" w:pos="142"/>
        </w:tabs>
        <w:autoSpaceDE w:val="0"/>
        <w:autoSpaceDN w:val="0"/>
        <w:spacing w:line="288" w:lineRule="auto"/>
        <w:textAlignment w:val="bottom"/>
        <w:rPr>
          <w:color w:val="auto"/>
          <w:highlight w:val="none"/>
        </w:rPr>
      </w:pPr>
      <w:r>
        <w:rPr>
          <w:color w:val="auto"/>
          <w:highlight w:val="none"/>
        </w:rPr>
        <w:tab/>
      </w:r>
      <w:r>
        <w:rPr>
          <w:color w:val="auto"/>
          <w:highlight w:val="none"/>
        </w:rPr>
        <w:t xml:space="preserve">   </w:t>
      </w:r>
      <w:r>
        <w:rPr>
          <w:rFonts w:hint="eastAsia"/>
          <w:color w:val="auto"/>
          <w:highlight w:val="none"/>
        </w:rPr>
        <w:t xml:space="preserve">  根据贵方为</w:t>
      </w:r>
      <w:r>
        <w:rPr>
          <w:rFonts w:hint="eastAsia"/>
          <w:color w:val="auto"/>
          <w:highlight w:val="none"/>
          <w:u w:val="single"/>
        </w:rPr>
        <w:t xml:space="preserve">  XXXX项目</w:t>
      </w:r>
      <w:r>
        <w:rPr>
          <w:rFonts w:hint="eastAsia"/>
          <w:color w:val="auto"/>
          <w:highlight w:val="none"/>
        </w:rPr>
        <w:t>采购的邀请函，作为经报价人正式授权代表报价人</w:t>
      </w:r>
      <w:r>
        <w:rPr>
          <w:color w:val="auto"/>
          <w:highlight w:val="none"/>
        </w:rPr>
        <w:t>_______</w:t>
      </w:r>
      <w:r>
        <w:rPr>
          <w:rFonts w:hint="eastAsia"/>
          <w:color w:val="auto"/>
          <w:highlight w:val="none"/>
          <w:u w:val="single"/>
        </w:rPr>
        <w:t xml:space="preserve">                       </w:t>
      </w:r>
      <w:r>
        <w:rPr>
          <w:color w:val="auto"/>
          <w:highlight w:val="none"/>
        </w:rPr>
        <w:t>________(</w:t>
      </w:r>
      <w:r>
        <w:rPr>
          <w:rFonts w:hint="eastAsia"/>
          <w:color w:val="auto"/>
          <w:highlight w:val="none"/>
        </w:rPr>
        <w:t>报价人名称和地址</w:t>
      </w:r>
      <w:r>
        <w:rPr>
          <w:color w:val="auto"/>
          <w:highlight w:val="none"/>
        </w:rPr>
        <w:t>)</w:t>
      </w:r>
      <w:r>
        <w:rPr>
          <w:rFonts w:hint="eastAsia"/>
          <w:color w:val="auto"/>
          <w:highlight w:val="none"/>
        </w:rPr>
        <w:t>的报价文件书签名方代表</w:t>
      </w:r>
      <w:r>
        <w:rPr>
          <w:color w:val="auto"/>
          <w:highlight w:val="none"/>
        </w:rPr>
        <w:t>__________</w:t>
      </w:r>
      <w:r>
        <w:rPr>
          <w:rFonts w:hint="eastAsia"/>
          <w:color w:val="auto"/>
          <w:highlight w:val="none"/>
        </w:rPr>
        <w:t xml:space="preserve"> </w:t>
      </w:r>
      <w:r>
        <w:rPr>
          <w:color w:val="auto"/>
          <w:highlight w:val="none"/>
        </w:rPr>
        <w:t>__________(</w:t>
      </w:r>
      <w:r>
        <w:rPr>
          <w:rFonts w:hint="eastAsia"/>
          <w:color w:val="auto"/>
          <w:highlight w:val="none"/>
        </w:rPr>
        <w:t>签名人全名</w:t>
      </w:r>
      <w:r>
        <w:rPr>
          <w:color w:val="auto"/>
          <w:highlight w:val="none"/>
        </w:rPr>
        <w:t xml:space="preserve">, </w:t>
      </w:r>
      <w:r>
        <w:rPr>
          <w:rFonts w:hint="eastAsia"/>
          <w:color w:val="auto"/>
          <w:highlight w:val="none"/>
        </w:rPr>
        <w:t>职务</w:t>
      </w:r>
      <w:r>
        <w:rPr>
          <w:color w:val="auto"/>
          <w:highlight w:val="none"/>
        </w:rPr>
        <w:t xml:space="preserve">), </w:t>
      </w:r>
      <w:r>
        <w:rPr>
          <w:rFonts w:hint="eastAsia"/>
          <w:color w:val="auto"/>
          <w:highlight w:val="none"/>
        </w:rPr>
        <w:t>在此提交项目报价文件</w:t>
      </w:r>
      <w:r>
        <w:rPr>
          <w:color w:val="auto"/>
          <w:highlight w:val="none"/>
        </w:rPr>
        <w:t xml:space="preserve">, </w:t>
      </w:r>
      <w:r>
        <w:rPr>
          <w:rFonts w:hint="eastAsia"/>
          <w:color w:val="auto"/>
          <w:highlight w:val="none"/>
        </w:rPr>
        <w:t>正本一份</w:t>
      </w:r>
      <w:r>
        <w:rPr>
          <w:color w:val="auto"/>
          <w:highlight w:val="none"/>
        </w:rPr>
        <w:t xml:space="preserve">, </w:t>
      </w:r>
      <w:r>
        <w:rPr>
          <w:rFonts w:hint="eastAsia"/>
          <w:color w:val="auto"/>
          <w:highlight w:val="none"/>
        </w:rPr>
        <w:t>副本二份。</w:t>
      </w:r>
      <w:r>
        <w:rPr>
          <w:color w:val="auto"/>
          <w:highlight w:val="none"/>
        </w:rPr>
        <w:t xml:space="preserve"> </w:t>
      </w:r>
    </w:p>
    <w:p>
      <w:pPr>
        <w:widowControl/>
        <w:tabs>
          <w:tab w:val="left" w:pos="142"/>
        </w:tabs>
        <w:autoSpaceDE w:val="0"/>
        <w:autoSpaceDN w:val="0"/>
        <w:spacing w:line="288" w:lineRule="auto"/>
        <w:textAlignment w:val="bottom"/>
        <w:rPr>
          <w:color w:val="auto"/>
          <w:highlight w:val="none"/>
        </w:rPr>
      </w:pPr>
      <w:r>
        <w:rPr>
          <w:color w:val="auto"/>
          <w:highlight w:val="none"/>
        </w:rPr>
        <w:t xml:space="preserve">    </w:t>
      </w:r>
      <w:r>
        <w:rPr>
          <w:rFonts w:hint="eastAsia"/>
          <w:color w:val="auto"/>
          <w:highlight w:val="none"/>
        </w:rPr>
        <w:t xml:space="preserve">    签字人代表以此函申明并同意</w:t>
      </w:r>
      <w:r>
        <w:rPr>
          <w:color w:val="auto"/>
          <w:highlight w:val="none"/>
        </w:rPr>
        <w:t>:</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对随附报价表所规定的采购内容的总价为含税价人民币</w:t>
      </w:r>
      <w:r>
        <w:rPr>
          <w:color w:val="auto"/>
          <w:highlight w:val="none"/>
        </w:rPr>
        <w:t>___</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_</w:t>
      </w:r>
      <w:r>
        <w:rPr>
          <w:rFonts w:hint="eastAsia"/>
          <w:color w:val="auto"/>
          <w:highlight w:val="none"/>
        </w:rPr>
        <w:t>元（大写：</w:t>
      </w:r>
      <w:r>
        <w:rPr>
          <w:color w:val="auto"/>
          <w:highlight w:val="none"/>
        </w:rPr>
        <w:t xml:space="preserve"> ________</w:t>
      </w:r>
      <w:r>
        <w:rPr>
          <w:rFonts w:hint="eastAsia"/>
          <w:color w:val="auto"/>
          <w:highlight w:val="none"/>
        </w:rPr>
        <w:t>元）。</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报价人将承担按照采购文件的所有条款履行合同的责任和义务。</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报价人已详尽研究了所有采购文件包括修正文</w:t>
      </w:r>
      <w:r>
        <w:rPr>
          <w:color w:val="auto"/>
          <w:highlight w:val="none"/>
        </w:rPr>
        <w:t>(</w:t>
      </w:r>
      <w:r>
        <w:rPr>
          <w:rFonts w:hint="eastAsia"/>
          <w:color w:val="auto"/>
          <w:highlight w:val="none"/>
        </w:rPr>
        <w:t>如果有</w:t>
      </w:r>
      <w:r>
        <w:rPr>
          <w:color w:val="auto"/>
          <w:highlight w:val="none"/>
        </w:rPr>
        <w:t xml:space="preserve">), </w:t>
      </w:r>
      <w:r>
        <w:rPr>
          <w:rFonts w:hint="eastAsia"/>
          <w:color w:val="auto"/>
          <w:highlight w:val="none"/>
        </w:rPr>
        <w:t>所有已提供的参考资料以及有关附件并完全明白</w:t>
      </w:r>
      <w:r>
        <w:rPr>
          <w:color w:val="auto"/>
          <w:highlight w:val="none"/>
        </w:rPr>
        <w:t xml:space="preserve">, </w:t>
      </w:r>
      <w:r>
        <w:rPr>
          <w:rFonts w:hint="eastAsia"/>
          <w:color w:val="auto"/>
          <w:highlight w:val="none"/>
        </w:rPr>
        <w:t>报价人必须放弃在此方面提出含糊意见或误解的一切权力。</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 xml:space="preserve">报价人之报价文件有效期为自报价之日起 </w:t>
      </w:r>
      <w:r>
        <w:rPr>
          <w:rFonts w:hint="eastAsia"/>
          <w:color w:val="auto"/>
          <w:highlight w:val="none"/>
          <w:u w:val="single"/>
        </w:rPr>
        <w:t>90</w:t>
      </w:r>
      <w:r>
        <w:rPr>
          <w:color w:val="auto"/>
          <w:highlight w:val="none"/>
        </w:rPr>
        <w:t xml:space="preserve"> </w:t>
      </w:r>
      <w:r>
        <w:rPr>
          <w:rFonts w:hint="eastAsia"/>
          <w:color w:val="auto"/>
          <w:highlight w:val="none"/>
        </w:rPr>
        <w:t>个日历日。</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报价人同意按照采购人可能提出的要求提供与其所递交报价文件有关的任何其它数据或信息。</w:t>
      </w:r>
    </w:p>
    <w:p>
      <w:pPr>
        <w:widowControl/>
        <w:numPr>
          <w:ilvl w:val="0"/>
          <w:numId w:val="20"/>
        </w:numPr>
        <w:tabs>
          <w:tab w:val="left" w:pos="851"/>
        </w:tabs>
        <w:autoSpaceDE w:val="0"/>
        <w:autoSpaceDN w:val="0"/>
        <w:spacing w:line="288" w:lineRule="auto"/>
        <w:ind w:left="851" w:hanging="425"/>
        <w:jc w:val="left"/>
        <w:textAlignment w:val="bottom"/>
        <w:rPr>
          <w:color w:val="auto"/>
          <w:highlight w:val="none"/>
        </w:rPr>
      </w:pPr>
      <w:r>
        <w:rPr>
          <w:rFonts w:hint="eastAsia"/>
          <w:color w:val="auto"/>
          <w:highlight w:val="none"/>
        </w:rPr>
        <w:t>我方理解贵方不一定接受最低报价或任何贵方可能收到的报价文件。</w:t>
      </w:r>
    </w:p>
    <w:p>
      <w:pPr>
        <w:widowControl/>
        <w:tabs>
          <w:tab w:val="left" w:pos="142"/>
        </w:tabs>
        <w:autoSpaceDE w:val="0"/>
        <w:autoSpaceDN w:val="0"/>
        <w:spacing w:line="288" w:lineRule="auto"/>
        <w:textAlignment w:val="bottom"/>
        <w:rPr>
          <w:color w:val="auto"/>
          <w:highlight w:val="none"/>
        </w:rPr>
      </w:pPr>
      <w:r>
        <w:rPr>
          <w:color w:val="auto"/>
          <w:highlight w:val="none"/>
        </w:rPr>
        <w:t xml:space="preserve"> </w:t>
      </w:r>
      <w:r>
        <w:rPr>
          <w:rFonts w:hint="eastAsia"/>
          <w:color w:val="auto"/>
          <w:highlight w:val="none"/>
        </w:rPr>
        <w:t xml:space="preserve">       本报价文件连同贵方成交通知书应构成对双方均有约束力的合同</w:t>
      </w:r>
      <w:r>
        <w:rPr>
          <w:color w:val="auto"/>
          <w:highlight w:val="none"/>
        </w:rPr>
        <w:t xml:space="preserve">, </w:t>
      </w:r>
      <w:r>
        <w:rPr>
          <w:rFonts w:hint="eastAsia"/>
          <w:color w:val="auto"/>
          <w:highlight w:val="none"/>
        </w:rPr>
        <w:t>直至正式合同编制完毕并生效。</w:t>
      </w:r>
    </w:p>
    <w:p>
      <w:pPr>
        <w:widowControl/>
        <w:tabs>
          <w:tab w:val="left" w:pos="142"/>
        </w:tabs>
        <w:autoSpaceDE w:val="0"/>
        <w:autoSpaceDN w:val="0"/>
        <w:spacing w:line="288" w:lineRule="auto"/>
        <w:textAlignment w:val="bottom"/>
        <w:rPr>
          <w:color w:val="auto"/>
          <w:highlight w:val="none"/>
        </w:rPr>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color w:val="auto"/>
          <w:sz w:val="28"/>
          <w:szCs w:val="28"/>
          <w:highlight w:val="none"/>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报价人名称：</w:t>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法定代表人或授权代表签名： </w:t>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日期： </w:t>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p>
    <w:p>
      <w:pPr>
        <w:pStyle w:val="2"/>
        <w:ind w:left="420"/>
        <w:rPr>
          <w:color w:val="auto"/>
          <w:highlight w:val="none"/>
        </w:rPr>
      </w:pPr>
    </w:p>
    <w:p>
      <w:pPr>
        <w:rPr>
          <w:rFonts w:ascii="宋体" w:hAnsi="宋体"/>
          <w:b/>
          <w:color w:val="auto"/>
          <w:sz w:val="18"/>
          <w:szCs w:val="18"/>
          <w:highlight w:val="none"/>
        </w:rPr>
      </w:pPr>
    </w:p>
    <w:p>
      <w:pPr>
        <w:widowControl/>
        <w:tabs>
          <w:tab w:val="left" w:pos="142"/>
        </w:tabs>
        <w:autoSpaceDE w:val="0"/>
        <w:autoSpaceDN w:val="0"/>
        <w:jc w:val="center"/>
        <w:textAlignment w:val="bottom"/>
        <w:rPr>
          <w:rFonts w:ascii="宋体" w:hAnsi="宋体"/>
          <w:b/>
          <w:color w:val="auto"/>
          <w:sz w:val="32"/>
          <w:szCs w:val="32"/>
          <w:highlight w:val="none"/>
        </w:rPr>
      </w:pPr>
    </w:p>
    <w:p>
      <w:pPr>
        <w:widowControl/>
        <w:tabs>
          <w:tab w:val="left" w:pos="142"/>
        </w:tabs>
        <w:autoSpaceDE w:val="0"/>
        <w:autoSpaceDN w:val="0"/>
        <w:jc w:val="center"/>
        <w:textAlignment w:val="bottom"/>
        <w:rPr>
          <w:rFonts w:ascii="宋体" w:hAnsi="宋体"/>
          <w:b/>
          <w:color w:val="auto"/>
          <w:sz w:val="32"/>
          <w:szCs w:val="32"/>
          <w:highlight w:val="none"/>
        </w:rPr>
      </w:pPr>
    </w:p>
    <w:p>
      <w:pPr>
        <w:widowControl/>
        <w:tabs>
          <w:tab w:val="left" w:pos="142"/>
        </w:tabs>
        <w:autoSpaceDE w:val="0"/>
        <w:autoSpaceDN w:val="0"/>
        <w:jc w:val="center"/>
        <w:textAlignment w:val="bottom"/>
        <w:rPr>
          <w:rFonts w:ascii="宋体" w:hAnsi="宋体"/>
          <w:b/>
          <w:color w:val="auto"/>
          <w:sz w:val="32"/>
          <w:szCs w:val="32"/>
          <w:highlight w:val="none"/>
        </w:rPr>
      </w:pPr>
    </w:p>
    <w:p>
      <w:pPr>
        <w:widowControl/>
        <w:tabs>
          <w:tab w:val="left" w:pos="142"/>
        </w:tabs>
        <w:autoSpaceDE w:val="0"/>
        <w:autoSpaceDN w:val="0"/>
        <w:jc w:val="center"/>
        <w:textAlignment w:val="bottom"/>
        <w:rPr>
          <w:rFonts w:ascii="宋体" w:hAnsi="宋体"/>
          <w:b/>
          <w:color w:val="auto"/>
          <w:sz w:val="32"/>
          <w:szCs w:val="32"/>
          <w:highlight w:val="none"/>
        </w:rPr>
      </w:pPr>
      <w:r>
        <w:rPr>
          <w:rFonts w:hint="eastAsia" w:ascii="宋体" w:hAnsi="宋体"/>
          <w:b/>
          <w:color w:val="auto"/>
          <w:sz w:val="32"/>
          <w:szCs w:val="32"/>
          <w:highlight w:val="none"/>
        </w:rPr>
        <w:t>报价明细表</w:t>
      </w:r>
    </w:p>
    <w:p>
      <w:pPr>
        <w:pStyle w:val="2"/>
        <w:ind w:left="420"/>
        <w:rPr>
          <w:color w:val="auto"/>
          <w:highlight w:val="none"/>
        </w:rPr>
      </w:pPr>
    </w:p>
    <w:tbl>
      <w:tblPr>
        <w:tblStyle w:val="51"/>
        <w:tblpPr w:leftFromText="180" w:rightFromText="180" w:vertAnchor="text" w:horzAnchor="page" w:tblpX="1429" w:tblpY="2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26"/>
        <w:gridCol w:w="805"/>
        <w:gridCol w:w="815"/>
        <w:gridCol w:w="1507"/>
        <w:gridCol w:w="618"/>
        <w:gridCol w:w="861"/>
        <w:gridCol w:w="763"/>
        <w:gridCol w:w="132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 w:type="pct"/>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67" w:type="pct"/>
            <w:vAlign w:val="center"/>
          </w:tcPr>
          <w:p>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名称</w:t>
            </w:r>
          </w:p>
        </w:tc>
        <w:tc>
          <w:tcPr>
            <w:tcW w:w="445" w:type="pct"/>
            <w:vAlign w:val="center"/>
          </w:tcPr>
          <w:p>
            <w:pPr>
              <w:widowControl/>
              <w:spacing w:line="360" w:lineRule="auto"/>
              <w:jc w:val="center"/>
              <w:rPr>
                <w:rFonts w:hint="eastAsia" w:ascii="仿宋" w:hAnsi="仿宋" w:eastAsia="仿宋" w:cs="仿宋"/>
                <w:b w:val="0"/>
                <w:bCs w:val="0"/>
                <w:color w:val="333333"/>
                <w:kern w:val="0"/>
                <w:sz w:val="24"/>
                <w:szCs w:val="24"/>
              </w:rPr>
            </w:pPr>
            <w:r>
              <w:rPr>
                <w:rFonts w:hint="eastAsia" w:ascii="仿宋" w:hAnsi="仿宋" w:eastAsia="仿宋" w:cs="仿宋"/>
                <w:b w:val="0"/>
                <w:bCs w:val="0"/>
                <w:color w:val="333333"/>
                <w:kern w:val="0"/>
                <w:sz w:val="24"/>
                <w:szCs w:val="24"/>
              </w:rPr>
              <w:t>品牌</w:t>
            </w:r>
          </w:p>
          <w:p>
            <w:pPr>
              <w:widowControl/>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333333"/>
                <w:kern w:val="0"/>
                <w:sz w:val="24"/>
                <w:szCs w:val="24"/>
              </w:rPr>
              <w:t>型号</w:t>
            </w:r>
          </w:p>
        </w:tc>
        <w:tc>
          <w:tcPr>
            <w:tcW w:w="450" w:type="pct"/>
            <w:vAlign w:val="center"/>
          </w:tcPr>
          <w:p>
            <w:pPr>
              <w:widowControl/>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333333"/>
                <w:kern w:val="0"/>
                <w:sz w:val="24"/>
                <w:szCs w:val="24"/>
              </w:rPr>
              <w:t>产地</w:t>
            </w:r>
          </w:p>
        </w:tc>
        <w:tc>
          <w:tcPr>
            <w:tcW w:w="832" w:type="pct"/>
            <w:vAlign w:val="center"/>
          </w:tcPr>
          <w:p>
            <w:pPr>
              <w:widowControl/>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333333"/>
                <w:kern w:val="0"/>
                <w:sz w:val="24"/>
                <w:szCs w:val="24"/>
              </w:rPr>
              <w:t>主要性能参数</w:t>
            </w:r>
          </w:p>
        </w:tc>
        <w:tc>
          <w:tcPr>
            <w:tcW w:w="341"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w:t>
            </w:r>
          </w:p>
        </w:tc>
        <w:tc>
          <w:tcPr>
            <w:tcW w:w="475"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w:t>
            </w:r>
          </w:p>
        </w:tc>
        <w:tc>
          <w:tcPr>
            <w:tcW w:w="421"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w:t>
            </w:r>
          </w:p>
        </w:tc>
        <w:tc>
          <w:tcPr>
            <w:tcW w:w="730"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w:t>
            </w:r>
          </w:p>
        </w:tc>
        <w:tc>
          <w:tcPr>
            <w:tcW w:w="483" w:type="pct"/>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51" w:type="pct"/>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pct"/>
            <w:vAlign w:val="center"/>
          </w:tcPr>
          <w:p>
            <w:pPr>
              <w:widowControl/>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旅客查询终羰</w:t>
            </w:r>
          </w:p>
        </w:tc>
        <w:tc>
          <w:tcPr>
            <w:tcW w:w="445" w:type="pct"/>
            <w:vAlign w:val="center"/>
          </w:tcPr>
          <w:p>
            <w:pPr>
              <w:widowControl/>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0"/>
                <w:sz w:val="24"/>
                <w:szCs w:val="24"/>
                <w:lang w:val="en-US" w:eastAsia="zh-CN"/>
              </w:rPr>
              <w:t>定制</w:t>
            </w:r>
          </w:p>
        </w:tc>
        <w:tc>
          <w:tcPr>
            <w:tcW w:w="450" w:type="pct"/>
            <w:vAlign w:val="center"/>
          </w:tcPr>
          <w:p>
            <w:pPr>
              <w:widowControl/>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kern w:val="0"/>
                <w:sz w:val="24"/>
                <w:szCs w:val="24"/>
                <w:lang w:val="en-US" w:eastAsia="zh-CN"/>
              </w:rPr>
              <w:t>国产</w:t>
            </w:r>
          </w:p>
        </w:tc>
        <w:tc>
          <w:tcPr>
            <w:tcW w:w="832" w:type="pct"/>
            <w:vAlign w:val="center"/>
          </w:tcPr>
          <w:p>
            <w:pPr>
              <w:widowControl/>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0"/>
                <w:sz w:val="24"/>
                <w:szCs w:val="24"/>
                <w:lang w:val="en-US" w:eastAsia="zh-CN"/>
              </w:rPr>
              <w:t>完全响应清单规格参数要求.</w:t>
            </w:r>
          </w:p>
        </w:tc>
        <w:tc>
          <w:tcPr>
            <w:tcW w:w="341" w:type="pct"/>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w:t>
            </w:r>
          </w:p>
        </w:tc>
        <w:tc>
          <w:tcPr>
            <w:tcW w:w="475" w:type="pct"/>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421" w:type="pct"/>
            <w:vAlign w:val="center"/>
          </w:tcPr>
          <w:p>
            <w:pPr>
              <w:widowControl/>
              <w:jc w:val="left"/>
              <w:textAlignment w:val="center"/>
              <w:rPr>
                <w:rFonts w:hint="eastAsia" w:ascii="仿宋" w:hAnsi="仿宋" w:eastAsia="仿宋" w:cs="仿宋"/>
                <w:b w:val="0"/>
                <w:bCs w:val="0"/>
                <w:color w:val="auto"/>
                <w:sz w:val="24"/>
                <w:szCs w:val="24"/>
                <w:highlight w:val="none"/>
                <w:lang w:val="en-US" w:eastAsia="zh-CN"/>
              </w:rPr>
            </w:pPr>
          </w:p>
        </w:tc>
        <w:tc>
          <w:tcPr>
            <w:tcW w:w="730" w:type="pct"/>
            <w:vAlign w:val="center"/>
          </w:tcPr>
          <w:p>
            <w:pPr>
              <w:rPr>
                <w:rFonts w:hint="eastAsia" w:ascii="仿宋" w:hAnsi="仿宋" w:eastAsia="仿宋" w:cs="仿宋"/>
                <w:b w:val="0"/>
                <w:bCs w:val="0"/>
                <w:color w:val="000000"/>
                <w:kern w:val="0"/>
                <w:sz w:val="24"/>
                <w:szCs w:val="24"/>
                <w:highlight w:val="none"/>
                <w:shd w:val="clear" w:color="auto" w:fill="FFFFFF"/>
                <w:lang w:bidi="ar"/>
              </w:rPr>
            </w:pPr>
          </w:p>
          <w:p>
            <w:pPr>
              <w:jc w:val="center"/>
              <w:rPr>
                <w:rFonts w:hint="eastAsia" w:ascii="仿宋" w:hAnsi="仿宋" w:eastAsia="仿宋" w:cs="仿宋"/>
                <w:b w:val="0"/>
                <w:bCs w:val="0"/>
                <w:color w:val="auto"/>
                <w:sz w:val="24"/>
                <w:szCs w:val="24"/>
                <w:highlight w:val="none"/>
              </w:rPr>
            </w:pPr>
          </w:p>
        </w:tc>
        <w:tc>
          <w:tcPr>
            <w:tcW w:w="483" w:type="pct"/>
            <w:vAlign w:val="center"/>
          </w:tcPr>
          <w:p>
            <w:pPr>
              <w:jc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8" w:type="pct"/>
            <w:gridSpan w:val="2"/>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合计（含税）</w:t>
            </w:r>
          </w:p>
        </w:tc>
        <w:tc>
          <w:tcPr>
            <w:tcW w:w="3697" w:type="pct"/>
            <w:gridSpan w:val="7"/>
            <w:vAlign w:val="center"/>
          </w:tcPr>
          <w:p>
            <w:pPr>
              <w:jc w:val="center"/>
              <w:rPr>
                <w:rFonts w:ascii="仿宋_GB2312" w:hAnsi="宋体" w:eastAsia="仿宋_GB2312"/>
                <w:color w:val="auto"/>
                <w:sz w:val="24"/>
                <w:szCs w:val="24"/>
                <w:highlight w:val="none"/>
              </w:rPr>
            </w:pPr>
          </w:p>
        </w:tc>
        <w:tc>
          <w:tcPr>
            <w:tcW w:w="483" w:type="pct"/>
            <w:vAlign w:val="center"/>
          </w:tcPr>
          <w:p>
            <w:pPr>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税率：</w:t>
            </w:r>
            <w:r>
              <w:rPr>
                <w:rFonts w:hint="eastAsia" w:ascii="仿宋_GB2312" w:hAnsi="宋体" w:eastAsia="仿宋_GB2312"/>
                <w:color w:val="auto"/>
                <w:sz w:val="24"/>
                <w:szCs w:val="24"/>
                <w:highlight w:val="none"/>
                <w:lang w:val="en-US" w:eastAsia="zh-CN"/>
              </w:rPr>
              <w:t xml:space="preserve"> </w:t>
            </w:r>
          </w:p>
          <w:p>
            <w:pPr>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 xml:space="preserve"> </w:t>
            </w:r>
            <w:r>
              <w:rPr>
                <w:rFonts w:ascii="仿宋_GB2312" w:hAnsi="宋体" w:eastAsia="仿宋_GB2312"/>
                <w:color w:val="auto"/>
                <w:sz w:val="24"/>
                <w:szCs w:val="24"/>
                <w:highlight w:val="none"/>
              </w:rPr>
              <w:t>%</w:t>
            </w:r>
          </w:p>
        </w:tc>
      </w:tr>
    </w:tbl>
    <w:p>
      <w:pPr>
        <w:spacing w:after="60"/>
        <w:rPr>
          <w:color w:val="auto"/>
          <w:sz w:val="24"/>
          <w:szCs w:val="24"/>
          <w:highlight w:val="none"/>
        </w:rPr>
      </w:pPr>
    </w:p>
    <w:p>
      <w:pPr>
        <w:spacing w:line="312" w:lineRule="auto"/>
        <w:ind w:left="0" w:leftChars="0" w:firstLine="420" w:firstLineChars="200"/>
        <w:outlineLvl w:val="0"/>
        <w:rPr>
          <w:rFonts w:hint="eastAsia" w:ascii="宋体" w:hAnsi="宋体" w:eastAsia="宋体" w:cs="宋体"/>
          <w:color w:val="333333"/>
          <w:kern w:val="0"/>
          <w:sz w:val="21"/>
          <w:szCs w:val="21"/>
        </w:rPr>
      </w:pPr>
      <w:r>
        <w:rPr>
          <w:rFonts w:hint="eastAsia" w:ascii="宋体" w:hAnsi="宋体" w:eastAsia="宋体" w:cs="宋体"/>
          <w:color w:val="auto"/>
          <w:sz w:val="21"/>
          <w:szCs w:val="21"/>
          <w:highlight w:val="none"/>
          <w:u w:val="none"/>
          <w:lang w:val="en-US" w:eastAsia="zh-CN"/>
        </w:rPr>
        <w:t>以上</w:t>
      </w:r>
      <w:r>
        <w:rPr>
          <w:rFonts w:hint="eastAsia" w:ascii="宋体" w:hAnsi="宋体" w:eastAsia="宋体" w:cs="宋体"/>
          <w:color w:val="auto"/>
          <w:sz w:val="21"/>
          <w:szCs w:val="21"/>
          <w:highlight w:val="none"/>
          <w:u w:val="none"/>
          <w:lang w:eastAsia="zh-CN"/>
        </w:rPr>
        <w:t>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lang w:eastAsia="zh-CN"/>
        </w:rPr>
        <w:t>和货物再支付任何费用。</w:t>
      </w:r>
    </w:p>
    <w:p>
      <w:pPr>
        <w:ind w:firstLine="5244" w:firstLineChars="1873"/>
        <w:rPr>
          <w:rFonts w:ascii="仿宋_GB2312" w:hAnsi="宋体" w:eastAsia="仿宋_GB2312"/>
          <w:color w:val="auto"/>
          <w:sz w:val="28"/>
          <w:szCs w:val="28"/>
          <w:highlight w:val="none"/>
        </w:rPr>
      </w:pPr>
    </w:p>
    <w:p>
      <w:pPr>
        <w:adjustRightInd w:val="0"/>
        <w:snapToGrid w:val="0"/>
        <w:spacing w:line="300" w:lineRule="auto"/>
        <w:rPr>
          <w:rFonts w:ascii="仿宋_GB2312" w:hAnsi="仿宋" w:eastAsia="仿宋_GB2312"/>
          <w:color w:val="auto"/>
          <w:sz w:val="28"/>
          <w:szCs w:val="28"/>
          <w:highlight w:val="none"/>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报价人名称：</w:t>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color w:val="auto"/>
          <w:szCs w:val="21"/>
          <w:highlight w:val="none"/>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法定代表人或授权代表签名：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color w:val="auto"/>
          <w:szCs w:val="21"/>
          <w:highlight w:val="none"/>
          <w:lang w:val="en-US" w:eastAsia="zh-CN"/>
        </w:rPr>
      </w:pPr>
    </w:p>
    <w:p>
      <w:pPr>
        <w:widowControl/>
        <w:tabs>
          <w:tab w:val="left" w:pos="142"/>
        </w:tabs>
        <w:autoSpaceDE w:val="0"/>
        <w:autoSpaceDN w:val="0"/>
        <w:spacing w:line="360" w:lineRule="auto"/>
        <w:ind w:firstLine="420" w:firstLineChars="200"/>
        <w:jc w:val="left"/>
        <w:textAlignment w:val="bottom"/>
        <w:rPr>
          <w:rFonts w:hint="default" w:ascii="仿宋_GB2312" w:hAnsi="仿宋_GB2312" w:eastAsia="仿宋_GB2312" w:cs="仿宋_GB2312"/>
          <w:color w:val="auto"/>
          <w:szCs w:val="21"/>
          <w:highlight w:val="none"/>
          <w:u w:val="none"/>
          <w:lang w:val="en-US" w:eastAsia="zh-CN"/>
        </w:rPr>
      </w:pPr>
      <w:r>
        <w:rPr>
          <w:rFonts w:hint="eastAsia" w:ascii="仿宋_GB2312" w:hAnsi="仿宋_GB2312" w:eastAsia="仿宋_GB2312" w:cs="仿宋_GB2312"/>
          <w:color w:val="auto"/>
          <w:szCs w:val="21"/>
          <w:highlight w:val="none"/>
          <w:lang w:val="en-US" w:eastAsia="zh-CN"/>
        </w:rPr>
        <w:t>联系电话：</w:t>
      </w:r>
      <w:r>
        <w:rPr>
          <w:rFonts w:hint="eastAsia" w:ascii="仿宋_GB2312" w:hAnsi="仿宋_GB2312" w:eastAsia="仿宋_GB2312" w:cs="仿宋_GB2312"/>
          <w:color w:val="auto"/>
          <w:szCs w:val="21"/>
          <w:highlight w:val="none"/>
          <w:u w:val="singl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日期： </w:t>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r>
        <w:rPr>
          <w:rFonts w:hint="eastAsia" w:ascii="仿宋_GB2312" w:hAnsi="仿宋_GB2312" w:eastAsia="仿宋_GB2312" w:cs="仿宋_GB2312"/>
          <w:color w:val="auto"/>
          <w:szCs w:val="21"/>
          <w:highlight w:val="none"/>
        </w:rPr>
        <w:tab/>
      </w:r>
    </w:p>
    <w:p>
      <w:pPr>
        <w:pStyle w:val="2"/>
        <w:ind w:left="420"/>
        <w:rPr>
          <w:b/>
          <w:color w:val="auto"/>
          <w:highlight w:val="none"/>
        </w:rPr>
      </w:pPr>
    </w:p>
    <w:p>
      <w:pPr>
        <w:spacing w:line="360" w:lineRule="auto"/>
        <w:ind w:firstLine="560" w:firstLineChars="200"/>
        <w:jc w:val="center"/>
        <w:rPr>
          <w:rFonts w:ascii="仿宋_GB2312" w:hAnsi="宋体" w:eastAsia="仿宋_GB2312"/>
          <w:color w:val="auto"/>
          <w:sz w:val="28"/>
          <w:szCs w:val="28"/>
          <w:highlight w:val="none"/>
        </w:rPr>
      </w:pPr>
    </w:p>
    <w:p>
      <w:pPr>
        <w:pStyle w:val="6"/>
        <w:ind w:firstLine="560"/>
        <w:rPr>
          <w:rFonts w:ascii="仿宋_GB2312" w:eastAsia="仿宋_GB2312"/>
          <w:color w:val="auto"/>
          <w:sz w:val="28"/>
          <w:szCs w:val="28"/>
          <w:highlight w:val="none"/>
        </w:rPr>
      </w:pPr>
    </w:p>
    <w:p>
      <w:pPr>
        <w:rPr>
          <w:rFonts w:ascii="仿宋_GB2312" w:eastAsia="仿宋_GB2312"/>
          <w:b/>
          <w:color w:val="auto"/>
          <w:sz w:val="28"/>
          <w:szCs w:val="28"/>
          <w:highlight w:val="none"/>
        </w:rPr>
      </w:pPr>
    </w:p>
    <w:p>
      <w:pPr>
        <w:widowControl/>
        <w:jc w:val="left"/>
        <w:rPr>
          <w:rFonts w:hint="eastAsia" w:ascii="黑体" w:hAnsi="黑体" w:eastAsia="黑体" w:cs="黑体"/>
          <w:bCs/>
          <w:color w:val="auto"/>
          <w:sz w:val="28"/>
          <w:szCs w:val="28"/>
          <w:highlight w:val="none"/>
        </w:rPr>
      </w:pPr>
      <w:r>
        <w:rPr>
          <w:rFonts w:ascii="黑体" w:hAnsi="黑体" w:eastAsia="黑体" w:cs="黑体"/>
          <w:bCs/>
          <w:color w:val="auto"/>
          <w:sz w:val="28"/>
          <w:szCs w:val="28"/>
          <w:highlight w:val="none"/>
        </w:rPr>
        <w:br w:type="page"/>
      </w:r>
    </w:p>
    <w:p>
      <w:pPr>
        <w:pStyle w:val="4"/>
        <w:rPr>
          <w:rFonts w:ascii="仿宋_GB2312"/>
          <w:color w:val="auto"/>
          <w:highlight w:val="none"/>
        </w:rPr>
      </w:pPr>
      <w:r>
        <w:rPr>
          <w:rFonts w:hint="eastAsia"/>
          <w:color w:val="auto"/>
          <w:highlight w:val="none"/>
        </w:rPr>
        <w:t>附件</w:t>
      </w:r>
      <w:r>
        <w:rPr>
          <w:rFonts w:hint="eastAsia"/>
          <w:color w:val="auto"/>
          <w:highlight w:val="none"/>
          <w:lang w:val="en-US" w:eastAsia="zh-CN"/>
        </w:rPr>
        <w:t>4</w:t>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诚信承诺函</w:t>
      </w:r>
    </w:p>
    <w:p>
      <w:pPr>
        <w:widowControl/>
        <w:tabs>
          <w:tab w:val="left" w:pos="142"/>
        </w:tabs>
        <w:autoSpaceDE w:val="0"/>
        <w:autoSpaceDN w:val="0"/>
        <w:spacing w:line="500" w:lineRule="exact"/>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广东机场白云信息科技股份有限公司</w:t>
      </w:r>
    </w:p>
    <w:p>
      <w:pPr>
        <w:spacing w:line="360" w:lineRule="auto"/>
        <w:ind w:firstLine="420" w:firstLineChars="200"/>
        <w:rPr>
          <w:rFonts w:ascii="宋体" w:hAnsi="宋体" w:cs="宋体"/>
          <w:szCs w:val="21"/>
        </w:rPr>
      </w:pPr>
      <w:r>
        <w:rPr>
          <w:rFonts w:hint="eastAsia" w:ascii="宋体" w:hAnsi="宋体" w:cs="宋体"/>
          <w:szCs w:val="21"/>
        </w:rPr>
        <w:t>我司参与的</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）的采购活动，在研究并完全理解了项目招标</w:t>
      </w:r>
      <w:r>
        <w:rPr>
          <w:rFonts w:hint="eastAsia" w:ascii="宋体" w:hAnsi="宋体" w:cs="宋体"/>
          <w:szCs w:val="21"/>
          <w:lang w:eastAsia="zh-CN"/>
        </w:rPr>
        <w:t>（</w:t>
      </w:r>
      <w:r>
        <w:rPr>
          <w:rFonts w:hint="eastAsia" w:ascii="宋体" w:hAnsi="宋体" w:cs="宋体"/>
          <w:szCs w:val="21"/>
          <w:lang w:val="en-US" w:eastAsia="zh-CN"/>
        </w:rPr>
        <w:t>采购</w:t>
      </w:r>
      <w:r>
        <w:rPr>
          <w:rFonts w:hint="eastAsia" w:ascii="宋体" w:hAnsi="宋体" w:cs="宋体"/>
          <w:szCs w:val="21"/>
          <w:lang w:eastAsia="zh-CN"/>
        </w:rPr>
        <w:t>）</w:t>
      </w:r>
      <w:r>
        <w:rPr>
          <w:rFonts w:hint="eastAsia" w:ascii="宋体" w:hAnsi="宋体" w:cs="宋体"/>
          <w:szCs w:val="21"/>
        </w:rPr>
        <w:t>文件，我司完全同意并接受项目招标文件的所有内容，同时向贵司承诺：</w:t>
      </w:r>
    </w:p>
    <w:p>
      <w:pPr>
        <w:spacing w:line="360" w:lineRule="auto"/>
        <w:ind w:firstLine="420" w:firstLineChars="200"/>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年1月1日至今，我司（包括关联公司）与招标人</w:t>
      </w:r>
      <w:r>
        <w:rPr>
          <w:rFonts w:hint="eastAsia" w:ascii="宋体" w:hAnsi="宋体" w:cs="宋体"/>
          <w:szCs w:val="21"/>
          <w:lang w:eastAsia="zh-CN"/>
        </w:rPr>
        <w:t>（</w:t>
      </w:r>
      <w:r>
        <w:rPr>
          <w:rFonts w:hint="eastAsia" w:ascii="宋体" w:hAnsi="宋体" w:cs="宋体"/>
          <w:szCs w:val="21"/>
          <w:lang w:val="en-US" w:eastAsia="zh-CN"/>
        </w:rPr>
        <w:t>采购人</w:t>
      </w:r>
      <w:r>
        <w:rPr>
          <w:rFonts w:hint="eastAsia" w:ascii="宋体" w:hAnsi="宋体" w:cs="宋体"/>
          <w:szCs w:val="21"/>
          <w:lang w:eastAsia="zh-CN"/>
        </w:rPr>
        <w:t>）</w:t>
      </w:r>
      <w:r>
        <w:rPr>
          <w:rFonts w:hint="eastAsia" w:ascii="宋体" w:hAnsi="宋体" w:cs="宋体"/>
          <w:szCs w:val="21"/>
        </w:rPr>
        <w:t>及其子公司无发生各种诉讼、仲裁和不良投诉；</w:t>
      </w:r>
    </w:p>
    <w:p>
      <w:pPr>
        <w:spacing w:line="360" w:lineRule="auto"/>
        <w:ind w:firstLine="420" w:firstLineChars="200"/>
        <w:rPr>
          <w:rFonts w:ascii="宋体" w:hAnsi="宋体" w:cs="宋体"/>
          <w:szCs w:val="21"/>
        </w:rPr>
      </w:pPr>
      <w:r>
        <w:rPr>
          <w:rFonts w:hint="eastAsia" w:ascii="宋体" w:hAnsi="宋体" w:cs="宋体"/>
          <w:szCs w:val="21"/>
        </w:rPr>
        <w:t>2.我司在参与本次采购活动时不存在国家、省市相关法律法规和行业有关规定不得参与投标的情形，且未被列入</w:t>
      </w:r>
      <w:r>
        <w:rPr>
          <w:rFonts w:hint="eastAsia" w:ascii="宋体" w:hAnsi="宋体" w:cs="宋体"/>
          <w:szCs w:val="21"/>
          <w:lang w:val="en-US" w:eastAsia="zh-CN"/>
        </w:rPr>
        <w:t>招标人</w:t>
      </w:r>
      <w:r>
        <w:rPr>
          <w:rFonts w:hint="eastAsia" w:ascii="宋体" w:hAnsi="宋体" w:cs="宋体"/>
          <w:szCs w:val="21"/>
          <w:lang w:eastAsia="zh-CN"/>
        </w:rPr>
        <w:t>（</w:t>
      </w:r>
      <w:r>
        <w:rPr>
          <w:rFonts w:hint="eastAsia" w:ascii="宋体" w:hAnsi="宋体" w:cs="宋体"/>
          <w:szCs w:val="21"/>
        </w:rPr>
        <w:t>采购人</w:t>
      </w:r>
      <w:r>
        <w:rPr>
          <w:rFonts w:hint="eastAsia" w:ascii="宋体" w:hAnsi="宋体" w:cs="宋体"/>
          <w:szCs w:val="21"/>
          <w:lang w:eastAsia="zh-CN"/>
        </w:rPr>
        <w:t>）</w:t>
      </w:r>
      <w:r>
        <w:rPr>
          <w:rFonts w:hint="eastAsia" w:ascii="宋体" w:hAnsi="宋体" w:cs="宋体"/>
          <w:szCs w:val="21"/>
        </w:rPr>
        <w:t>管理单位的不予合作对象名单。</w:t>
      </w:r>
    </w:p>
    <w:p>
      <w:pPr>
        <w:spacing w:line="360" w:lineRule="auto"/>
        <w:ind w:firstLine="420" w:firstLineChars="200"/>
        <w:rPr>
          <w:rFonts w:ascii="宋体" w:hAnsi="宋体" w:cs="宋体"/>
          <w:szCs w:val="21"/>
        </w:rPr>
      </w:pPr>
      <w:r>
        <w:rPr>
          <w:rFonts w:hint="eastAsia" w:ascii="宋体" w:hAnsi="宋体" w:cs="宋体"/>
          <w:szCs w:val="21"/>
        </w:rPr>
        <w:t>3.在参与项目采购活动、合同履行、项目实施、运行阶段等期间严格遵守</w:t>
      </w:r>
      <w:r>
        <w:rPr>
          <w:rFonts w:hint="eastAsia" w:ascii="宋体" w:hAnsi="宋体" w:cs="宋体"/>
          <w:szCs w:val="21"/>
          <w:lang w:val="en-US" w:eastAsia="zh-CN"/>
        </w:rPr>
        <w:t>招标人</w:t>
      </w:r>
      <w:r>
        <w:rPr>
          <w:rFonts w:hint="eastAsia" w:ascii="宋体" w:hAnsi="宋体" w:cs="宋体"/>
          <w:szCs w:val="21"/>
          <w:lang w:eastAsia="zh-CN"/>
        </w:rPr>
        <w:t>（</w:t>
      </w:r>
      <w:r>
        <w:rPr>
          <w:rFonts w:hint="eastAsia" w:ascii="宋体" w:hAnsi="宋体" w:cs="宋体"/>
          <w:szCs w:val="21"/>
        </w:rPr>
        <w:t>采购人管理单位的采购合作对象有关管理规定，如有违反，我司愿按照规定被列入不予合作对象名单且接受相应处置，并愿承担由此引起的一切法律责任。</w:t>
      </w:r>
    </w:p>
    <w:p>
      <w:pPr>
        <w:spacing w:line="360" w:lineRule="auto"/>
        <w:ind w:firstLine="422" w:firstLineChars="200"/>
        <w:rPr>
          <w:rFonts w:ascii="宋体" w:hAnsi="宋体" w:cs="宋体"/>
          <w:szCs w:val="21"/>
        </w:rPr>
      </w:pPr>
      <w:r>
        <w:rPr>
          <w:rFonts w:hint="eastAsia" w:ascii="宋体" w:hAnsi="宋体" w:cs="宋体"/>
          <w:b/>
          <w:bCs/>
          <w:szCs w:val="21"/>
        </w:rPr>
        <w:t>不予合作对象名单的认定条件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lang w:val="en-US" w:eastAsia="zh-CN"/>
        </w:rPr>
        <w:t>一、</w:t>
      </w:r>
      <w:r>
        <w:rPr>
          <w:rFonts w:hint="eastAsia" w:ascii="宋体" w:hAnsi="宋体" w:cs="宋体"/>
          <w:szCs w:val="21"/>
        </w:rPr>
        <w:t>参与招投标活动的投标人或非招标采购活动的报名人，存在国家、省市相关法律法规和行业有关规定不得参与投标情形的，列入不予合作对象名单。</w:t>
      </w:r>
    </w:p>
    <w:p>
      <w:pPr>
        <w:spacing w:line="360" w:lineRule="auto"/>
        <w:ind w:firstLine="420" w:firstLineChars="200"/>
        <w:rPr>
          <w:rFonts w:ascii="宋体" w:hAnsi="宋体" w:cs="宋体"/>
          <w:szCs w:val="21"/>
        </w:rPr>
      </w:pPr>
      <w:r>
        <w:rPr>
          <w:rFonts w:hint="eastAsia" w:ascii="宋体" w:hAnsi="宋体" w:cs="宋体"/>
          <w:szCs w:val="21"/>
          <w:lang w:val="en-US" w:eastAsia="zh-CN"/>
        </w:rPr>
        <w:t>二、</w:t>
      </w:r>
      <w:r>
        <w:rPr>
          <w:rFonts w:hint="eastAsia" w:ascii="宋体" w:hAnsi="宋体" w:cs="宋体"/>
          <w:szCs w:val="21"/>
        </w:rPr>
        <w:t>参与非招标采购活动的报名人，有下列情形之一的，列入不予合作对象名单：</w:t>
      </w:r>
    </w:p>
    <w:p>
      <w:pPr>
        <w:spacing w:line="360" w:lineRule="auto"/>
        <w:ind w:firstLine="420" w:firstLineChars="200"/>
        <w:rPr>
          <w:rFonts w:ascii="宋体" w:hAnsi="宋体" w:cs="宋体"/>
          <w:szCs w:val="21"/>
        </w:rPr>
      </w:pPr>
      <w:r>
        <w:rPr>
          <w:rFonts w:hint="eastAsia" w:ascii="宋体" w:hAnsi="宋体" w:cs="宋体"/>
          <w:szCs w:val="21"/>
        </w:rPr>
        <w:t xml:space="preserve">（一）报名人通过向评审委员会成员、招标代理机构、采购人提供不正当利益谋取成交； </w:t>
      </w:r>
    </w:p>
    <w:p>
      <w:pPr>
        <w:spacing w:line="360" w:lineRule="auto"/>
        <w:ind w:firstLine="420" w:firstLineChars="200"/>
        <w:rPr>
          <w:rFonts w:ascii="宋体" w:hAnsi="宋体" w:cs="宋体"/>
          <w:szCs w:val="21"/>
        </w:rPr>
      </w:pPr>
      <w:r>
        <w:rPr>
          <w:rFonts w:hint="eastAsia" w:ascii="宋体" w:hAnsi="宋体" w:cs="宋体"/>
          <w:szCs w:val="21"/>
        </w:rPr>
        <w:t>（二）借用他人名称、资质进行挂靠，或者将自己的名称、资质借给他人挂靠进行报价，或以其他方式弄虚作假，骗取成交；</w:t>
      </w:r>
    </w:p>
    <w:p>
      <w:pPr>
        <w:spacing w:line="360" w:lineRule="auto"/>
        <w:ind w:firstLine="420" w:firstLineChars="200"/>
        <w:rPr>
          <w:rFonts w:ascii="宋体" w:hAnsi="宋体" w:cs="宋体"/>
          <w:szCs w:val="21"/>
        </w:rPr>
      </w:pPr>
      <w:r>
        <w:rPr>
          <w:rFonts w:hint="eastAsia" w:ascii="宋体" w:hAnsi="宋体" w:cs="宋体"/>
          <w:szCs w:val="21"/>
        </w:rPr>
        <w:t xml:space="preserve">（三）采取不正当手段诋毁、排挤其他合作对象； </w:t>
      </w:r>
    </w:p>
    <w:p>
      <w:pPr>
        <w:spacing w:line="360" w:lineRule="auto"/>
        <w:ind w:firstLine="420" w:firstLineChars="200"/>
        <w:rPr>
          <w:rFonts w:ascii="宋体" w:hAnsi="宋体" w:cs="宋体"/>
          <w:szCs w:val="21"/>
        </w:rPr>
      </w:pPr>
      <w:r>
        <w:rPr>
          <w:rFonts w:hint="eastAsia" w:ascii="宋体" w:hAnsi="宋体" w:cs="宋体"/>
          <w:szCs w:val="21"/>
        </w:rPr>
        <w:t xml:space="preserve">（四）在采购过程与采购人员、招标代理机构私下进行协商谈判，损害采购人或其他报名人利益； </w:t>
      </w:r>
    </w:p>
    <w:p>
      <w:pPr>
        <w:spacing w:line="360" w:lineRule="auto"/>
        <w:ind w:firstLine="420" w:firstLineChars="200"/>
        <w:rPr>
          <w:rFonts w:ascii="宋体" w:hAnsi="宋体" w:cs="宋体"/>
          <w:szCs w:val="21"/>
        </w:rPr>
      </w:pPr>
      <w:r>
        <w:rPr>
          <w:rFonts w:hint="eastAsia" w:ascii="宋体" w:hAnsi="宋体" w:cs="宋体"/>
          <w:szCs w:val="21"/>
        </w:rPr>
        <w:t>（五）报名人针对资格审查文件、采购文件或者在资格预审公示或成交候选人公示期间，故意捏造事实、伪造证明材料，恶意进行质疑，影响采购工作顺利推进；</w:t>
      </w:r>
    </w:p>
    <w:p>
      <w:pPr>
        <w:spacing w:line="360" w:lineRule="auto"/>
        <w:ind w:firstLine="420" w:firstLineChars="200"/>
        <w:rPr>
          <w:rFonts w:ascii="宋体" w:hAnsi="宋体" w:cs="宋体"/>
          <w:szCs w:val="21"/>
        </w:rPr>
      </w:pPr>
      <w:r>
        <w:rPr>
          <w:rFonts w:hint="eastAsia" w:ascii="宋体" w:hAnsi="宋体" w:cs="宋体"/>
          <w:szCs w:val="21"/>
        </w:rPr>
        <w:t>（六）存在围标串标行为；</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（七）采购人成交通知书发出后，报名人拒绝签订合同（因不可抗力原因不能履行合同的除外</w:t>
      </w:r>
      <w:r>
        <w:rPr>
          <w:rFonts w:hint="eastAsia" w:ascii="宋体" w:hAnsi="宋体" w:cs="宋体"/>
          <w:szCs w:val="21"/>
          <w:lang w:val="zh-CN"/>
        </w:rPr>
        <w:t>）</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（八）自采购公告发布之日起前三年内与采购人或采购人管理单位发生诉讼或仲裁的单位；</w:t>
      </w:r>
    </w:p>
    <w:p>
      <w:pPr>
        <w:spacing w:line="360" w:lineRule="auto"/>
        <w:ind w:firstLine="420" w:firstLineChars="200"/>
        <w:rPr>
          <w:rFonts w:ascii="宋体" w:hAnsi="宋体" w:cs="宋体"/>
          <w:szCs w:val="21"/>
          <w:highlight w:val="yellow"/>
        </w:rPr>
      </w:pPr>
      <w:r>
        <w:rPr>
          <w:rFonts w:hint="eastAsia" w:ascii="宋体" w:hAnsi="宋体" w:cs="宋体"/>
          <w:szCs w:val="21"/>
          <w:highlight w:val="yellow"/>
        </w:rPr>
        <w:t>（九）报名人发生向采购人工作人员行贿情形；</w:t>
      </w:r>
    </w:p>
    <w:p>
      <w:pPr>
        <w:spacing w:line="360" w:lineRule="auto"/>
        <w:ind w:firstLine="420" w:firstLineChars="200"/>
        <w:rPr>
          <w:rFonts w:ascii="宋体" w:hAnsi="宋体" w:cs="宋体"/>
          <w:szCs w:val="21"/>
          <w:lang w:val="zh-CN"/>
        </w:rPr>
      </w:pPr>
      <w:r>
        <w:rPr>
          <w:rFonts w:hint="eastAsia" w:ascii="宋体" w:hAnsi="宋体" w:cs="宋体"/>
          <w:szCs w:val="21"/>
        </w:rPr>
        <w:t>（十）参与非招标采购活动</w:t>
      </w:r>
      <w:r>
        <w:rPr>
          <w:rFonts w:hint="eastAsia" w:ascii="宋体" w:hAnsi="宋体" w:cs="宋体"/>
          <w:szCs w:val="21"/>
          <w:lang w:val="zh-CN"/>
        </w:rPr>
        <w:t>进行</w:t>
      </w:r>
      <w:r>
        <w:rPr>
          <w:rFonts w:hint="eastAsia" w:ascii="宋体" w:hAnsi="宋体" w:cs="宋体"/>
          <w:szCs w:val="21"/>
        </w:rPr>
        <w:t>两次（含）以上</w:t>
      </w:r>
      <w:r>
        <w:rPr>
          <w:rFonts w:hint="eastAsia" w:ascii="宋体" w:hAnsi="宋体" w:cs="宋体"/>
          <w:szCs w:val="21"/>
          <w:lang w:val="zh-CN"/>
        </w:rPr>
        <w:t>无效</w:t>
      </w:r>
      <w:r>
        <w:rPr>
          <w:rFonts w:hint="eastAsia" w:ascii="宋体" w:hAnsi="宋体" w:cs="宋体"/>
          <w:szCs w:val="21"/>
        </w:rPr>
        <w:t>异议</w:t>
      </w:r>
      <w:r>
        <w:rPr>
          <w:rFonts w:hint="eastAsia" w:ascii="宋体" w:hAnsi="宋体" w:cs="宋体"/>
          <w:szCs w:val="21"/>
          <w:lang w:val="zh-CN"/>
        </w:rPr>
        <w:t>的</w:t>
      </w:r>
      <w:r>
        <w:rPr>
          <w:rFonts w:hint="eastAsia" w:ascii="宋体" w:hAnsi="宋体" w:cs="宋体"/>
          <w:szCs w:val="21"/>
        </w:rPr>
        <w:t>合作对象，因其无效异议对采购人或采购人管理单位造成经济损失、工作滞后的，可纳入非招标采购项目不予合作名单</w:t>
      </w:r>
      <w:r>
        <w:rPr>
          <w:rFonts w:hint="eastAsia" w:ascii="宋体" w:hAnsi="宋体" w:cs="宋体"/>
          <w:szCs w:val="21"/>
          <w:lang w:val="zh-CN"/>
        </w:rPr>
        <w:t>。具有下列</w:t>
      </w:r>
      <w:r>
        <w:rPr>
          <w:rFonts w:hint="eastAsia" w:ascii="宋体" w:hAnsi="宋体" w:cs="宋体"/>
          <w:szCs w:val="21"/>
        </w:rPr>
        <w:t>情形</w:t>
      </w:r>
      <w:r>
        <w:rPr>
          <w:rFonts w:hint="eastAsia" w:ascii="宋体" w:hAnsi="宋体" w:cs="宋体"/>
          <w:szCs w:val="21"/>
          <w:lang w:val="zh-CN"/>
        </w:rPr>
        <w:t>之一的，应视为无效</w:t>
      </w:r>
      <w:r>
        <w:rPr>
          <w:rFonts w:hint="eastAsia" w:ascii="宋体" w:hAnsi="宋体" w:cs="宋体"/>
          <w:szCs w:val="21"/>
        </w:rPr>
        <w:t>异议</w:t>
      </w:r>
      <w:r>
        <w:rPr>
          <w:rFonts w:hint="eastAsia" w:ascii="宋体" w:hAnsi="宋体" w:cs="宋体"/>
          <w:szCs w:val="21"/>
          <w:lang w:val="zh-CN"/>
        </w:rPr>
        <w:t>：</w:t>
      </w:r>
    </w:p>
    <w:p>
      <w:pPr>
        <w:spacing w:line="360" w:lineRule="auto"/>
        <w:ind w:firstLine="420" w:firstLineChars="200"/>
        <w:rPr>
          <w:rFonts w:ascii="宋体" w:hAnsi="宋体" w:cs="宋体"/>
          <w:szCs w:val="21"/>
          <w:lang w:val="zh-CN"/>
        </w:rPr>
      </w:pPr>
      <w:r>
        <w:rPr>
          <w:rFonts w:hint="eastAsia" w:ascii="宋体" w:hAnsi="宋体" w:cs="宋体"/>
          <w:szCs w:val="21"/>
        </w:rPr>
        <w:t>1.异议</w:t>
      </w:r>
      <w:r>
        <w:rPr>
          <w:rFonts w:hint="eastAsia" w:ascii="宋体" w:hAnsi="宋体" w:cs="宋体"/>
          <w:szCs w:val="21"/>
          <w:lang w:val="zh-CN"/>
        </w:rPr>
        <w:t>主体不是项目参与合作</w:t>
      </w:r>
      <w:r>
        <w:rPr>
          <w:rFonts w:hint="eastAsia" w:ascii="宋体" w:hAnsi="宋体" w:cs="宋体"/>
          <w:szCs w:val="21"/>
        </w:rPr>
        <w:t>对象或</w:t>
      </w:r>
      <w:r>
        <w:rPr>
          <w:rFonts w:hint="eastAsia" w:ascii="宋体" w:hAnsi="宋体" w:cs="宋体"/>
          <w:szCs w:val="21"/>
          <w:lang w:val="zh-CN"/>
        </w:rPr>
        <w:t>其他利害关系人；</w:t>
      </w:r>
    </w:p>
    <w:p>
      <w:pPr>
        <w:spacing w:line="360" w:lineRule="auto"/>
        <w:ind w:firstLine="420" w:firstLineChars="200"/>
        <w:rPr>
          <w:rFonts w:ascii="宋体" w:hAnsi="宋体" w:cs="宋体"/>
          <w:szCs w:val="21"/>
          <w:lang w:val="zh-CN"/>
        </w:rPr>
      </w:pPr>
      <w:r>
        <w:rPr>
          <w:rFonts w:hint="eastAsia" w:ascii="宋体" w:hAnsi="宋体" w:cs="宋体"/>
          <w:szCs w:val="21"/>
        </w:rPr>
        <w:t>2.合作对象是法人的，异议书必须由其法定代表人或者授权代表签字并盖章；其他组织或者自然人投诉的，异议书必须由其主要负责人或者投诉人本人签字，并附有效身份证明复印件</w:t>
      </w:r>
      <w:r>
        <w:rPr>
          <w:rFonts w:hint="eastAsia" w:ascii="宋体" w:hAnsi="宋体" w:cs="宋体"/>
          <w:szCs w:val="21"/>
          <w:lang w:val="zh-CN"/>
        </w:rPr>
        <w:t>；</w:t>
      </w:r>
    </w:p>
    <w:p>
      <w:pPr>
        <w:spacing w:line="360" w:lineRule="auto"/>
        <w:ind w:firstLine="420" w:firstLineChars="200"/>
        <w:rPr>
          <w:rFonts w:ascii="宋体" w:hAnsi="宋体" w:cs="宋体"/>
          <w:szCs w:val="21"/>
          <w:lang w:val="zh-CN"/>
        </w:rPr>
      </w:pPr>
      <w:r>
        <w:rPr>
          <w:rFonts w:hint="eastAsia" w:ascii="宋体" w:hAnsi="宋体" w:cs="宋体"/>
          <w:szCs w:val="21"/>
        </w:rPr>
        <w:t>3.合作对象</w:t>
      </w:r>
      <w:r>
        <w:rPr>
          <w:rFonts w:hint="eastAsia" w:ascii="宋体" w:hAnsi="宋体" w:cs="宋体"/>
          <w:szCs w:val="21"/>
          <w:lang w:val="zh-CN"/>
        </w:rPr>
        <w:t>未提供必要的证明材料和明确</w:t>
      </w:r>
      <w:r>
        <w:rPr>
          <w:rFonts w:hint="eastAsia" w:ascii="宋体" w:hAnsi="宋体" w:cs="宋体"/>
          <w:szCs w:val="21"/>
        </w:rPr>
        <w:t>的</w:t>
      </w:r>
      <w:r>
        <w:rPr>
          <w:rFonts w:hint="eastAsia" w:ascii="宋体" w:hAnsi="宋体" w:cs="宋体"/>
          <w:szCs w:val="21"/>
          <w:lang w:val="zh-CN"/>
        </w:rPr>
        <w:t>要求；</w:t>
      </w:r>
    </w:p>
    <w:p>
      <w:pPr>
        <w:spacing w:line="360" w:lineRule="auto"/>
        <w:ind w:firstLine="420" w:firstLineChars="200"/>
        <w:rPr>
          <w:rFonts w:ascii="宋体" w:hAnsi="宋体" w:cs="宋体"/>
          <w:szCs w:val="21"/>
          <w:lang w:val="zh-CN"/>
        </w:rPr>
      </w:pPr>
      <w:r>
        <w:rPr>
          <w:rFonts w:hint="eastAsia" w:ascii="宋体" w:hAnsi="宋体" w:cs="宋体"/>
          <w:szCs w:val="21"/>
        </w:rPr>
        <w:t>4.合作对象</w:t>
      </w:r>
      <w:r>
        <w:rPr>
          <w:rFonts w:hint="eastAsia" w:ascii="宋体" w:hAnsi="宋体" w:cs="宋体"/>
          <w:szCs w:val="21"/>
          <w:lang w:val="zh-CN"/>
        </w:rPr>
        <w:t>捏造事实、伪造材料或者以非法手段取得证明材料进行</w:t>
      </w:r>
      <w:r>
        <w:rPr>
          <w:rFonts w:hint="eastAsia" w:ascii="宋体" w:hAnsi="宋体" w:cs="宋体"/>
          <w:szCs w:val="21"/>
        </w:rPr>
        <w:t>异议</w:t>
      </w:r>
      <w:r>
        <w:rPr>
          <w:rFonts w:hint="eastAsia" w:ascii="宋体" w:hAnsi="宋体" w:cs="宋体"/>
          <w:szCs w:val="21"/>
          <w:lang w:val="zh-CN"/>
        </w:rPr>
        <w:t>的，证据来源的合法性存在明显疑问，</w:t>
      </w:r>
      <w:r>
        <w:rPr>
          <w:rFonts w:hint="eastAsia" w:ascii="宋体" w:hAnsi="宋体" w:cs="宋体"/>
          <w:szCs w:val="21"/>
        </w:rPr>
        <w:t>合作对象</w:t>
      </w:r>
      <w:r>
        <w:rPr>
          <w:rFonts w:hint="eastAsia" w:ascii="宋体" w:hAnsi="宋体" w:cs="宋体"/>
          <w:szCs w:val="21"/>
          <w:lang w:val="zh-CN"/>
        </w:rPr>
        <w:t>无法证明其取得方式合法的，视为以非法手段取得证明材料；</w:t>
      </w:r>
    </w:p>
    <w:p>
      <w:pPr>
        <w:spacing w:line="360" w:lineRule="auto"/>
        <w:ind w:firstLine="420" w:firstLineChars="200"/>
        <w:rPr>
          <w:rFonts w:ascii="宋体" w:hAnsi="宋体" w:cs="宋体"/>
          <w:szCs w:val="21"/>
        </w:rPr>
      </w:pPr>
      <w:r>
        <w:rPr>
          <w:rFonts w:hint="eastAsia" w:ascii="宋体" w:hAnsi="宋体" w:cs="宋体"/>
          <w:szCs w:val="21"/>
        </w:rPr>
        <w:t>5.其他属无效异议的情形。</w:t>
      </w:r>
    </w:p>
    <w:p>
      <w:pPr>
        <w:spacing w:line="360" w:lineRule="auto"/>
        <w:ind w:firstLine="420" w:firstLineChars="200"/>
        <w:rPr>
          <w:rFonts w:ascii="宋体" w:hAnsi="宋体" w:cs="宋体"/>
          <w:szCs w:val="21"/>
        </w:rPr>
      </w:pPr>
      <w:r>
        <w:rPr>
          <w:rFonts w:hint="eastAsia" w:ascii="宋体" w:hAnsi="宋体" w:cs="宋体"/>
          <w:szCs w:val="21"/>
          <w:lang w:val="en-US" w:eastAsia="zh-CN"/>
        </w:rPr>
        <w:t>三、</w:t>
      </w:r>
      <w:r>
        <w:rPr>
          <w:rFonts w:hint="eastAsia" w:ascii="宋体" w:hAnsi="宋体" w:cs="宋体"/>
          <w:szCs w:val="21"/>
        </w:rPr>
        <w:t xml:space="preserve">在合同履行，项目实施、运行阶段，有下列情形之一的，列入不予合作对象名单： </w:t>
      </w:r>
    </w:p>
    <w:p>
      <w:pPr>
        <w:spacing w:line="360" w:lineRule="auto"/>
        <w:ind w:firstLine="420" w:firstLineChars="200"/>
        <w:rPr>
          <w:rFonts w:ascii="宋体" w:hAnsi="宋体" w:cs="宋体"/>
          <w:szCs w:val="21"/>
        </w:rPr>
      </w:pPr>
      <w:r>
        <w:rPr>
          <w:rFonts w:hint="eastAsia" w:ascii="宋体" w:hAnsi="宋体" w:cs="宋体"/>
          <w:szCs w:val="21"/>
        </w:rPr>
        <w:t>（一）不按采购文件要求，投标文件或报价文件承诺的条件与采购人及采购人管理单位签订合同，或在合同签订中存在欺诈情形，违反采购文件规定，对采购人或采购人管理单位不利；</w:t>
      </w:r>
    </w:p>
    <w:p>
      <w:pPr>
        <w:spacing w:line="360" w:lineRule="auto"/>
        <w:ind w:firstLine="420" w:firstLineChars="200"/>
        <w:rPr>
          <w:rFonts w:ascii="宋体" w:hAnsi="宋体" w:cs="宋体"/>
          <w:szCs w:val="21"/>
        </w:rPr>
      </w:pPr>
      <w:r>
        <w:rPr>
          <w:rFonts w:hint="eastAsia" w:ascii="宋体" w:hAnsi="宋体" w:cs="宋体"/>
          <w:szCs w:val="21"/>
        </w:rPr>
        <w:t>（二）违反合同约定，将承揽项目转包或违法分包给他人；</w:t>
      </w:r>
    </w:p>
    <w:p>
      <w:pPr>
        <w:spacing w:line="360" w:lineRule="auto"/>
        <w:ind w:firstLine="420" w:firstLineChars="200"/>
        <w:rPr>
          <w:rFonts w:ascii="宋体" w:hAnsi="宋体" w:cs="宋体"/>
          <w:szCs w:val="21"/>
        </w:rPr>
      </w:pPr>
      <w:r>
        <w:rPr>
          <w:rFonts w:hint="eastAsia" w:ascii="宋体" w:hAnsi="宋体" w:cs="宋体"/>
          <w:szCs w:val="21"/>
        </w:rPr>
        <w:t>（三）因合作对象责任原因连续发生不安全事件、事故或造成恶劣不良影响；</w:t>
      </w:r>
    </w:p>
    <w:p>
      <w:pPr>
        <w:spacing w:line="360" w:lineRule="auto"/>
        <w:ind w:firstLine="420" w:firstLineChars="200"/>
        <w:rPr>
          <w:rFonts w:ascii="宋体" w:hAnsi="宋体" w:cs="宋体"/>
          <w:szCs w:val="21"/>
        </w:rPr>
      </w:pPr>
      <w:r>
        <w:rPr>
          <w:rFonts w:hint="eastAsia" w:ascii="宋体" w:hAnsi="宋体" w:cs="宋体"/>
          <w:szCs w:val="21"/>
        </w:rPr>
        <w:t>（四）使用的设备、材料以次充好或提供与合同不符的假冒伪劣产品等降低质量情形或造成不良影响；</w:t>
      </w:r>
    </w:p>
    <w:p>
      <w:pPr>
        <w:spacing w:line="360" w:lineRule="auto"/>
        <w:ind w:firstLine="420" w:firstLineChars="200"/>
        <w:rPr>
          <w:rFonts w:ascii="宋体" w:hAnsi="宋体" w:cs="宋体"/>
          <w:szCs w:val="21"/>
        </w:rPr>
      </w:pPr>
      <w:r>
        <w:rPr>
          <w:rFonts w:hint="eastAsia" w:ascii="宋体" w:hAnsi="宋体" w:cs="宋体"/>
          <w:szCs w:val="21"/>
        </w:rPr>
        <w:t>（五）因环保、噪音问题造成社会恶劣影响；</w:t>
      </w:r>
    </w:p>
    <w:p>
      <w:pPr>
        <w:spacing w:line="360" w:lineRule="auto"/>
        <w:ind w:firstLine="420" w:firstLineChars="200"/>
        <w:rPr>
          <w:rFonts w:ascii="宋体" w:hAnsi="宋体" w:cs="宋体"/>
          <w:szCs w:val="21"/>
        </w:rPr>
      </w:pPr>
      <w:r>
        <w:rPr>
          <w:rFonts w:hint="eastAsia" w:ascii="宋体" w:hAnsi="宋体" w:cs="宋体"/>
          <w:szCs w:val="21"/>
        </w:rPr>
        <w:t>（六）拖欠农民工工资，造成恶劣影响的，或发生上访维稳事件，或导致采购人或采购人管理单位垫付农民工工资；</w:t>
      </w:r>
    </w:p>
    <w:p>
      <w:pPr>
        <w:spacing w:line="360" w:lineRule="auto"/>
        <w:ind w:firstLine="420" w:firstLineChars="200"/>
        <w:rPr>
          <w:rFonts w:ascii="宋体" w:hAnsi="宋体" w:cs="宋体"/>
          <w:szCs w:val="21"/>
        </w:rPr>
      </w:pPr>
      <w:r>
        <w:rPr>
          <w:rFonts w:hint="eastAsia" w:ascii="宋体" w:hAnsi="宋体" w:cs="宋体"/>
          <w:szCs w:val="21"/>
        </w:rPr>
        <w:t>（七）虚报工程量或设备、材料结算量，拒不接受第三方咨询单位按合同约定审定的工程造价，设备、材料数量，造成工程延误、设备材料到货期延误、结算滞后；</w:t>
      </w:r>
    </w:p>
    <w:p>
      <w:pPr>
        <w:spacing w:line="360" w:lineRule="auto"/>
        <w:ind w:firstLine="420" w:firstLineChars="200"/>
        <w:rPr>
          <w:rFonts w:ascii="宋体" w:hAnsi="宋体" w:cs="宋体"/>
          <w:szCs w:val="21"/>
        </w:rPr>
      </w:pPr>
      <w:r>
        <w:rPr>
          <w:rFonts w:hint="eastAsia" w:ascii="宋体" w:hAnsi="宋体" w:cs="宋体"/>
          <w:szCs w:val="21"/>
        </w:rPr>
        <w:t>（八）拒绝履行合同主要条款，造成合同无法正常履约；</w:t>
      </w:r>
    </w:p>
    <w:p>
      <w:pPr>
        <w:spacing w:line="360" w:lineRule="auto"/>
        <w:ind w:firstLine="420" w:firstLineChars="200"/>
        <w:rPr>
          <w:rFonts w:ascii="宋体" w:hAnsi="宋体" w:cs="宋体"/>
          <w:szCs w:val="21"/>
        </w:rPr>
      </w:pPr>
      <w:r>
        <w:rPr>
          <w:rFonts w:hint="eastAsia" w:ascii="宋体" w:hAnsi="宋体" w:cs="宋体"/>
          <w:szCs w:val="21"/>
        </w:rPr>
        <w:t>（九）因严重违约情形被采购人依法解除合同；</w:t>
      </w:r>
    </w:p>
    <w:p>
      <w:pPr>
        <w:spacing w:line="360" w:lineRule="auto"/>
        <w:ind w:firstLine="420" w:firstLineChars="200"/>
        <w:rPr>
          <w:rFonts w:ascii="宋体" w:hAnsi="宋体"/>
          <w:sz w:val="24"/>
          <w:highlight w:val="yellow"/>
        </w:rPr>
      </w:pPr>
      <w:r>
        <w:rPr>
          <w:rFonts w:hint="eastAsia" w:ascii="宋体" w:hAnsi="宋体" w:cs="宋体"/>
          <w:szCs w:val="21"/>
          <w:highlight w:val="yellow"/>
        </w:rPr>
        <w:t>（十）存在向采购人或采购人管理单位相关人员行贿等不廉洁情形。</w:t>
      </w:r>
    </w:p>
    <w:p>
      <w:pPr>
        <w:spacing w:line="360" w:lineRule="auto"/>
        <w:rPr>
          <w:rFonts w:ascii="宋体" w:hAnsi="宋体"/>
          <w:b/>
          <w:sz w:val="24"/>
        </w:rPr>
      </w:pPr>
      <w:r>
        <w:rPr>
          <w:rFonts w:hint="eastAsia" w:ascii="宋体" w:hAnsi="宋体"/>
          <w:b/>
          <w:sz w:val="24"/>
        </w:rPr>
        <w:t>备注：本承诺函必须提供且内容不得擅自删改，否则视为无效投标</w:t>
      </w:r>
      <w:r>
        <w:rPr>
          <w:rFonts w:hint="eastAsia" w:ascii="宋体" w:hAnsi="宋体"/>
          <w:b/>
          <w:sz w:val="24"/>
          <w:lang w:eastAsia="zh-CN"/>
        </w:rPr>
        <w:t>（</w:t>
      </w:r>
      <w:r>
        <w:rPr>
          <w:rFonts w:hint="eastAsia" w:ascii="宋体" w:hAnsi="宋体"/>
          <w:b/>
          <w:sz w:val="24"/>
          <w:lang w:val="en-US" w:eastAsia="zh-CN"/>
        </w:rPr>
        <w:t>报价</w:t>
      </w:r>
      <w:r>
        <w:rPr>
          <w:rFonts w:hint="eastAsia" w:ascii="宋体" w:hAnsi="宋体"/>
          <w:b/>
          <w:sz w:val="24"/>
          <w:lang w:eastAsia="zh-CN"/>
        </w:rPr>
        <w:t>）</w:t>
      </w:r>
      <w:r>
        <w:rPr>
          <w:rFonts w:hint="eastAsia" w:ascii="宋体" w:hAnsi="宋体"/>
          <w:b/>
          <w:sz w:val="24"/>
        </w:rPr>
        <w:t>。</w:t>
      </w:r>
    </w:p>
    <w:p>
      <w:pPr>
        <w:spacing w:line="360" w:lineRule="auto"/>
        <w:rPr>
          <w:rFonts w:ascii="宋体" w:hAnsi="宋体"/>
          <w:sz w:val="24"/>
        </w:rPr>
      </w:pPr>
    </w:p>
    <w:p>
      <w:pPr>
        <w:snapToGrid w:val="0"/>
        <w:spacing w:line="360" w:lineRule="auto"/>
        <w:ind w:firstLine="496" w:firstLineChars="200"/>
        <w:rPr>
          <w:rFonts w:hint="eastAsia" w:ascii="宋体" w:hAnsi="宋体"/>
          <w:spacing w:val="4"/>
          <w:sz w:val="24"/>
          <w:u w:val="single"/>
        </w:rPr>
      </w:pPr>
      <w:r>
        <w:rPr>
          <w:rFonts w:hint="eastAsia" w:ascii="宋体" w:hAnsi="宋体"/>
          <w:spacing w:val="4"/>
          <w:sz w:val="24"/>
        </w:rPr>
        <w:t>投标人</w:t>
      </w:r>
      <w:r>
        <w:rPr>
          <w:rFonts w:hint="eastAsia" w:ascii="宋体" w:hAnsi="宋体"/>
          <w:spacing w:val="4"/>
          <w:sz w:val="24"/>
          <w:lang w:eastAsia="zh-CN"/>
        </w:rPr>
        <w:t>（</w:t>
      </w:r>
      <w:r>
        <w:rPr>
          <w:rFonts w:hint="eastAsia" w:ascii="宋体" w:hAnsi="宋体"/>
          <w:spacing w:val="4"/>
          <w:sz w:val="24"/>
          <w:lang w:val="en-US" w:eastAsia="zh-CN"/>
        </w:rPr>
        <w:t>报价人</w:t>
      </w:r>
      <w:r>
        <w:rPr>
          <w:rFonts w:hint="eastAsia" w:ascii="宋体" w:hAnsi="宋体"/>
          <w:spacing w:val="4"/>
          <w:sz w:val="24"/>
          <w:lang w:eastAsia="zh-CN"/>
        </w:rPr>
        <w:t>）</w:t>
      </w:r>
      <w:r>
        <w:rPr>
          <w:rFonts w:hint="eastAsia" w:ascii="宋体" w:hAnsi="宋体"/>
          <w:spacing w:val="4"/>
          <w:sz w:val="24"/>
        </w:rPr>
        <w:t>名称：</w:t>
      </w:r>
      <w:r>
        <w:rPr>
          <w:rFonts w:hint="eastAsia" w:ascii="宋体" w:hAnsi="宋体"/>
          <w:spacing w:val="4"/>
          <w:sz w:val="24"/>
          <w:u w:val="single"/>
        </w:rPr>
        <w:t xml:space="preserve">  </w:t>
      </w:r>
    </w:p>
    <w:p>
      <w:pPr>
        <w:snapToGrid w:val="0"/>
        <w:spacing w:line="360" w:lineRule="auto"/>
        <w:ind w:firstLine="496" w:firstLineChars="200"/>
        <w:rPr>
          <w:rFonts w:hint="eastAsia" w:ascii="宋体" w:hAnsi="宋体"/>
          <w:spacing w:val="4"/>
          <w:sz w:val="24"/>
        </w:rPr>
      </w:pPr>
      <w:r>
        <w:rPr>
          <w:rFonts w:hint="eastAsia" w:ascii="宋体" w:hAnsi="宋体"/>
          <w:spacing w:val="4"/>
          <w:sz w:val="24"/>
          <w:u w:val="single"/>
        </w:rPr>
        <w:t xml:space="preserve">                           </w:t>
      </w:r>
    </w:p>
    <w:p>
      <w:pPr>
        <w:snapToGrid w:val="0"/>
        <w:spacing w:line="360" w:lineRule="auto"/>
        <w:ind w:firstLine="496" w:firstLineChars="200"/>
        <w:rPr>
          <w:rFonts w:ascii="宋体" w:hAnsi="宋体"/>
          <w:sz w:val="24"/>
          <w:u w:val="single"/>
        </w:rPr>
      </w:pPr>
      <w:r>
        <w:rPr>
          <w:rFonts w:hint="eastAsia" w:ascii="宋体" w:hAnsi="宋体"/>
          <w:spacing w:val="4"/>
          <w:sz w:val="24"/>
        </w:rPr>
        <w:t>投标人</w:t>
      </w:r>
      <w:r>
        <w:rPr>
          <w:rFonts w:hint="eastAsia" w:ascii="宋体" w:hAnsi="宋体"/>
          <w:spacing w:val="4"/>
          <w:sz w:val="24"/>
          <w:lang w:eastAsia="zh-CN"/>
        </w:rPr>
        <w:t>（</w:t>
      </w:r>
      <w:r>
        <w:rPr>
          <w:rFonts w:hint="eastAsia" w:ascii="宋体" w:hAnsi="宋体"/>
          <w:spacing w:val="4"/>
          <w:sz w:val="24"/>
          <w:lang w:val="en-US" w:eastAsia="zh-CN"/>
        </w:rPr>
        <w:t>报价人</w:t>
      </w:r>
      <w:r>
        <w:rPr>
          <w:rFonts w:hint="eastAsia" w:ascii="宋体" w:hAnsi="宋体"/>
          <w:spacing w:val="4"/>
          <w:sz w:val="24"/>
          <w:lang w:eastAsia="zh-CN"/>
        </w:rPr>
        <w:t>）</w:t>
      </w:r>
      <w:r>
        <w:rPr>
          <w:rFonts w:hint="eastAsia" w:ascii="宋体" w:hAnsi="宋体"/>
          <w:spacing w:val="4"/>
          <w:sz w:val="24"/>
        </w:rPr>
        <w:t>公章：</w:t>
      </w:r>
      <w:r>
        <w:rPr>
          <w:rFonts w:hint="eastAsia" w:ascii="宋体" w:hAnsi="宋体"/>
          <w:spacing w:val="4"/>
          <w:sz w:val="24"/>
          <w:u w:val="single"/>
        </w:rPr>
        <w:t xml:space="preserve">                             </w:t>
      </w:r>
    </w:p>
    <w:p>
      <w:pPr>
        <w:snapToGrid w:val="0"/>
        <w:spacing w:line="360" w:lineRule="auto"/>
        <w:ind w:firstLine="494" w:firstLineChars="206"/>
        <w:rPr>
          <w:rFonts w:hint="eastAsia" w:ascii="宋体" w:hAnsi="宋体"/>
          <w:sz w:val="24"/>
        </w:rPr>
      </w:pPr>
    </w:p>
    <w:p>
      <w:pPr>
        <w:snapToGrid w:val="0"/>
        <w:spacing w:line="360" w:lineRule="auto"/>
        <w:ind w:firstLine="494" w:firstLineChars="206"/>
      </w:pPr>
      <w:r>
        <w:rPr>
          <w:rFonts w:hint="eastAsia" w:ascii="宋体" w:hAnsi="宋体"/>
          <w:sz w:val="24"/>
        </w:rPr>
        <w:t>法定代表人或投标人授权代表（签名或盖章）：</w:t>
      </w:r>
      <w:r>
        <w:rPr>
          <w:rFonts w:hint="eastAsia" w:ascii="宋体" w:hAnsi="宋体"/>
          <w:sz w:val="24"/>
          <w:u w:val="single"/>
        </w:rPr>
        <w:t xml:space="preserve">   </w:t>
      </w:r>
      <w:r>
        <w:rPr>
          <w:rFonts w:hint="eastAsia" w:ascii="宋体" w:hAnsi="宋体"/>
          <w:spacing w:val="4"/>
          <w:sz w:val="24"/>
          <w:u w:val="single"/>
        </w:rPr>
        <w:t xml:space="preserve">              </w:t>
      </w:r>
      <w:r>
        <w:rPr>
          <w:rFonts w:hint="eastAsia" w:ascii="宋体" w:hAnsi="宋体"/>
          <w:sz w:val="24"/>
        </w:rPr>
        <w:t>日期：</w:t>
      </w:r>
    </w:p>
    <w:p>
      <w:pPr>
        <w:pStyle w:val="2"/>
        <w:ind w:left="420"/>
        <w:rPr>
          <w:color w:val="auto"/>
          <w:highlight w:val="none"/>
        </w:rPr>
      </w:pPr>
    </w:p>
    <w:p>
      <w:pPr>
        <w:widowControl/>
        <w:tabs>
          <w:tab w:val="left" w:pos="142"/>
        </w:tabs>
        <w:autoSpaceDE w:val="0"/>
        <w:autoSpaceDN w:val="0"/>
        <w:spacing w:line="288" w:lineRule="auto"/>
        <w:textAlignment w:val="bottom"/>
        <w:rPr>
          <w:rFonts w:ascii="仿宋_GB2312" w:eastAsia="仿宋_GB2312"/>
          <w:bCs/>
          <w:color w:val="auto"/>
          <w:sz w:val="24"/>
          <w:szCs w:val="24"/>
          <w:highlight w:val="none"/>
        </w:rPr>
      </w:pPr>
      <w:r>
        <w:rPr>
          <w:rFonts w:hint="eastAsia" w:ascii="仿宋_GB2312" w:eastAsia="仿宋_GB2312"/>
          <w:bCs/>
          <w:color w:val="auto"/>
          <w:sz w:val="24"/>
          <w:szCs w:val="24"/>
          <w:highlight w:val="none"/>
        </w:rPr>
        <w:t>附件4.1</w:t>
      </w:r>
    </w:p>
    <w:p>
      <w:pPr>
        <w:pStyle w:val="2"/>
        <w:ind w:left="420"/>
        <w:rPr>
          <w:color w:val="auto"/>
          <w:highlight w:val="none"/>
        </w:rPr>
      </w:pPr>
    </w:p>
    <w:p>
      <w:pPr>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国家企业信用信息公示系统网站（www.gsxt.gov.cn）截图</w:t>
      </w:r>
    </w:p>
    <w:p>
      <w:pPr>
        <w:rPr>
          <w:color w:val="auto"/>
          <w:highlight w:val="none"/>
        </w:rPr>
      </w:pPr>
      <w:r>
        <w:rPr>
          <w:color w:val="auto"/>
          <w:highlight w:val="none"/>
        </w:rPr>
        <w:drawing>
          <wp:inline distT="0" distB="0" distL="0" distR="0">
            <wp:extent cx="5354320" cy="4006215"/>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54320" cy="4006215"/>
                    </a:xfrm>
                    <a:prstGeom prst="rect">
                      <a:avLst/>
                    </a:prstGeom>
                    <a:noFill/>
                    <a:ln>
                      <a:noFill/>
                    </a:ln>
                  </pic:spPr>
                </pic:pic>
              </a:graphicData>
            </a:graphic>
          </wp:inline>
        </w:drawing>
      </w:r>
    </w:p>
    <w:p>
      <w:pPr>
        <w:pStyle w:val="2"/>
        <w:ind w:left="420"/>
        <w:rPr>
          <w:color w:val="auto"/>
          <w:highlight w:val="none"/>
        </w:rPr>
      </w:pPr>
    </w:p>
    <w:p>
      <w:pPr>
        <w:widowControl/>
        <w:tabs>
          <w:tab w:val="left" w:pos="142"/>
        </w:tabs>
        <w:autoSpaceDE w:val="0"/>
        <w:autoSpaceDN w:val="0"/>
        <w:spacing w:line="288" w:lineRule="auto"/>
        <w:textAlignment w:val="bottom"/>
        <w:rPr>
          <w:rFonts w:ascii="仿宋_GB2312" w:eastAsia="仿宋_GB2312"/>
          <w:bCs/>
          <w:color w:val="auto"/>
          <w:szCs w:val="21"/>
          <w:highlight w:val="none"/>
        </w:rPr>
      </w:pPr>
      <w:r>
        <w:rPr>
          <w:color w:val="auto"/>
          <w:highlight w:val="none"/>
        </w:rPr>
        <w:drawing>
          <wp:inline distT="0" distB="0" distL="0" distR="0">
            <wp:extent cx="5549900" cy="320294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9900" cy="3202940"/>
                    </a:xfrm>
                    <a:prstGeom prst="rect">
                      <a:avLst/>
                    </a:prstGeom>
                    <a:noFill/>
                    <a:ln>
                      <a:noFill/>
                    </a:ln>
                  </pic:spPr>
                </pic:pic>
              </a:graphicData>
            </a:graphic>
          </wp:inline>
        </w:drawing>
      </w:r>
      <w:r>
        <w:rPr>
          <w:rFonts w:ascii="宋体" w:hAnsi="宋体"/>
          <w:b/>
          <w:color w:val="auto"/>
          <w:sz w:val="32"/>
          <w:szCs w:val="32"/>
          <w:highlight w:val="none"/>
        </w:rPr>
        <w:br w:type="page"/>
      </w:r>
      <w:r>
        <w:rPr>
          <w:rFonts w:hint="eastAsia" w:ascii="仿宋_GB2312" w:eastAsia="仿宋_GB2312"/>
          <w:bCs/>
          <w:color w:val="auto"/>
          <w:sz w:val="24"/>
          <w:szCs w:val="24"/>
          <w:highlight w:val="none"/>
        </w:rPr>
        <w:t>附件4.2</w:t>
      </w:r>
    </w:p>
    <w:p>
      <w:pPr>
        <w:snapToGrid w:val="0"/>
        <w:rPr>
          <w:rFonts w:ascii="宋体" w:hAnsi="宋体"/>
          <w:b/>
          <w:color w:val="auto"/>
          <w:sz w:val="32"/>
          <w:szCs w:val="32"/>
          <w:highlight w:val="none"/>
        </w:rPr>
      </w:pPr>
    </w:p>
    <w:p>
      <w:pPr>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“信用中国”网站（www.creditchina.gov.cn）截图</w:t>
      </w:r>
    </w:p>
    <w:p>
      <w:pPr>
        <w:rPr>
          <w:color w:val="auto"/>
          <w:highlight w:val="none"/>
        </w:rPr>
      </w:pPr>
      <w:r>
        <w:rPr>
          <w:rFonts w:ascii="宋体" w:hAnsi="宋体" w:eastAsia="宋体" w:cs="宋体"/>
          <w:color w:val="auto"/>
          <w:sz w:val="24"/>
          <w:szCs w:val="24"/>
          <w:highlight w:val="none"/>
        </w:rPr>
        <w:drawing>
          <wp:inline distT="0" distB="0" distL="114300" distR="114300">
            <wp:extent cx="5543550" cy="4739005"/>
            <wp:effectExtent l="0" t="0" r="3810" b="63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3"/>
                    <a:stretch>
                      <a:fillRect/>
                    </a:stretch>
                  </pic:blipFill>
                  <pic:spPr>
                    <a:xfrm>
                      <a:off x="0" y="0"/>
                      <a:ext cx="5543550" cy="4739005"/>
                    </a:xfrm>
                    <a:prstGeom prst="rect">
                      <a:avLst/>
                    </a:prstGeom>
                    <a:noFill/>
                    <a:ln w="9525">
                      <a:noFill/>
                    </a:ln>
                  </pic:spPr>
                </pic:pic>
              </a:graphicData>
            </a:graphic>
          </wp:inline>
        </w:drawing>
      </w:r>
    </w:p>
    <w:p>
      <w:pPr>
        <w:rPr>
          <w:color w:val="auto"/>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widowControl/>
        <w:tabs>
          <w:tab w:val="left" w:pos="142"/>
        </w:tabs>
        <w:autoSpaceDE w:val="0"/>
        <w:autoSpaceDN w:val="0"/>
        <w:spacing w:line="288" w:lineRule="auto"/>
        <w:textAlignment w:val="bottom"/>
        <w:rPr>
          <w:rFonts w:ascii="仿宋_GB2312" w:eastAsia="仿宋_GB2312"/>
          <w:bCs/>
          <w:color w:val="auto"/>
          <w:szCs w:val="21"/>
          <w:highlight w:val="none"/>
        </w:rPr>
      </w:pPr>
      <w:r>
        <w:rPr>
          <w:rFonts w:ascii="宋体" w:hAnsi="宋体"/>
          <w:b/>
          <w:color w:val="auto"/>
          <w:sz w:val="32"/>
          <w:szCs w:val="32"/>
          <w:highlight w:val="none"/>
        </w:rPr>
        <w:br w:type="page"/>
      </w:r>
      <w:r>
        <w:rPr>
          <w:rFonts w:hint="eastAsia" w:ascii="仿宋_GB2312" w:eastAsia="仿宋_GB2312"/>
          <w:bCs/>
          <w:color w:val="auto"/>
          <w:sz w:val="24"/>
          <w:szCs w:val="24"/>
          <w:highlight w:val="none"/>
        </w:rPr>
        <w:t>附件4.3</w:t>
      </w:r>
    </w:p>
    <w:p>
      <w:pPr>
        <w:snapToGrid w:val="0"/>
        <w:rPr>
          <w:rFonts w:ascii="宋体" w:hAnsi="宋体"/>
          <w:b/>
          <w:color w:val="auto"/>
          <w:sz w:val="32"/>
          <w:szCs w:val="32"/>
          <w:highlight w:val="none"/>
        </w:rPr>
      </w:pPr>
    </w:p>
    <w:p>
      <w:pPr>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“中国执行信息公开网”网站（zxgk.court.gov.cn）截图</w:t>
      </w:r>
    </w:p>
    <w:p>
      <w:pPr>
        <w:spacing w:line="312" w:lineRule="auto"/>
        <w:jc w:val="left"/>
        <w:rPr>
          <w:rFonts w:ascii="仿宋_GB2312" w:hAnsi="宋体" w:eastAsia="仿宋_GB2312"/>
          <w:color w:val="auto"/>
          <w:sz w:val="28"/>
          <w:szCs w:val="28"/>
          <w:highlight w:val="none"/>
        </w:rPr>
      </w:pPr>
      <w:r>
        <w:rPr>
          <w:color w:val="auto"/>
          <w:highlight w:val="none"/>
        </w:rPr>
        <w:drawing>
          <wp:inline distT="0" distB="0" distL="0" distR="0">
            <wp:extent cx="5274945" cy="4048760"/>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945" cy="4048760"/>
                    </a:xfrm>
                    <a:prstGeom prst="rect">
                      <a:avLst/>
                    </a:prstGeom>
                    <a:noFill/>
                    <a:ln>
                      <a:noFill/>
                    </a:ln>
                  </pic:spPr>
                </pic:pic>
              </a:graphicData>
            </a:graphic>
          </wp:inline>
        </w:drawing>
      </w: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rPr>
          <w:color w:val="auto"/>
          <w:highlight w:val="none"/>
        </w:rPr>
      </w:pPr>
    </w:p>
    <w:p>
      <w:pPr>
        <w:rPr>
          <w:color w:val="auto"/>
          <w:highlight w:val="none"/>
        </w:rPr>
      </w:pPr>
    </w:p>
    <w:p>
      <w:pPr>
        <w:pStyle w:val="21"/>
        <w:ind w:left="420"/>
        <w:rPr>
          <w:rFonts w:hint="eastAsia"/>
          <w:color w:val="auto"/>
          <w:highlight w:val="none"/>
        </w:rPr>
      </w:pPr>
    </w:p>
    <w:p>
      <w:pPr>
        <w:widowControl/>
        <w:tabs>
          <w:tab w:val="left" w:pos="142"/>
        </w:tabs>
        <w:autoSpaceDE w:val="0"/>
        <w:autoSpaceDN w:val="0"/>
        <w:spacing w:line="288" w:lineRule="auto"/>
        <w:textAlignment w:val="bottom"/>
        <w:rPr>
          <w:rFonts w:ascii="黑体" w:hAnsi="黑体" w:eastAsia="黑体" w:cs="黑体"/>
          <w:bCs/>
          <w:color w:val="auto"/>
          <w:sz w:val="28"/>
          <w:szCs w:val="28"/>
          <w:highlight w:val="none"/>
        </w:rPr>
      </w:pPr>
    </w:p>
    <w:p>
      <w:pPr>
        <w:pStyle w:val="4"/>
        <w:widowControl/>
        <w:autoSpaceDE w:val="0"/>
        <w:autoSpaceDN w:val="0"/>
        <w:spacing w:line="288" w:lineRule="auto"/>
        <w:textAlignment w:val="bottom"/>
        <w:rPr>
          <w:rFonts w:ascii="仿宋_GB2312" w:hAnsi="宋体" w:eastAsia="仿宋_GB2312"/>
          <w:color w:val="auto"/>
          <w:sz w:val="32"/>
          <w:highlight w:val="none"/>
        </w:rPr>
      </w:pPr>
      <w:r>
        <w:rPr>
          <w:rFonts w:hint="eastAsia"/>
          <w:color w:val="auto"/>
          <w:sz w:val="28"/>
          <w:szCs w:val="28"/>
          <w:highlight w:val="none"/>
        </w:rPr>
        <w:t>附件</w:t>
      </w:r>
      <w:r>
        <w:rPr>
          <w:rFonts w:hint="eastAsia"/>
          <w:color w:val="auto"/>
          <w:sz w:val="28"/>
          <w:szCs w:val="28"/>
          <w:highlight w:val="none"/>
          <w:lang w:val="en-US" w:eastAsia="zh-CN"/>
        </w:rPr>
        <w:t>5</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采购文件响应承诺书</w:t>
      </w:r>
    </w:p>
    <w:p>
      <w:pPr>
        <w:jc w:val="center"/>
        <w:rPr>
          <w:rFonts w:ascii="宋体" w:hAnsi="宋体" w:cs="宋体"/>
          <w:b/>
          <w:bCs/>
          <w:color w:val="auto"/>
          <w:sz w:val="44"/>
          <w:szCs w:val="44"/>
          <w:highlight w:val="none"/>
        </w:rPr>
      </w:pPr>
    </w:p>
    <w:p>
      <w:pPr>
        <w:spacing w:line="48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（采购人名称）</w:t>
      </w:r>
    </w:p>
    <w:p>
      <w:pPr>
        <w:spacing w:line="48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我司保证提交的</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报价文件所有内容与贵司的采购文件要求条款完全响应，特此承诺！</w:t>
      </w:r>
    </w:p>
    <w:p>
      <w:pPr>
        <w:spacing w:line="480" w:lineRule="auto"/>
        <w:ind w:firstLine="560" w:firstLineChars="200"/>
        <w:rPr>
          <w:rFonts w:ascii="仿宋_GB2312" w:hAnsi="仿宋_GB2312" w:eastAsia="仿宋_GB2312" w:cs="仿宋_GB2312"/>
          <w:color w:val="auto"/>
          <w:sz w:val="28"/>
          <w:szCs w:val="28"/>
          <w:highlight w:val="none"/>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法定代表人或授权代表签名：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1"/>
        <w:widowControl/>
        <w:jc w:val="left"/>
        <w:rPr>
          <w:color w:val="auto"/>
          <w:highlight w:val="none"/>
        </w:rPr>
      </w:pPr>
      <w:r>
        <w:rPr>
          <w:color w:val="auto"/>
          <w:highlight w:val="none"/>
        </w:rPr>
        <w:br w:type="page"/>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color w:val="auto"/>
          <w:sz w:val="28"/>
          <w:szCs w:val="28"/>
          <w:highlight w:val="none"/>
        </w:rPr>
      </w:pPr>
    </w:p>
    <w:p>
      <w:pPr>
        <w:pStyle w:val="4"/>
        <w:rPr>
          <w:color w:val="auto"/>
          <w:sz w:val="28"/>
          <w:szCs w:val="28"/>
          <w:highlight w:val="none"/>
        </w:rPr>
      </w:pPr>
      <w:r>
        <w:rPr>
          <w:rFonts w:hint="eastAsia"/>
          <w:color w:val="auto"/>
          <w:sz w:val="28"/>
          <w:szCs w:val="28"/>
          <w:highlight w:val="none"/>
        </w:rPr>
        <w:t>附件</w:t>
      </w:r>
      <w:r>
        <w:rPr>
          <w:rFonts w:hint="eastAsia"/>
          <w:color w:val="auto"/>
          <w:sz w:val="28"/>
          <w:szCs w:val="28"/>
          <w:highlight w:val="none"/>
          <w:lang w:val="en-US" w:eastAsia="zh-CN"/>
        </w:rPr>
        <w:t>6</w:t>
      </w:r>
    </w:p>
    <w:p>
      <w:pPr>
        <w:pStyle w:val="4"/>
        <w:ind w:left="640" w:hanging="640"/>
        <w:jc w:val="center"/>
        <w:rPr>
          <w:color w:val="auto"/>
          <w:sz w:val="28"/>
          <w:szCs w:val="28"/>
          <w:highlight w:val="none"/>
        </w:rPr>
      </w:pPr>
      <w:r>
        <w:rPr>
          <w:rFonts w:hint="eastAsia"/>
          <w:color w:val="auto"/>
          <w:sz w:val="28"/>
          <w:szCs w:val="28"/>
          <w:highlight w:val="none"/>
        </w:rPr>
        <w:t>符合性审查表</w:t>
      </w:r>
    </w:p>
    <w:p>
      <w:pPr>
        <w:pStyle w:val="4"/>
        <w:ind w:left="420" w:hanging="420"/>
        <w:jc w:val="center"/>
        <w:rPr>
          <w:color w:val="auto"/>
          <w:highlight w:val="none"/>
        </w:rPr>
      </w:pPr>
    </w:p>
    <w:p>
      <w:pPr>
        <w:pStyle w:val="26"/>
        <w:ind w:left="420" w:hanging="420"/>
        <w:jc w:val="center"/>
        <w:rPr>
          <w:rFonts w:hAnsi="宋体"/>
          <w:color w:val="auto"/>
          <w:highlight w:val="none"/>
        </w:rPr>
      </w:pPr>
    </w:p>
    <w:p>
      <w:pPr>
        <w:pStyle w:val="26"/>
        <w:ind w:left="420" w:hanging="420"/>
        <w:rPr>
          <w:rFonts w:hAnsi="宋体"/>
          <w:color w:val="auto"/>
          <w:highlight w:val="none"/>
        </w:rPr>
      </w:pPr>
      <w:r>
        <w:rPr>
          <w:rFonts w:hint="eastAsia" w:hAnsi="宋体"/>
          <w:color w:val="auto"/>
          <w:highlight w:val="none"/>
        </w:rPr>
        <w:t>项目名称：</w:t>
      </w:r>
    </w:p>
    <w:p>
      <w:pPr>
        <w:pStyle w:val="26"/>
        <w:ind w:left="420" w:hanging="420"/>
        <w:rPr>
          <w:rFonts w:hAnsi="宋体"/>
          <w:color w:val="auto"/>
          <w:highlight w:val="none"/>
        </w:rPr>
      </w:pPr>
      <w:r>
        <w:rPr>
          <w:rFonts w:hint="eastAsia" w:hAnsi="宋体"/>
          <w:color w:val="auto"/>
          <w:highlight w:val="none"/>
        </w:rPr>
        <w:t>项目编号：</w:t>
      </w:r>
    </w:p>
    <w:tbl>
      <w:tblPr>
        <w:tblStyle w:val="51"/>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color w:val="auto"/>
                <w:sz w:val="24"/>
                <w:szCs w:val="24"/>
                <w:highlight w:val="none"/>
              </w:rPr>
            </w:pPr>
            <w:r>
              <w:rPr>
                <w:rStyle w:val="122"/>
                <w:rFonts w:hint="default" w:ascii="宋体" w:hAnsi="宋体" w:eastAsia="宋体" w:cs="宋体"/>
                <w:color w:val="auto"/>
                <w:sz w:val="24"/>
                <w:szCs w:val="24"/>
                <w:highlight w:val="none"/>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color w:val="auto"/>
                <w:sz w:val="24"/>
                <w:szCs w:val="24"/>
                <w:highlight w:val="none"/>
              </w:rPr>
            </w:pPr>
            <w:r>
              <w:rPr>
                <w:rStyle w:val="122"/>
                <w:rFonts w:hint="default" w:ascii="宋体" w:hAnsi="宋体" w:eastAsia="宋体" w:cs="宋体"/>
                <w:color w:val="auto"/>
                <w:sz w:val="24"/>
                <w:szCs w:val="24"/>
                <w:highlight w:val="none"/>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22"/>
                <w:rFonts w:hint="default" w:ascii="宋体" w:hAnsi="宋体" w:eastAsia="宋体" w:cs="宋体"/>
                <w:color w:val="auto"/>
                <w:sz w:val="24"/>
                <w:szCs w:val="24"/>
                <w:highlight w:val="none"/>
              </w:rPr>
            </w:pPr>
            <w:r>
              <w:rPr>
                <w:rStyle w:val="122"/>
                <w:rFonts w:hint="default" w:ascii="宋体" w:hAnsi="宋体" w:eastAsia="宋体" w:cs="宋体"/>
                <w:color w:val="auto"/>
                <w:sz w:val="24"/>
                <w:szCs w:val="24"/>
                <w:highlight w:val="none"/>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4"/>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color w:val="auto"/>
                <w:sz w:val="24"/>
                <w:szCs w:val="24"/>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color w:val="auto"/>
                <w:sz w:val="24"/>
                <w:szCs w:val="24"/>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color w:val="auto"/>
                <w:sz w:val="24"/>
                <w:szCs w:val="24"/>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报价未超过采购文件规定的最高限价；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color w:val="auto"/>
                <w:sz w:val="24"/>
                <w:szCs w:val="24"/>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color w:val="auto"/>
                <w:sz w:val="24"/>
                <w:szCs w:val="24"/>
                <w:highlight w:val="none"/>
              </w:rPr>
            </w:pPr>
          </w:p>
        </w:tc>
      </w:tr>
    </w:tbl>
    <w:p>
      <w:pPr>
        <w:tabs>
          <w:tab w:val="left" w:pos="720"/>
        </w:tabs>
        <w:adjustRightInd w:val="0"/>
        <w:snapToGrid w:val="0"/>
        <w:ind w:left="630" w:hanging="630" w:hangingChars="300"/>
        <w:rPr>
          <w:rFonts w:ascii="宋体" w:hAnsi="Courier New"/>
          <w:color w:val="auto"/>
          <w:szCs w:val="21"/>
          <w:highlight w:val="none"/>
        </w:rPr>
      </w:pPr>
    </w:p>
    <w:p>
      <w:pPr>
        <w:pStyle w:val="2"/>
        <w:ind w:left="420"/>
        <w:rPr>
          <w:color w:val="auto"/>
          <w:highlight w:val="none"/>
        </w:rPr>
      </w:pPr>
    </w:p>
    <w:p>
      <w:pPr>
        <w:tabs>
          <w:tab w:val="left" w:pos="720"/>
        </w:tabs>
        <w:adjustRightInd w:val="0"/>
        <w:snapToGrid w:val="0"/>
        <w:ind w:left="630" w:hanging="630" w:hangingChars="300"/>
        <w:rPr>
          <w:rFonts w:ascii="宋体" w:hAnsi="Courier New"/>
          <w:color w:val="auto"/>
          <w:szCs w:val="21"/>
          <w:highlight w:val="none"/>
        </w:rPr>
      </w:pPr>
      <w:r>
        <w:rPr>
          <w:rFonts w:hint="eastAsia" w:ascii="宋体" w:hAnsi="Courier New"/>
          <w:color w:val="auto"/>
          <w:szCs w:val="21"/>
          <w:highlight w:val="none"/>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auto"/>
          <w:szCs w:val="21"/>
          <w:highlight w:val="none"/>
        </w:rPr>
      </w:pPr>
      <w:r>
        <w:rPr>
          <w:rFonts w:hint="eastAsia" w:ascii="宋体" w:hAnsi="Courier New"/>
          <w:color w:val="auto"/>
          <w:szCs w:val="21"/>
          <w:highlight w:val="none"/>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auto"/>
          <w:szCs w:val="21"/>
          <w:highlight w:val="none"/>
        </w:rPr>
      </w:pPr>
      <w:r>
        <w:rPr>
          <w:rFonts w:hint="eastAsia" w:ascii="宋体" w:hAnsi="Courier New"/>
          <w:color w:val="auto"/>
          <w:szCs w:val="21"/>
          <w:highlight w:val="none"/>
        </w:rPr>
        <w:t>3</w:t>
      </w:r>
      <w:r>
        <w:rPr>
          <w:rFonts w:ascii="宋体" w:hAnsi="Courier New"/>
          <w:color w:val="auto"/>
          <w:szCs w:val="21"/>
          <w:highlight w:val="none"/>
        </w:rPr>
        <w:t>.</w:t>
      </w:r>
      <w:r>
        <w:rPr>
          <w:rFonts w:hint="eastAsia" w:ascii="宋体" w:hAnsi="Courier New"/>
          <w:color w:val="auto"/>
          <w:szCs w:val="21"/>
          <w:highlight w:val="none"/>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auto"/>
          <w:szCs w:val="21"/>
          <w:highlight w:val="none"/>
        </w:rPr>
      </w:pPr>
      <w:r>
        <w:rPr>
          <w:rFonts w:hint="eastAsia" w:ascii="宋体" w:hAnsi="Courier New"/>
          <w:color w:val="auto"/>
          <w:szCs w:val="21"/>
          <w:highlight w:val="none"/>
        </w:rPr>
        <w:t>4.结论一栏应写“通过”“不通过”。</w:t>
      </w:r>
    </w:p>
    <w:p>
      <w:pPr>
        <w:widowControl/>
        <w:jc w:val="left"/>
        <w:rPr>
          <w:color w:val="auto"/>
          <w:highlight w:val="none"/>
        </w:rPr>
      </w:pPr>
      <w:r>
        <w:rPr>
          <w:color w:val="auto"/>
          <w:highlight w:val="none"/>
        </w:rPr>
        <w:br w:type="page"/>
      </w:r>
    </w:p>
    <w:p>
      <w:pPr>
        <w:pStyle w:val="4"/>
        <w:rPr>
          <w:rFonts w:hint="eastAsia"/>
          <w:color w:val="auto"/>
          <w:sz w:val="28"/>
          <w:szCs w:val="28"/>
          <w:highlight w:val="none"/>
          <w:lang w:val="en-US" w:eastAsia="zh-CN"/>
        </w:rPr>
      </w:pPr>
      <w:r>
        <w:rPr>
          <w:rFonts w:hint="eastAsia"/>
          <w:color w:val="auto"/>
          <w:sz w:val="28"/>
          <w:szCs w:val="28"/>
          <w:highlight w:val="none"/>
        </w:rPr>
        <w:t>附件</w:t>
      </w:r>
      <w:r>
        <w:rPr>
          <w:rFonts w:hint="eastAsia"/>
          <w:color w:val="auto"/>
          <w:sz w:val="28"/>
          <w:szCs w:val="28"/>
          <w:highlight w:val="none"/>
          <w:lang w:val="en-US" w:eastAsia="zh-CN"/>
        </w:rPr>
        <w:t xml:space="preserve">7            </w:t>
      </w:r>
    </w:p>
    <w:tbl>
      <w:tblPr>
        <w:tblStyle w:val="5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6"/>
        <w:gridCol w:w="867"/>
        <w:gridCol w:w="706"/>
        <w:gridCol w:w="6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类别</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项目</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lang w:val="en-US"/>
              </w:rPr>
            </w:pPr>
            <w:r>
              <w:rPr>
                <w:rFonts w:hint="eastAsia" w:ascii="仿宋" w:hAnsi="仿宋" w:eastAsia="仿宋" w:cs="仿宋"/>
                <w:b/>
                <w:bCs w:val="0"/>
                <w:i w:val="0"/>
                <w:color w:val="000000"/>
                <w:kern w:val="0"/>
                <w:sz w:val="24"/>
                <w:szCs w:val="24"/>
                <w:u w:val="none"/>
                <w:lang w:val="en-US" w:eastAsia="zh-CN" w:bidi="ar"/>
              </w:rPr>
              <w:t>分值</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商务部分（24分）</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企业信誉</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1.连续三年获得“年度纳税信用A级纳税人”，得2分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2.企业信用评级为AAA级信用企业，得1分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注：以上资质需要提供有效期内的证书复印件。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企业管理体系认证</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报价人具备企业管理体系认证证书：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1.ISO9000质量管理体系,得2分；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2.ISO14000环境管理体系，得0.5分；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3.ISO45001职业健康安全管理体系，得0.5分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注：以上资质需要提供有效期内的证书复印件。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企业资质</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报价人具有高新技术企业证书，得2分；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注：以上需要提供有效期内的证书复印件。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项目管理团队实力</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投标人的项目管理团队须具备相关资历：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1.项目负责人拥有PMP证书，得3分；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2.项目管理团队（除项目负责人外）成员拥有PMP证书或高级职称证书，每加一个得1分，最高得2分；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注：以上提供证书复印件加盖报价人公章，证书人员需提供劳动合同或最近3个月的社保证明。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同类销售业绩</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2020年1月1日起的同类销售供货合同案例：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30万元≦单项合同金额 ，每提供1个得2分；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50万元≦单项合同金额 ，每提供1个得4分；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100万元以上，每提供1个得6分。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须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如提供框架合同+多份采购订单，仅作为一个合同计算，如属于第三方合同的还需要提供最终用户（须加盖最终用户公章）和合同甲方的书面证明材料（须加盖合同甲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技术（36分）</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工期要求</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1.优于甲方要求时间备货到货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提前3天，得2分；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提前5天，得4分；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提前10天，得6分；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须出具承诺函及签订合同违约处罚条款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售后服务保障能力</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 承诺提供7X24小时电话售后服务。设备故障报修的响应时间：15分钟。若电话中无法解决，1.5个小时内到达现场维护，得2分。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 承诺质保期内免费提供无限次的系统扩充、升级方面的技术支持服务，得2分；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 承诺项目工期内免费货运达指定地点，并现场培训相关人员。得2分；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以上服务内容，每达标一条，得2分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6"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产品整体评价</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次供货设备外观设计及内部结构（包括工业设计、结构设计、外观设计、材质用料、外观配色等）与白云机场T2航站楼现用PISS系统终端设备保持一致(外观图附后，实体设备在T2航站楼三层G区位置)。提交包括并不限于关于货物：1.电气文档（布局图、电路图、接口信号图等）；2.工业设计，结构设计（生产图纸、建模文件），外观设计（工艺标注、配色、丝印、外观三维模型、外观设计六视图）。</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优得8-10分；良得5-7分；中得2-4分；差得0-1分。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实施方案</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5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提交详细的现场安装调试方案：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优评，得11-14分；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良评，得7-10分；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中评，得3-6分；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差评，得0-2分。</w:t>
            </w:r>
          </w:p>
        </w:tc>
      </w:tr>
    </w:tbl>
    <w:p>
      <w:pPr>
        <w:pStyle w:val="4"/>
        <w:ind w:firstLine="2249" w:firstLineChars="800"/>
        <w:rPr>
          <w:rFonts w:hint="eastAsia" w:ascii="宋体" w:hAnsi="宋体"/>
          <w:color w:val="auto"/>
          <w:sz w:val="28"/>
          <w:szCs w:val="28"/>
          <w:highlight w:val="none"/>
        </w:rPr>
      </w:pPr>
      <w:r>
        <w:rPr>
          <w:rFonts w:hint="eastAsia"/>
          <w:color w:val="auto"/>
          <w:sz w:val="28"/>
          <w:szCs w:val="28"/>
          <w:highlight w:val="none"/>
          <w:lang w:val="en-US" w:eastAsia="zh-CN"/>
        </w:rPr>
        <w:t xml:space="preserve"> </w:t>
      </w:r>
    </w:p>
    <w:p>
      <w:pPr>
        <w:rPr>
          <w:rFonts w:hint="default"/>
          <w:b/>
          <w:bCs/>
          <w:color w:val="auto"/>
          <w:sz w:val="24"/>
          <w:szCs w:val="24"/>
          <w:lang w:val="en-US" w:eastAsia="zh-CN"/>
        </w:rPr>
      </w:pPr>
      <w:r>
        <w:rPr>
          <w:rFonts w:hint="eastAsia"/>
          <w:b/>
          <w:bCs/>
          <w:color w:val="auto"/>
          <w:sz w:val="24"/>
          <w:szCs w:val="24"/>
          <w:lang w:val="en-US" w:eastAsia="zh-CN"/>
        </w:rPr>
        <w:t>注：PISS机外观图，实体设备在T2航站楼三层G区位置。</w:t>
      </w:r>
    </w:p>
    <w:p>
      <w:pPr>
        <w:pStyle w:val="2"/>
        <w:rPr>
          <w:rFonts w:hint="default"/>
          <w:lang w:val="en-US" w:eastAsia="zh-CN"/>
        </w:rPr>
      </w:pPr>
      <w:r>
        <w:rPr>
          <w:rFonts w:hint="default"/>
          <w:lang w:val="en-US" w:eastAsia="zh-CN"/>
        </w:rPr>
        <w:drawing>
          <wp:inline distT="0" distB="0" distL="114300" distR="114300">
            <wp:extent cx="5591175" cy="3228975"/>
            <wp:effectExtent l="0" t="0" r="1905" b="1905"/>
            <wp:docPr id="3" name="图片 3" descr="01da3195be3e7f097c3239f81d0b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da3195be3e7f097c3239f81d0bb64"/>
                    <pic:cNvPicPr>
                      <a:picLocks noChangeAspect="1"/>
                    </pic:cNvPicPr>
                  </pic:nvPicPr>
                  <pic:blipFill>
                    <a:blip r:embed="rId15"/>
                    <a:stretch>
                      <a:fillRect/>
                    </a:stretch>
                  </pic:blipFill>
                  <pic:spPr>
                    <a:xfrm>
                      <a:off x="0" y="0"/>
                      <a:ext cx="5591175" cy="3228975"/>
                    </a:xfrm>
                    <a:prstGeom prst="rect">
                      <a:avLst/>
                    </a:prstGeom>
                  </pic:spPr>
                </pic:pic>
              </a:graphicData>
            </a:graphic>
          </wp:inline>
        </w:drawing>
      </w:r>
    </w:p>
    <w:p>
      <w:pPr>
        <w:pStyle w:val="46"/>
        <w:ind w:left="0" w:leftChars="0" w:firstLine="0" w:firstLineChars="0"/>
        <w:jc w:val="both"/>
        <w:rPr>
          <w:rFonts w:hint="eastAsia"/>
          <w:lang w:val="en-US" w:eastAsia="zh-CN"/>
        </w:rPr>
      </w:pPr>
    </w:p>
    <w:p>
      <w:pPr>
        <w:pStyle w:val="4"/>
        <w:rPr>
          <w:rFonts w:hint="eastAsia" w:ascii="黑体" w:hAnsi="黑体" w:eastAsia="黑体" w:cs="黑体"/>
          <w:bCs/>
          <w:color w:val="auto"/>
          <w:sz w:val="28"/>
          <w:szCs w:val="28"/>
          <w:highlight w:val="none"/>
          <w:lang w:val="en-US" w:eastAsia="zh-CN"/>
        </w:rPr>
      </w:pPr>
      <w:r>
        <w:rPr>
          <w:rFonts w:hint="eastAsia"/>
          <w:color w:val="auto"/>
          <w:sz w:val="28"/>
          <w:szCs w:val="28"/>
          <w:highlight w:val="none"/>
          <w:lang w:val="en-US" w:eastAsia="zh-CN"/>
        </w:rPr>
        <w:t xml:space="preserve">附件8  </w:t>
      </w:r>
      <w:r>
        <w:rPr>
          <w:rFonts w:hint="eastAsia" w:ascii="黑体" w:hAnsi="黑体" w:eastAsia="黑体" w:cs="黑体"/>
          <w:bCs/>
          <w:color w:val="auto"/>
          <w:sz w:val="28"/>
          <w:szCs w:val="28"/>
          <w:highlight w:val="none"/>
          <w:lang w:val="en-US" w:eastAsia="zh-CN"/>
        </w:rPr>
        <w:t xml:space="preserve">商务技术评分索引表 </w:t>
      </w:r>
    </w:p>
    <w:tbl>
      <w:tblPr>
        <w:tblStyle w:val="5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570"/>
        <w:gridCol w:w="465"/>
        <w:gridCol w:w="4308"/>
        <w:gridCol w:w="1201"/>
        <w:gridCol w:w="747"/>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类别</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项目</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lang w:val="en-US"/>
              </w:rPr>
            </w:pPr>
            <w:r>
              <w:rPr>
                <w:rFonts w:hint="eastAsia" w:ascii="仿宋" w:hAnsi="仿宋" w:eastAsia="仿宋" w:cs="仿宋"/>
                <w:b/>
                <w:bCs w:val="0"/>
                <w:i w:val="0"/>
                <w:color w:val="000000"/>
                <w:kern w:val="0"/>
                <w:sz w:val="24"/>
                <w:szCs w:val="24"/>
                <w:u w:val="none"/>
                <w:lang w:val="en-US" w:eastAsia="zh-CN" w:bidi="ar"/>
              </w:rPr>
              <w:t>分值</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4"/>
                <w:szCs w:val="24"/>
                <w:u w:val="none"/>
              </w:rPr>
            </w:pPr>
            <w:r>
              <w:rPr>
                <w:rFonts w:hint="eastAsia" w:ascii="仿宋" w:hAnsi="仿宋" w:eastAsia="仿宋" w:cs="仿宋"/>
                <w:b/>
                <w:bCs w:val="0"/>
                <w:i w:val="0"/>
                <w:color w:val="000000"/>
                <w:kern w:val="0"/>
                <w:sz w:val="24"/>
                <w:szCs w:val="24"/>
                <w:u w:val="none"/>
                <w:lang w:val="en-US" w:eastAsia="zh-CN" w:bidi="ar"/>
              </w:rPr>
              <w:t>评分标准</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val="0"/>
                <w:i w:val="0"/>
                <w:color w:val="000000"/>
                <w:kern w:val="0"/>
                <w:sz w:val="24"/>
                <w:szCs w:val="24"/>
                <w:u w:val="none"/>
                <w:lang w:val="en-US" w:eastAsia="zh-CN" w:bidi="ar"/>
              </w:rPr>
            </w:pPr>
            <w:r>
              <w:rPr>
                <w:rFonts w:hint="eastAsia" w:ascii="仿宋" w:hAnsi="仿宋" w:eastAsia="仿宋" w:cs="仿宋"/>
                <w:b/>
                <w:color w:val="auto"/>
                <w:highlight w:val="none"/>
              </w:rPr>
              <w:t>证明材料</w:t>
            </w: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val="0"/>
                <w:i w:val="0"/>
                <w:color w:val="000000"/>
                <w:kern w:val="0"/>
                <w:sz w:val="24"/>
                <w:szCs w:val="24"/>
                <w:u w:val="none"/>
                <w:lang w:val="en-US" w:eastAsia="zh-CN" w:bidi="ar"/>
              </w:rPr>
            </w:pPr>
            <w:r>
              <w:rPr>
                <w:rFonts w:hint="eastAsia" w:ascii="仿宋" w:hAnsi="仿宋" w:eastAsia="仿宋" w:cs="仿宋"/>
                <w:b/>
                <w:color w:val="auto"/>
                <w:highlight w:val="none"/>
              </w:rPr>
              <w:t>页码</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val="0"/>
                <w:i w:val="0"/>
                <w:color w:val="000000"/>
                <w:kern w:val="0"/>
                <w:sz w:val="24"/>
                <w:szCs w:val="24"/>
                <w:u w:val="none"/>
                <w:lang w:val="en-US" w:eastAsia="zh-CN" w:bidi="ar"/>
              </w:rPr>
            </w:pPr>
            <w:r>
              <w:rPr>
                <w:rFonts w:hint="eastAsia" w:ascii="仿宋" w:hAnsi="仿宋" w:eastAsia="仿宋" w:cs="仿宋"/>
                <w:b/>
                <w:color w:val="auto"/>
                <w:highlight w:val="none"/>
              </w:rPr>
              <w:t>自评分数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商务部分（24分）</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企业信誉</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1.“年度纳税信用A级纳税人”（连续3年），得2分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2.企业信用评级为AAA级信用企业，得1分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注：以上资质需要提供有效期内的证书复印件。</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企业管理体系认证</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报价人具备企业管理体系认证证书：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1.ISO9000质量管理体系,得2分；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2.ISO14000环境管理体系，得0.5分；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3.ISO45001职业健康安全管理体系，得0.5分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最高得3分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注：以上资质需要提供有效期内的证书复印件。</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企业资质</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报价人具有高新技术企业证书，得2分；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注：以上需要提供有效期内的证书复印件。</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项目管理团队实力</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投标人的项目管理团队须具备相关资历：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1.项目负责人拥有PMP证书，得3分；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2.项目管理团队（除项目负责人外）成员拥有PMP证书或高级职称证书，每加一个得1分，最高得2分；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注：以上提供证书复印件加盖报价人公章，证书人员需提供劳动合同或最近3个月的社保证明。</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bCs/>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同类销售业绩</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2020年1月1日起的同类销售供货合同案例：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30万元≦单项合同金额 ，每提供1个得2分；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50万元≦单项合同金额 ，每提供1个得4分；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100万元以上，每提供1个得6分。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注：须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如提供框架合同+多份采购订单，仅作为一个合同计算，如属于第三方合同的还需要提供最终用户（须加盖最终用户公章）和合同甲方的书面证明材料（须加盖合同甲方公章）</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技术（36分）</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工期要求</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1.优于甲方要求时间备货到货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提前3天，得2分；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提前5天，得4分；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提前10天，得6分；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须出具承诺函及签订合同违约处罚条款</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售后服务保障能力</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 承诺提供7X24小时电话售后服务。设备故障报修的响应时间：15分钟。若电话中无法解决，1.5个小时内到达现场维护，得2分。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 承诺质保期内免费提供无限次的系统扩充、升级方面的技术支持服务，得2分；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 承诺项目工期内免费货运达指定地点，并现场培训相关人员。得2分；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以上服务内容，每达标一条，得2分</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6"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产品整体评价</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本次供货设备外观设计及内部结构（包括工业设计、结构设计、外观设计、材质用料、外观配色等）与白云机场T2航站楼现用PISS系统终端设备保持一致(外观图附后)。提交包括并不限于关于货物：1.电气文档（布局图、电路图、接口信号图等）；2.工业设计，结构设计（生产图纸、建模文件），外观设计（工艺标注、配色、丝印、外观三维模型、外观设计六视图）。</w:t>
            </w:r>
          </w:p>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优得8-10分；良得5-7分；中得2-4分；差得0-1分。</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实施方案</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24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提交详细的现场安装调试方案：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优评，得11-14分；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良评，得7-10分；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中评，得3-6分；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差评，得0-2分。</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p>
        </w:tc>
      </w:tr>
    </w:tbl>
    <w:p>
      <w:pPr>
        <w:rPr>
          <w:rFonts w:hint="eastAsia" w:ascii="黑体" w:hAnsi="黑体" w:eastAsia="黑体" w:cs="黑体"/>
          <w:bCs/>
          <w:color w:val="auto"/>
          <w:sz w:val="28"/>
          <w:szCs w:val="28"/>
          <w:highlight w:val="none"/>
          <w:lang w:val="en-US" w:eastAsia="zh-CN"/>
        </w:rPr>
      </w:pPr>
    </w:p>
    <w:p>
      <w:pPr>
        <w:pStyle w:val="2"/>
        <w:rPr>
          <w:rFonts w:hint="eastAsia"/>
          <w:lang w:val="en-US" w:eastAsia="zh-CN"/>
        </w:rPr>
      </w:pPr>
    </w:p>
    <w:p/>
    <w:p>
      <w:pPr>
        <w:pStyle w:val="6"/>
        <w:rPr>
          <w:b/>
          <w:color w:val="auto"/>
          <w:highlight w:val="none"/>
        </w:rPr>
      </w:pPr>
      <w:r>
        <w:rPr>
          <w:rFonts w:hint="eastAsia"/>
          <w:color w:val="auto"/>
          <w:highlight w:val="none"/>
        </w:rPr>
        <w:t xml:space="preserve"> </w:t>
      </w:r>
      <w:r>
        <w:rPr>
          <w:color w:val="auto"/>
          <w:highlight w:val="none"/>
        </w:rPr>
        <w:t xml:space="preserve">            </w:t>
      </w:r>
    </w:p>
    <w:p>
      <w:pPr>
        <w:rPr>
          <w:color w:val="auto"/>
          <w:highlight w:val="none"/>
        </w:rPr>
      </w:pPr>
    </w:p>
    <w:p>
      <w:pPr>
        <w:widowControl/>
        <w:jc w:val="left"/>
        <w:rPr>
          <w:rFonts w:ascii="宋体" w:hAnsi="Courier New"/>
          <w:color w:val="auto"/>
          <w:szCs w:val="21"/>
          <w:highlight w:val="none"/>
        </w:rPr>
      </w:pPr>
      <w:r>
        <w:rPr>
          <w:rFonts w:ascii="宋体" w:hAnsi="Courier New"/>
          <w:color w:val="auto"/>
          <w:szCs w:val="21"/>
          <w:highlight w:val="none"/>
        </w:rPr>
        <w:br w:type="page"/>
      </w:r>
    </w:p>
    <w:bookmarkEnd w:id="3"/>
    <w:p>
      <w:pPr>
        <w:pStyle w:val="4"/>
        <w:snapToGrid w:val="0"/>
        <w:spacing w:before="240" w:after="240" w:line="240" w:lineRule="auto"/>
        <w:jc w:val="left"/>
        <w:rPr>
          <w:color w:val="auto"/>
          <w:sz w:val="28"/>
          <w:szCs w:val="28"/>
          <w:highlight w:val="none"/>
        </w:rPr>
      </w:pPr>
      <w:bookmarkStart w:id="25" w:name="_Toc22149480"/>
      <w:bookmarkStart w:id="26" w:name="_Toc41125554"/>
      <w:bookmarkStart w:id="27" w:name="_Toc353536760"/>
      <w:bookmarkStart w:id="28" w:name="_Toc41208028"/>
      <w:bookmarkStart w:id="29" w:name="_Toc14536041"/>
      <w:bookmarkStart w:id="30" w:name="_Toc520148232"/>
      <w:bookmarkStart w:id="31" w:name="_Toc187235503"/>
      <w:bookmarkStart w:id="32" w:name="_Toc272229620"/>
      <w:bookmarkStart w:id="33" w:name="_Toc237246981"/>
      <w:bookmarkStart w:id="34" w:name="_Toc98040837"/>
      <w:bookmarkStart w:id="35" w:name="_Toc41129151"/>
      <w:bookmarkStart w:id="36" w:name="_Toc49317161"/>
      <w:r>
        <w:rPr>
          <w:rFonts w:hint="eastAsia"/>
          <w:color w:val="auto"/>
          <w:sz w:val="28"/>
          <w:szCs w:val="28"/>
          <w:highlight w:val="none"/>
        </w:rPr>
        <w:t>附件</w:t>
      </w:r>
      <w:r>
        <w:rPr>
          <w:color w:val="auto"/>
          <w:sz w:val="28"/>
          <w:szCs w:val="28"/>
          <w:highlight w:val="none"/>
        </w:rPr>
        <w:t>9</w:t>
      </w:r>
    </w:p>
    <w:p>
      <w:pPr>
        <w:jc w:val="center"/>
        <w:rPr>
          <w:b/>
          <w:color w:val="auto"/>
          <w:highlight w:val="none"/>
        </w:rPr>
      </w:pPr>
      <w:r>
        <w:rPr>
          <w:rFonts w:hint="eastAsia" w:ascii="宋体" w:hAnsi="宋体"/>
          <w:b/>
          <w:color w:val="auto"/>
          <w:sz w:val="32"/>
          <w:highlight w:val="none"/>
        </w:rPr>
        <w:t>组织机构和人员</w:t>
      </w:r>
    </w:p>
    <w:p>
      <w:pPr>
        <w:spacing w:line="360" w:lineRule="auto"/>
        <w:ind w:firstLine="410" w:firstLineChars="171"/>
        <w:rPr>
          <w:rFonts w:ascii="宋体" w:hAnsi="宋体"/>
          <w:color w:val="auto"/>
          <w:szCs w:val="21"/>
          <w:highlight w:val="none"/>
        </w:rPr>
      </w:pPr>
      <w:r>
        <w:rPr>
          <w:rFonts w:hint="eastAsia" w:ascii="宋体" w:hAnsi="宋体" w:cs="宋体"/>
          <w:color w:val="auto"/>
          <w:sz w:val="24"/>
          <w:szCs w:val="24"/>
          <w:highlight w:val="none"/>
        </w:rPr>
        <w:t>9.1</w:t>
      </w:r>
      <w:r>
        <w:rPr>
          <w:rFonts w:hint="eastAsia" w:ascii="宋体" w:hAnsi="宋体" w:cs="宋体"/>
          <w:color w:val="auto"/>
          <w:sz w:val="24"/>
          <w:szCs w:val="24"/>
          <w:highlight w:val="none"/>
        </w:rPr>
        <w:tab/>
      </w:r>
      <w:r>
        <w:rPr>
          <w:rFonts w:hint="eastAsia" w:ascii="宋体" w:hAnsi="宋体" w:cs="宋体"/>
          <w:color w:val="auto"/>
          <w:sz w:val="24"/>
          <w:szCs w:val="24"/>
          <w:highlight w:val="none"/>
        </w:rPr>
        <w:t>组织机构</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报价人应提供拟委派本项目的管理机构和组织机构图，并在图中表明与报价人总部的关系。注明在项目组织机构图中各主要设计人员的具体安排情况。</w:t>
      </w:r>
    </w:p>
    <w:p>
      <w:pPr>
        <w:spacing w:line="360" w:lineRule="auto"/>
        <w:ind w:firstLine="410" w:firstLineChars="171"/>
        <w:rPr>
          <w:rFonts w:ascii="宋体" w:hAnsi="宋体"/>
          <w:color w:val="auto"/>
          <w:szCs w:val="21"/>
          <w:highlight w:val="none"/>
        </w:rPr>
      </w:pPr>
      <w:r>
        <w:rPr>
          <w:rFonts w:hint="default" w:ascii="宋体" w:hAnsi="宋体"/>
          <w:color w:val="auto"/>
          <w:sz w:val="24"/>
          <w:szCs w:val="24"/>
          <w:highlight w:val="none"/>
        </w:rPr>
        <w:t>9.2</w:t>
      </w:r>
      <w:r>
        <w:rPr>
          <w:rFonts w:hint="default" w:ascii="宋体" w:hAnsi="宋体"/>
          <w:color w:val="auto"/>
          <w:sz w:val="24"/>
          <w:szCs w:val="24"/>
          <w:highlight w:val="none"/>
        </w:rPr>
        <w:tab/>
      </w:r>
      <w:r>
        <w:rPr>
          <w:rFonts w:hint="default" w:ascii="宋体" w:hAnsi="宋体"/>
          <w:color w:val="auto"/>
          <w:sz w:val="24"/>
          <w:szCs w:val="24"/>
          <w:highlight w:val="none"/>
        </w:rPr>
        <w:t>项目主要人员安排</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报价人应列出拟在本项目中任职的主要管理人员和专业人员的安排，应包括项目负责人，专业负责人、投入本项目的主要人员等，详见如下表格（各表格可按报价人的情况扩展与扩充）：</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本项目主要管理与技术人员安排（表一）</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008"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244"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702"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02"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935"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935"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c>
          <w:tcPr>
            <w:tcW w:w="195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p>
        </w:tc>
        <w:tc>
          <w:tcPr>
            <w:tcW w:w="2008" w:type="dxa"/>
          </w:tcPr>
          <w:p>
            <w:pPr>
              <w:spacing w:line="360" w:lineRule="auto"/>
              <w:rPr>
                <w:rFonts w:ascii="宋体" w:hAnsi="宋体"/>
                <w:color w:val="auto"/>
                <w:szCs w:val="21"/>
                <w:highlight w:val="none"/>
              </w:rPr>
            </w:pPr>
          </w:p>
        </w:tc>
        <w:tc>
          <w:tcPr>
            <w:tcW w:w="1244"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195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008" w:type="dxa"/>
          </w:tcPr>
          <w:p>
            <w:pPr>
              <w:spacing w:line="360" w:lineRule="auto"/>
              <w:rPr>
                <w:rFonts w:ascii="宋体" w:hAnsi="宋体"/>
                <w:color w:val="auto"/>
                <w:szCs w:val="21"/>
                <w:highlight w:val="none"/>
              </w:rPr>
            </w:pPr>
            <w:r>
              <w:rPr>
                <w:rFonts w:hint="eastAsia" w:ascii="宋体" w:hAnsi="宋体"/>
                <w:color w:val="auto"/>
                <w:szCs w:val="21"/>
                <w:highlight w:val="none"/>
              </w:rPr>
              <w:t>项目负责人</w:t>
            </w:r>
          </w:p>
        </w:tc>
        <w:tc>
          <w:tcPr>
            <w:tcW w:w="1244"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195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008" w:type="dxa"/>
          </w:tcPr>
          <w:p>
            <w:pPr>
              <w:spacing w:line="360" w:lineRule="auto"/>
              <w:rPr>
                <w:rFonts w:ascii="宋体" w:hAnsi="宋体"/>
                <w:color w:val="auto"/>
                <w:szCs w:val="21"/>
                <w:highlight w:val="none"/>
              </w:rPr>
            </w:pPr>
            <w:r>
              <w:rPr>
                <w:rFonts w:hint="eastAsia" w:ascii="宋体" w:hAnsi="宋体"/>
                <w:color w:val="auto"/>
                <w:szCs w:val="21"/>
                <w:highlight w:val="none"/>
              </w:rPr>
              <w:t>……专业负责人</w:t>
            </w:r>
          </w:p>
        </w:tc>
        <w:tc>
          <w:tcPr>
            <w:tcW w:w="1244"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195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2008" w:type="dxa"/>
          </w:tcPr>
          <w:p>
            <w:pPr>
              <w:spacing w:line="360" w:lineRule="auto"/>
              <w:rPr>
                <w:rFonts w:ascii="宋体" w:hAnsi="宋体"/>
                <w:color w:val="auto"/>
                <w:szCs w:val="21"/>
                <w:highlight w:val="none"/>
              </w:rPr>
            </w:pPr>
            <w:r>
              <w:rPr>
                <w:rFonts w:hint="eastAsia" w:ascii="宋体" w:hAnsi="宋体"/>
                <w:color w:val="auto"/>
                <w:szCs w:val="21"/>
                <w:highlight w:val="none"/>
              </w:rPr>
              <w:t>主要人员</w:t>
            </w:r>
          </w:p>
        </w:tc>
        <w:tc>
          <w:tcPr>
            <w:tcW w:w="1244"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195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2008" w:type="dxa"/>
          </w:tcPr>
          <w:p>
            <w:pPr>
              <w:spacing w:line="360" w:lineRule="auto"/>
              <w:rPr>
                <w:rFonts w:ascii="宋体" w:hAnsi="宋体"/>
                <w:color w:val="auto"/>
                <w:szCs w:val="21"/>
                <w:highlight w:val="none"/>
              </w:rPr>
            </w:pPr>
            <w:r>
              <w:rPr>
                <w:rFonts w:hint="eastAsia" w:ascii="宋体" w:hAnsi="宋体"/>
                <w:color w:val="auto"/>
                <w:szCs w:val="21"/>
                <w:highlight w:val="none"/>
              </w:rPr>
              <w:t>其它主要人员（*）</w:t>
            </w:r>
          </w:p>
          <w:p>
            <w:pPr>
              <w:spacing w:line="360" w:lineRule="auto"/>
              <w:rPr>
                <w:rFonts w:ascii="宋体" w:hAnsi="宋体"/>
                <w:color w:val="auto"/>
                <w:szCs w:val="21"/>
                <w:highlight w:val="none"/>
              </w:rPr>
            </w:pPr>
            <w:r>
              <w:rPr>
                <w:rFonts w:hint="eastAsia" w:ascii="宋体" w:hAnsi="宋体"/>
                <w:color w:val="auto"/>
                <w:szCs w:val="21"/>
                <w:highlight w:val="none"/>
              </w:rPr>
              <w:t>……</w:t>
            </w:r>
          </w:p>
        </w:tc>
        <w:tc>
          <w:tcPr>
            <w:tcW w:w="1244"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702"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935" w:type="dxa"/>
          </w:tcPr>
          <w:p>
            <w:pPr>
              <w:spacing w:line="360" w:lineRule="auto"/>
              <w:rPr>
                <w:rFonts w:ascii="宋体" w:hAnsi="宋体"/>
                <w:color w:val="auto"/>
                <w:szCs w:val="21"/>
                <w:highlight w:val="none"/>
              </w:rPr>
            </w:pPr>
          </w:p>
        </w:tc>
        <w:tc>
          <w:tcPr>
            <w:tcW w:w="1959" w:type="dxa"/>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*指除表中提到的人员外，报价人认为有必要加入的其他方面的本项目主要管理与技术人员。</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主要人员简历与经验（表二）</w:t>
      </w:r>
    </w:p>
    <w:p>
      <w:pPr>
        <w:spacing w:line="360" w:lineRule="auto"/>
        <w:jc w:val="center"/>
        <w:rPr>
          <w:rFonts w:ascii="宋体" w:hAnsi="宋体"/>
          <w:color w:val="auto"/>
          <w:szCs w:val="21"/>
          <w:highlight w:val="none"/>
        </w:rPr>
      </w:pPr>
      <w:r>
        <w:rPr>
          <w:rFonts w:hint="eastAsia" w:ascii="宋体" w:hAnsi="宋体"/>
          <w:color w:val="auto"/>
          <w:szCs w:val="21"/>
          <w:highlight w:val="none"/>
        </w:rPr>
        <w:t>（至少列写5人）</w:t>
      </w:r>
    </w:p>
    <w:tbl>
      <w:tblPr>
        <w:tblStyle w:val="51"/>
        <w:tblW w:w="91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790" w:type="dxa"/>
          </w:tcPr>
          <w:p>
            <w:pPr>
              <w:spacing w:line="360" w:lineRule="auto"/>
              <w:jc w:val="center"/>
              <w:rPr>
                <w:rFonts w:ascii="宋体" w:hAnsi="宋体"/>
                <w:color w:val="auto"/>
                <w:szCs w:val="21"/>
                <w:highlight w:val="none"/>
              </w:rPr>
            </w:pPr>
          </w:p>
        </w:tc>
        <w:tc>
          <w:tcPr>
            <w:tcW w:w="108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150" w:type="dxa"/>
          </w:tcPr>
          <w:p>
            <w:pPr>
              <w:spacing w:line="360" w:lineRule="auto"/>
              <w:jc w:val="center"/>
              <w:rPr>
                <w:rFonts w:ascii="宋体" w:hAnsi="宋体"/>
                <w:color w:val="auto"/>
                <w:szCs w:val="21"/>
                <w:highlight w:val="none"/>
              </w:rPr>
            </w:pPr>
          </w:p>
        </w:tc>
        <w:tc>
          <w:tcPr>
            <w:tcW w:w="101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70" w:type="dxa"/>
          </w:tcPr>
          <w:p>
            <w:pPr>
              <w:spacing w:line="360" w:lineRule="auto"/>
              <w:jc w:val="center"/>
              <w:rPr>
                <w:rFonts w:ascii="宋体" w:hAnsi="宋体"/>
                <w:color w:val="auto"/>
                <w:szCs w:val="21"/>
                <w:highlight w:val="none"/>
              </w:rPr>
            </w:pPr>
          </w:p>
        </w:tc>
        <w:tc>
          <w:tcPr>
            <w:tcW w:w="129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职务职称</w:t>
            </w:r>
          </w:p>
        </w:tc>
        <w:tc>
          <w:tcPr>
            <w:tcW w:w="988"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时 间</w:t>
            </w:r>
          </w:p>
        </w:tc>
        <w:tc>
          <w:tcPr>
            <w:tcW w:w="8087" w:type="dxa"/>
            <w:gridSpan w:val="7"/>
          </w:tcPr>
          <w:p>
            <w:pPr>
              <w:spacing w:line="360" w:lineRule="auto"/>
              <w:jc w:val="center"/>
              <w:rPr>
                <w:rFonts w:ascii="宋体" w:hAnsi="宋体"/>
                <w:color w:val="auto"/>
                <w:szCs w:val="21"/>
                <w:highlight w:val="none"/>
              </w:rPr>
            </w:pPr>
            <w:r>
              <w:rPr>
                <w:rFonts w:hint="eastAsia" w:ascii="宋体" w:hAnsi="宋体"/>
                <w:color w:val="auto"/>
                <w:szCs w:val="21"/>
                <w:highlight w:val="none"/>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highlight w:val="none"/>
              </w:rPr>
            </w:pPr>
          </w:p>
        </w:tc>
        <w:tc>
          <w:tcPr>
            <w:tcW w:w="8087" w:type="dxa"/>
            <w:gridSpan w:val="7"/>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highlight w:val="none"/>
              </w:rPr>
            </w:pPr>
          </w:p>
        </w:tc>
        <w:tc>
          <w:tcPr>
            <w:tcW w:w="8087" w:type="dxa"/>
            <w:gridSpan w:val="7"/>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highlight w:val="none"/>
              </w:rPr>
            </w:pPr>
          </w:p>
        </w:tc>
        <w:tc>
          <w:tcPr>
            <w:tcW w:w="8087" w:type="dxa"/>
            <w:gridSpan w:val="7"/>
          </w:tcPr>
          <w:p>
            <w:pPr>
              <w:spacing w:line="360" w:lineRule="auto"/>
              <w:jc w:val="center"/>
              <w:rPr>
                <w:rFonts w:ascii="宋体" w:hAnsi="宋体"/>
                <w:color w:val="auto"/>
                <w:szCs w:val="21"/>
                <w:highlight w:val="none"/>
              </w:rPr>
            </w:pPr>
          </w:p>
        </w:tc>
      </w:tr>
    </w:tbl>
    <w:p>
      <w:pPr>
        <w:spacing w:line="360" w:lineRule="auto"/>
        <w:rPr>
          <w:color w:val="auto"/>
          <w:highlight w:val="none"/>
        </w:rPr>
      </w:pPr>
      <w:r>
        <w:rPr>
          <w:rFonts w:hint="eastAsia"/>
          <w:b/>
          <w:color w:val="auto"/>
          <w:szCs w:val="21"/>
          <w:highlight w:val="none"/>
        </w:rPr>
        <w:t>注：项目负责人及专业负责人业绩须提供证明材料。</w:t>
      </w:r>
    </w:p>
    <w:p>
      <w:pPr>
        <w:spacing w:line="360" w:lineRule="auto"/>
        <w:jc w:val="center"/>
        <w:rPr>
          <w:rFonts w:ascii="宋体" w:hAnsi="宋体"/>
          <w:b/>
          <w:color w:val="auto"/>
          <w:sz w:val="32"/>
          <w:szCs w:val="28"/>
          <w:highlight w:val="none"/>
        </w:rPr>
      </w:pPr>
    </w:p>
    <w:p>
      <w:pPr>
        <w:spacing w:line="360" w:lineRule="auto"/>
        <w:jc w:val="left"/>
        <w:rPr>
          <w:rFonts w:hint="eastAsia" w:ascii="宋体" w:hAnsi="宋体"/>
          <w:b/>
          <w:color w:val="auto"/>
          <w:sz w:val="24"/>
          <w:szCs w:val="24"/>
          <w:highlight w:val="none"/>
        </w:rPr>
      </w:pPr>
      <w:r>
        <w:rPr>
          <w:rFonts w:hint="default" w:ascii="宋体" w:hAnsi="宋体"/>
          <w:b/>
          <w:color w:val="auto"/>
          <w:sz w:val="24"/>
          <w:szCs w:val="24"/>
          <w:highlight w:val="none"/>
        </w:rPr>
        <w:t>9</w:t>
      </w:r>
      <w:r>
        <w:rPr>
          <w:rFonts w:hint="eastAsia" w:ascii="宋体" w:hAnsi="宋体"/>
          <w:b/>
          <w:color w:val="auto"/>
          <w:sz w:val="24"/>
          <w:szCs w:val="24"/>
          <w:highlight w:val="none"/>
        </w:rPr>
        <w:t>.3</w:t>
      </w:r>
      <w:r>
        <w:rPr>
          <w:rFonts w:hint="default" w:ascii="宋体" w:hAnsi="宋体"/>
          <w:b/>
          <w:color w:val="auto"/>
          <w:sz w:val="24"/>
          <w:szCs w:val="24"/>
          <w:highlight w:val="none"/>
        </w:rPr>
        <w:t>报价人的类似业绩</w:t>
      </w:r>
    </w:p>
    <w:tbl>
      <w:tblPr>
        <w:tblStyle w:val="51"/>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w:t>
            </w:r>
          </w:p>
        </w:tc>
        <w:tc>
          <w:tcPr>
            <w:tcW w:w="3960"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合同</w:t>
            </w:r>
            <w:r>
              <w:rPr>
                <w:rFonts w:hint="eastAsia" w:ascii="宋体" w:hAnsi="宋体"/>
                <w:b/>
                <w:bCs/>
                <w:color w:val="auto"/>
                <w:szCs w:val="21"/>
                <w:highlight w:val="none"/>
              </w:rPr>
              <w:t>规模及内容</w:t>
            </w:r>
          </w:p>
        </w:tc>
        <w:tc>
          <w:tcPr>
            <w:tcW w:w="1200"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完</w:t>
            </w:r>
            <w:r>
              <w:rPr>
                <w:rFonts w:hint="eastAsia" w:ascii="宋体" w:hAnsi="宋体"/>
                <w:b/>
                <w:bCs/>
                <w:color w:val="auto"/>
                <w:szCs w:val="21"/>
                <w:highlight w:val="none"/>
                <w:lang w:val="en-US" w:eastAsia="zh-CN"/>
              </w:rPr>
              <w:t>成</w:t>
            </w:r>
            <w:r>
              <w:rPr>
                <w:rFonts w:hint="eastAsia" w:ascii="宋体" w:hAnsi="宋体"/>
                <w:b/>
                <w:bCs/>
                <w:color w:val="auto"/>
                <w:szCs w:val="21"/>
                <w:highlight w:val="none"/>
              </w:rPr>
              <w:t>时间</w:t>
            </w:r>
          </w:p>
        </w:tc>
        <w:tc>
          <w:tcPr>
            <w:tcW w:w="1140"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合同价</w:t>
            </w:r>
          </w:p>
        </w:tc>
        <w:tc>
          <w:tcPr>
            <w:tcW w:w="2243"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color w:val="auto"/>
                <w:szCs w:val="21"/>
                <w:highlight w:val="none"/>
              </w:rPr>
            </w:pPr>
          </w:p>
        </w:tc>
        <w:tc>
          <w:tcPr>
            <w:tcW w:w="3960" w:type="dxa"/>
            <w:vAlign w:val="center"/>
          </w:tcPr>
          <w:p>
            <w:pPr>
              <w:spacing w:line="360" w:lineRule="auto"/>
              <w:jc w:val="center"/>
              <w:rPr>
                <w:rFonts w:ascii="宋体" w:hAnsi="宋体"/>
                <w:color w:val="auto"/>
                <w:szCs w:val="21"/>
                <w:highlight w:val="none"/>
              </w:rPr>
            </w:pPr>
          </w:p>
        </w:tc>
        <w:tc>
          <w:tcPr>
            <w:tcW w:w="1200" w:type="dxa"/>
            <w:vAlign w:val="center"/>
          </w:tcPr>
          <w:p>
            <w:pPr>
              <w:spacing w:line="360" w:lineRule="auto"/>
              <w:jc w:val="center"/>
              <w:rPr>
                <w:rFonts w:ascii="宋体" w:hAnsi="宋体"/>
                <w:color w:val="auto"/>
                <w:szCs w:val="21"/>
                <w:highlight w:val="none"/>
              </w:rPr>
            </w:pPr>
          </w:p>
        </w:tc>
        <w:tc>
          <w:tcPr>
            <w:tcW w:w="1140" w:type="dxa"/>
            <w:vAlign w:val="center"/>
          </w:tcPr>
          <w:p>
            <w:pPr>
              <w:spacing w:line="360" w:lineRule="auto"/>
              <w:jc w:val="center"/>
              <w:rPr>
                <w:rFonts w:ascii="宋体" w:hAnsi="宋体"/>
                <w:color w:val="auto"/>
                <w:szCs w:val="21"/>
                <w:highlight w:val="none"/>
              </w:rPr>
            </w:pPr>
          </w:p>
        </w:tc>
        <w:tc>
          <w:tcPr>
            <w:tcW w:w="2243"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color w:val="auto"/>
                <w:szCs w:val="21"/>
                <w:highlight w:val="none"/>
              </w:rPr>
            </w:pPr>
          </w:p>
        </w:tc>
        <w:tc>
          <w:tcPr>
            <w:tcW w:w="3960" w:type="dxa"/>
            <w:vAlign w:val="center"/>
          </w:tcPr>
          <w:p>
            <w:pPr>
              <w:spacing w:line="360" w:lineRule="auto"/>
              <w:jc w:val="center"/>
              <w:rPr>
                <w:rFonts w:ascii="宋体" w:hAnsi="宋体"/>
                <w:color w:val="auto"/>
                <w:szCs w:val="21"/>
                <w:highlight w:val="none"/>
              </w:rPr>
            </w:pPr>
          </w:p>
        </w:tc>
        <w:tc>
          <w:tcPr>
            <w:tcW w:w="1200" w:type="dxa"/>
            <w:vAlign w:val="center"/>
          </w:tcPr>
          <w:p>
            <w:pPr>
              <w:spacing w:line="360" w:lineRule="auto"/>
              <w:jc w:val="center"/>
              <w:rPr>
                <w:rFonts w:ascii="宋体" w:hAnsi="宋体"/>
                <w:color w:val="auto"/>
                <w:szCs w:val="21"/>
                <w:highlight w:val="none"/>
              </w:rPr>
            </w:pPr>
          </w:p>
        </w:tc>
        <w:tc>
          <w:tcPr>
            <w:tcW w:w="1140" w:type="dxa"/>
            <w:vAlign w:val="center"/>
          </w:tcPr>
          <w:p>
            <w:pPr>
              <w:spacing w:line="360" w:lineRule="auto"/>
              <w:jc w:val="center"/>
              <w:rPr>
                <w:rFonts w:ascii="宋体" w:hAnsi="宋体"/>
                <w:color w:val="auto"/>
                <w:szCs w:val="21"/>
                <w:highlight w:val="none"/>
              </w:rPr>
            </w:pPr>
          </w:p>
        </w:tc>
        <w:tc>
          <w:tcPr>
            <w:tcW w:w="2243"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color w:val="auto"/>
                <w:szCs w:val="21"/>
                <w:highlight w:val="none"/>
              </w:rPr>
            </w:pPr>
          </w:p>
        </w:tc>
        <w:tc>
          <w:tcPr>
            <w:tcW w:w="3960" w:type="dxa"/>
            <w:vAlign w:val="center"/>
          </w:tcPr>
          <w:p>
            <w:pPr>
              <w:spacing w:line="360" w:lineRule="auto"/>
              <w:jc w:val="center"/>
              <w:rPr>
                <w:rFonts w:ascii="宋体" w:hAnsi="宋体"/>
                <w:color w:val="auto"/>
                <w:szCs w:val="21"/>
                <w:highlight w:val="none"/>
              </w:rPr>
            </w:pPr>
          </w:p>
        </w:tc>
        <w:tc>
          <w:tcPr>
            <w:tcW w:w="1200" w:type="dxa"/>
            <w:vAlign w:val="center"/>
          </w:tcPr>
          <w:p>
            <w:pPr>
              <w:spacing w:line="360" w:lineRule="auto"/>
              <w:jc w:val="center"/>
              <w:rPr>
                <w:rFonts w:ascii="宋体" w:hAnsi="宋体"/>
                <w:color w:val="auto"/>
                <w:szCs w:val="21"/>
                <w:highlight w:val="none"/>
              </w:rPr>
            </w:pPr>
          </w:p>
        </w:tc>
        <w:tc>
          <w:tcPr>
            <w:tcW w:w="1140" w:type="dxa"/>
            <w:vAlign w:val="center"/>
          </w:tcPr>
          <w:p>
            <w:pPr>
              <w:spacing w:line="360" w:lineRule="auto"/>
              <w:jc w:val="center"/>
              <w:rPr>
                <w:rFonts w:ascii="宋体" w:hAnsi="宋体"/>
                <w:color w:val="auto"/>
                <w:szCs w:val="21"/>
                <w:highlight w:val="none"/>
              </w:rPr>
            </w:pPr>
          </w:p>
        </w:tc>
        <w:tc>
          <w:tcPr>
            <w:tcW w:w="2243"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color w:val="auto"/>
                <w:szCs w:val="21"/>
                <w:highlight w:val="none"/>
              </w:rPr>
            </w:pPr>
          </w:p>
        </w:tc>
        <w:tc>
          <w:tcPr>
            <w:tcW w:w="3960" w:type="dxa"/>
            <w:vAlign w:val="center"/>
          </w:tcPr>
          <w:p>
            <w:pPr>
              <w:spacing w:line="360" w:lineRule="auto"/>
              <w:jc w:val="center"/>
              <w:rPr>
                <w:rFonts w:ascii="宋体" w:hAnsi="宋体"/>
                <w:color w:val="auto"/>
                <w:szCs w:val="21"/>
                <w:highlight w:val="none"/>
              </w:rPr>
            </w:pPr>
          </w:p>
        </w:tc>
        <w:tc>
          <w:tcPr>
            <w:tcW w:w="1200" w:type="dxa"/>
            <w:vAlign w:val="center"/>
          </w:tcPr>
          <w:p>
            <w:pPr>
              <w:spacing w:line="360" w:lineRule="auto"/>
              <w:jc w:val="center"/>
              <w:rPr>
                <w:rFonts w:ascii="宋体" w:hAnsi="宋体"/>
                <w:color w:val="auto"/>
                <w:szCs w:val="21"/>
                <w:highlight w:val="none"/>
              </w:rPr>
            </w:pPr>
          </w:p>
        </w:tc>
        <w:tc>
          <w:tcPr>
            <w:tcW w:w="1140" w:type="dxa"/>
            <w:vAlign w:val="center"/>
          </w:tcPr>
          <w:p>
            <w:pPr>
              <w:spacing w:line="360" w:lineRule="auto"/>
              <w:jc w:val="center"/>
              <w:rPr>
                <w:rFonts w:ascii="宋体" w:hAnsi="宋体"/>
                <w:color w:val="auto"/>
                <w:szCs w:val="21"/>
                <w:highlight w:val="none"/>
              </w:rPr>
            </w:pPr>
          </w:p>
        </w:tc>
        <w:tc>
          <w:tcPr>
            <w:tcW w:w="2243"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color w:val="auto"/>
                <w:szCs w:val="21"/>
                <w:highlight w:val="none"/>
              </w:rPr>
            </w:pPr>
          </w:p>
        </w:tc>
        <w:tc>
          <w:tcPr>
            <w:tcW w:w="3960" w:type="dxa"/>
            <w:vAlign w:val="center"/>
          </w:tcPr>
          <w:p>
            <w:pPr>
              <w:spacing w:line="360" w:lineRule="auto"/>
              <w:jc w:val="center"/>
              <w:rPr>
                <w:rFonts w:ascii="宋体" w:hAnsi="宋体"/>
                <w:color w:val="auto"/>
                <w:szCs w:val="21"/>
                <w:highlight w:val="none"/>
              </w:rPr>
            </w:pPr>
          </w:p>
        </w:tc>
        <w:tc>
          <w:tcPr>
            <w:tcW w:w="1200" w:type="dxa"/>
            <w:vAlign w:val="center"/>
          </w:tcPr>
          <w:p>
            <w:pPr>
              <w:spacing w:line="360" w:lineRule="auto"/>
              <w:jc w:val="center"/>
              <w:rPr>
                <w:rFonts w:ascii="宋体" w:hAnsi="宋体"/>
                <w:color w:val="auto"/>
                <w:szCs w:val="21"/>
                <w:highlight w:val="none"/>
              </w:rPr>
            </w:pPr>
          </w:p>
        </w:tc>
        <w:tc>
          <w:tcPr>
            <w:tcW w:w="1140" w:type="dxa"/>
            <w:vAlign w:val="center"/>
          </w:tcPr>
          <w:p>
            <w:pPr>
              <w:spacing w:line="360" w:lineRule="auto"/>
              <w:jc w:val="center"/>
              <w:rPr>
                <w:rFonts w:ascii="宋体" w:hAnsi="宋体"/>
                <w:color w:val="auto"/>
                <w:szCs w:val="21"/>
                <w:highlight w:val="none"/>
              </w:rPr>
            </w:pPr>
          </w:p>
        </w:tc>
        <w:tc>
          <w:tcPr>
            <w:tcW w:w="2243" w:type="dxa"/>
            <w:vAlign w:val="center"/>
          </w:tcPr>
          <w:p>
            <w:pPr>
              <w:spacing w:line="360" w:lineRule="auto"/>
              <w:jc w:val="center"/>
              <w:rPr>
                <w:rFonts w:ascii="宋体" w:hAnsi="宋体"/>
                <w:color w:val="auto"/>
                <w:szCs w:val="21"/>
                <w:highlight w:val="none"/>
              </w:rPr>
            </w:pPr>
          </w:p>
        </w:tc>
      </w:tr>
    </w:tbl>
    <w:p>
      <w:pPr>
        <w:spacing w:line="360" w:lineRule="auto"/>
        <w:jc w:val="left"/>
        <w:rPr>
          <w:rFonts w:ascii="宋体" w:hAnsi="宋体"/>
          <w:b/>
          <w:color w:val="auto"/>
          <w:sz w:val="24"/>
          <w:szCs w:val="24"/>
          <w:highlight w:val="none"/>
        </w:rPr>
      </w:pPr>
      <w:r>
        <w:rPr>
          <w:rFonts w:hint="default" w:ascii="宋体" w:hAnsi="宋体"/>
          <w:b/>
          <w:color w:val="auto"/>
          <w:sz w:val="24"/>
          <w:szCs w:val="24"/>
          <w:highlight w:val="none"/>
          <w:lang w:val="en-US" w:eastAsia="zh-CN"/>
        </w:rPr>
        <w:t>9</w:t>
      </w:r>
      <w:r>
        <w:rPr>
          <w:rFonts w:hint="default" w:ascii="宋体" w:hAnsi="宋体"/>
          <w:b/>
          <w:color w:val="auto"/>
          <w:sz w:val="24"/>
          <w:szCs w:val="24"/>
          <w:highlight w:val="none"/>
        </w:rPr>
        <w:t>.4  技术方案</w:t>
      </w:r>
    </w:p>
    <w:p>
      <w:pPr>
        <w:pStyle w:val="2"/>
        <w:ind w:left="420" w:firstLine="480" w:firstLineChars="200"/>
        <w:rPr>
          <w:rFonts w:ascii="宋体" w:hAnsi="宋体" w:cs="宋体"/>
          <w:color w:val="auto"/>
          <w:sz w:val="24"/>
          <w:szCs w:val="24"/>
          <w:highlight w:val="none"/>
        </w:rPr>
      </w:pPr>
    </w:p>
    <w:p>
      <w:pPr>
        <w:pStyle w:val="2"/>
        <w:ind w:left="42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widowControl/>
        <w:tabs>
          <w:tab w:val="left" w:pos="567"/>
        </w:tabs>
        <w:autoSpaceDE w:val="0"/>
        <w:autoSpaceDN w:val="0"/>
        <w:spacing w:before="156" w:after="156" w:line="460" w:lineRule="exact"/>
        <w:ind w:left="573" w:leftChars="250" w:hanging="48" w:hangingChars="2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报价人可根据实际情况需要修改上述条款。</w:t>
      </w:r>
    </w:p>
    <w:bookmarkEnd w:id="25"/>
    <w:bookmarkEnd w:id="26"/>
    <w:bookmarkEnd w:id="27"/>
    <w:bookmarkEnd w:id="28"/>
    <w:bookmarkEnd w:id="29"/>
    <w:bookmarkEnd w:id="30"/>
    <w:bookmarkEnd w:id="31"/>
    <w:bookmarkEnd w:id="32"/>
    <w:bookmarkEnd w:id="33"/>
    <w:bookmarkEnd w:id="34"/>
    <w:bookmarkEnd w:id="35"/>
    <w:bookmarkEnd w:id="36"/>
    <w:p>
      <w:pPr>
        <w:numPr>
          <w:ilvl w:val="0"/>
          <w:numId w:val="0"/>
        </w:numPr>
        <w:ind w:left="420" w:leftChars="0"/>
        <w:rPr>
          <w:rFonts w:hAnsi="宋体"/>
          <w:color w:val="auto"/>
          <w:sz w:val="24"/>
          <w:szCs w:val="24"/>
          <w:highlight w:val="none"/>
        </w:rPr>
      </w:pPr>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2F65226"/>
    <w:multiLevelType w:val="singleLevel"/>
    <w:tmpl w:val="82F65226"/>
    <w:lvl w:ilvl="0" w:tentative="0">
      <w:start w:val="1"/>
      <w:numFmt w:val="decimal"/>
      <w:suff w:val="nothing"/>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F2BBE031"/>
    <w:multiLevelType w:val="singleLevel"/>
    <w:tmpl w:val="F2BBE031"/>
    <w:lvl w:ilvl="0" w:tentative="0">
      <w:start w:val="3"/>
      <w:numFmt w:val="decimal"/>
      <w:lvlText w:val="%1."/>
      <w:lvlJc w:val="left"/>
      <w:pPr>
        <w:tabs>
          <w:tab w:val="left" w:pos="312"/>
        </w:tabs>
        <w:ind w:left="-60"/>
      </w:pPr>
    </w:lvl>
  </w:abstractNum>
  <w:abstractNum w:abstractNumId="4">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D3F8C77"/>
    <w:multiLevelType w:val="singleLevel"/>
    <w:tmpl w:val="3D3F8C77"/>
    <w:lvl w:ilvl="0" w:tentative="0">
      <w:start w:val="7"/>
      <w:numFmt w:val="decimal"/>
      <w:suff w:val="space"/>
      <w:lvlText w:val="%1."/>
      <w:lvlJc w:val="left"/>
    </w:lvl>
  </w:abstractNum>
  <w:abstractNum w:abstractNumId="9">
    <w:nsid w:val="41C5C1F8"/>
    <w:multiLevelType w:val="singleLevel"/>
    <w:tmpl w:val="41C5C1F8"/>
    <w:lvl w:ilvl="0" w:tentative="0">
      <w:start w:val="4"/>
      <w:numFmt w:val="decimal"/>
      <w:suff w:val="space"/>
      <w:lvlText w:val="%1."/>
      <w:lvlJc w:val="left"/>
      <w:pPr>
        <w:ind w:left="0" w:firstLine="0"/>
      </w:pPr>
      <w:rPr>
        <w:rFonts w:hint="eastAsia"/>
      </w:rPr>
    </w:lvl>
  </w:abstractNum>
  <w:abstractNum w:abstractNumId="10">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11">
    <w:nsid w:val="4DD8E67E"/>
    <w:multiLevelType w:val="singleLevel"/>
    <w:tmpl w:val="4DD8E67E"/>
    <w:lvl w:ilvl="0" w:tentative="0">
      <w:start w:val="1"/>
      <w:numFmt w:val="chineseCounting"/>
      <w:suff w:val="nothing"/>
      <w:lvlText w:val="（%1）"/>
      <w:lvlJc w:val="left"/>
      <w:rPr>
        <w:rFonts w:hint="eastAsia"/>
      </w:rPr>
    </w:lvl>
  </w:abstractNum>
  <w:abstractNum w:abstractNumId="12">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8454E1A"/>
    <w:multiLevelType w:val="singleLevel"/>
    <w:tmpl w:val="78454E1A"/>
    <w:lvl w:ilvl="0" w:tentative="0">
      <w:start w:val="2"/>
      <w:numFmt w:val="chineseCounting"/>
      <w:suff w:val="nothing"/>
      <w:lvlText w:val="%1、"/>
      <w:lvlJc w:val="left"/>
      <w:rPr>
        <w:rFonts w:hint="eastAsia"/>
      </w:rPr>
    </w:lvl>
  </w:abstractNum>
  <w:abstractNum w:abstractNumId="18">
    <w:nsid w:val="792046DB"/>
    <w:multiLevelType w:val="singleLevel"/>
    <w:tmpl w:val="792046DB"/>
    <w:lvl w:ilvl="0" w:tentative="0">
      <w:start w:val="1"/>
      <w:numFmt w:val="decimal"/>
      <w:suff w:val="space"/>
      <w:lvlText w:val="%1."/>
      <w:lvlJc w:val="left"/>
    </w:lvl>
  </w:abstractNum>
  <w:abstractNum w:abstractNumId="19">
    <w:nsid w:val="792B41BA"/>
    <w:multiLevelType w:val="singleLevel"/>
    <w:tmpl w:val="792B41BA"/>
    <w:lvl w:ilvl="0" w:tentative="0">
      <w:start w:val="4"/>
      <w:numFmt w:val="chineseCounting"/>
      <w:suff w:val="space"/>
      <w:lvlText w:val="第%1部分"/>
      <w:lvlJc w:val="left"/>
      <w:rPr>
        <w:rFonts w:hint="eastAsia"/>
      </w:rPr>
    </w:lvl>
  </w:abstractNum>
  <w:num w:numId="1">
    <w:abstractNumId w:val="4"/>
  </w:num>
  <w:num w:numId="2">
    <w:abstractNumId w:val="14"/>
  </w:num>
  <w:num w:numId="3">
    <w:abstractNumId w:val="10"/>
  </w:num>
  <w:num w:numId="4">
    <w:abstractNumId w:val="16"/>
  </w:num>
  <w:num w:numId="5">
    <w:abstractNumId w:val="12"/>
  </w:num>
  <w:num w:numId="6">
    <w:abstractNumId w:val="19"/>
  </w:num>
  <w:num w:numId="7">
    <w:abstractNumId w:val="7"/>
  </w:num>
  <w:num w:numId="8">
    <w:abstractNumId w:val="5"/>
  </w:num>
  <w:num w:numId="9">
    <w:abstractNumId w:val="18"/>
  </w:num>
  <w:num w:numId="10">
    <w:abstractNumId w:val="11"/>
  </w:num>
  <w:num w:numId="11">
    <w:abstractNumId w:val="17"/>
  </w:num>
  <w:num w:numId="12">
    <w:abstractNumId w:val="9"/>
  </w:num>
  <w:num w:numId="13">
    <w:abstractNumId w:val="13"/>
  </w:num>
  <w:num w:numId="14">
    <w:abstractNumId w:val="8"/>
  </w:num>
  <w:num w:numId="15">
    <w:abstractNumId w:val="1"/>
  </w:num>
  <w:num w:numId="16">
    <w:abstractNumId w:val="6"/>
  </w:num>
  <w:num w:numId="17">
    <w:abstractNumId w:val="2"/>
  </w:num>
  <w:num w:numId="18">
    <w:abstractNumId w:val="3"/>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5166"/>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7DB6E1C"/>
    <w:rsid w:val="08D31917"/>
    <w:rsid w:val="08E34831"/>
    <w:rsid w:val="09436586"/>
    <w:rsid w:val="09D2383E"/>
    <w:rsid w:val="0A3F4394"/>
    <w:rsid w:val="0AC15607"/>
    <w:rsid w:val="0BEA6F7D"/>
    <w:rsid w:val="0C215FF4"/>
    <w:rsid w:val="0C277270"/>
    <w:rsid w:val="0C5D6417"/>
    <w:rsid w:val="0CDD33BA"/>
    <w:rsid w:val="0CE25554"/>
    <w:rsid w:val="0DC31CED"/>
    <w:rsid w:val="0E047B5A"/>
    <w:rsid w:val="0E721F79"/>
    <w:rsid w:val="0F1C4D8A"/>
    <w:rsid w:val="0F202498"/>
    <w:rsid w:val="0F2F5B78"/>
    <w:rsid w:val="0F662060"/>
    <w:rsid w:val="0FAC61FB"/>
    <w:rsid w:val="0FAE4281"/>
    <w:rsid w:val="104B16FD"/>
    <w:rsid w:val="10800DC8"/>
    <w:rsid w:val="10C77F11"/>
    <w:rsid w:val="110146E8"/>
    <w:rsid w:val="112D0099"/>
    <w:rsid w:val="113F495F"/>
    <w:rsid w:val="11597445"/>
    <w:rsid w:val="11A92CA5"/>
    <w:rsid w:val="12195997"/>
    <w:rsid w:val="121E51B5"/>
    <w:rsid w:val="128706E2"/>
    <w:rsid w:val="13C767A0"/>
    <w:rsid w:val="140544C7"/>
    <w:rsid w:val="15E36A67"/>
    <w:rsid w:val="163074CE"/>
    <w:rsid w:val="16CF7BB0"/>
    <w:rsid w:val="16E85D36"/>
    <w:rsid w:val="187C64C6"/>
    <w:rsid w:val="1AE82B0C"/>
    <w:rsid w:val="1AFC34CD"/>
    <w:rsid w:val="1B346C92"/>
    <w:rsid w:val="1BAC337A"/>
    <w:rsid w:val="1BC504B9"/>
    <w:rsid w:val="1BFA335B"/>
    <w:rsid w:val="1C196140"/>
    <w:rsid w:val="1DF133EB"/>
    <w:rsid w:val="1E5D674B"/>
    <w:rsid w:val="1EA840E5"/>
    <w:rsid w:val="1F42278F"/>
    <w:rsid w:val="1F6B0604"/>
    <w:rsid w:val="20043F7D"/>
    <w:rsid w:val="203B5F48"/>
    <w:rsid w:val="20D1150F"/>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C81050D"/>
    <w:rsid w:val="2D881050"/>
    <w:rsid w:val="2DB329C0"/>
    <w:rsid w:val="2ED02D1D"/>
    <w:rsid w:val="2EEE45E2"/>
    <w:rsid w:val="2EFA6A37"/>
    <w:rsid w:val="2F0444A1"/>
    <w:rsid w:val="2F2819B3"/>
    <w:rsid w:val="2F824E7B"/>
    <w:rsid w:val="2FA03459"/>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3F0ECF"/>
    <w:rsid w:val="396B49D7"/>
    <w:rsid w:val="39D25597"/>
    <w:rsid w:val="3A9F75B9"/>
    <w:rsid w:val="3AF329D6"/>
    <w:rsid w:val="3B051EA5"/>
    <w:rsid w:val="3B366E6A"/>
    <w:rsid w:val="3B750CFB"/>
    <w:rsid w:val="3B8C4FA2"/>
    <w:rsid w:val="3BCA46EE"/>
    <w:rsid w:val="3C2E6A72"/>
    <w:rsid w:val="3C4D381F"/>
    <w:rsid w:val="3C5D56A7"/>
    <w:rsid w:val="3CAD0628"/>
    <w:rsid w:val="3D4C3721"/>
    <w:rsid w:val="3E232DD9"/>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43E79D1"/>
    <w:rsid w:val="45485E8C"/>
    <w:rsid w:val="456218D5"/>
    <w:rsid w:val="45986031"/>
    <w:rsid w:val="46236FDC"/>
    <w:rsid w:val="462A1B75"/>
    <w:rsid w:val="48016570"/>
    <w:rsid w:val="480D5820"/>
    <w:rsid w:val="499360AF"/>
    <w:rsid w:val="49D365D2"/>
    <w:rsid w:val="4A2F00B6"/>
    <w:rsid w:val="4A9C1A4F"/>
    <w:rsid w:val="4AA735E3"/>
    <w:rsid w:val="4AF7102D"/>
    <w:rsid w:val="4AFC64B6"/>
    <w:rsid w:val="4BBC7DB4"/>
    <w:rsid w:val="4BBD2492"/>
    <w:rsid w:val="4D2B48E9"/>
    <w:rsid w:val="4D330730"/>
    <w:rsid w:val="4D712AB4"/>
    <w:rsid w:val="4DD2641B"/>
    <w:rsid w:val="4E256445"/>
    <w:rsid w:val="4E45455B"/>
    <w:rsid w:val="4EAE32D0"/>
    <w:rsid w:val="4F372CC3"/>
    <w:rsid w:val="4F557051"/>
    <w:rsid w:val="4FCF3324"/>
    <w:rsid w:val="50D06345"/>
    <w:rsid w:val="50F038EB"/>
    <w:rsid w:val="51605F9C"/>
    <w:rsid w:val="516A3934"/>
    <w:rsid w:val="518E6E36"/>
    <w:rsid w:val="52055B66"/>
    <w:rsid w:val="52450C8A"/>
    <w:rsid w:val="52520F32"/>
    <w:rsid w:val="52985B66"/>
    <w:rsid w:val="52A567A9"/>
    <w:rsid w:val="52E930FA"/>
    <w:rsid w:val="53CB1E7B"/>
    <w:rsid w:val="53DD705A"/>
    <w:rsid w:val="53E916A9"/>
    <w:rsid w:val="53EF5893"/>
    <w:rsid w:val="53F37125"/>
    <w:rsid w:val="556E3E2D"/>
    <w:rsid w:val="559C1AC1"/>
    <w:rsid w:val="564C308D"/>
    <w:rsid w:val="56A93CA6"/>
    <w:rsid w:val="57424991"/>
    <w:rsid w:val="58163638"/>
    <w:rsid w:val="58390624"/>
    <w:rsid w:val="58A80415"/>
    <w:rsid w:val="58C3057F"/>
    <w:rsid w:val="59067EB7"/>
    <w:rsid w:val="592606D1"/>
    <w:rsid w:val="597374D4"/>
    <w:rsid w:val="597610E1"/>
    <w:rsid w:val="59BC1201"/>
    <w:rsid w:val="5A79102C"/>
    <w:rsid w:val="5B9F219E"/>
    <w:rsid w:val="5BE0006F"/>
    <w:rsid w:val="5BEA7430"/>
    <w:rsid w:val="5BF65AF3"/>
    <w:rsid w:val="5C2E3A2B"/>
    <w:rsid w:val="5C34661C"/>
    <w:rsid w:val="5D077E39"/>
    <w:rsid w:val="5D27754D"/>
    <w:rsid w:val="5D7C74B4"/>
    <w:rsid w:val="5DC41BAE"/>
    <w:rsid w:val="5EDC4F5E"/>
    <w:rsid w:val="5EE1663C"/>
    <w:rsid w:val="5F79022C"/>
    <w:rsid w:val="605C234D"/>
    <w:rsid w:val="607F1DE9"/>
    <w:rsid w:val="608955E4"/>
    <w:rsid w:val="612A09AD"/>
    <w:rsid w:val="62980FAD"/>
    <w:rsid w:val="62B214F0"/>
    <w:rsid w:val="62E4702A"/>
    <w:rsid w:val="636E2776"/>
    <w:rsid w:val="6423537A"/>
    <w:rsid w:val="648A6B13"/>
    <w:rsid w:val="64C4284E"/>
    <w:rsid w:val="651403D6"/>
    <w:rsid w:val="657A779C"/>
    <w:rsid w:val="657D7565"/>
    <w:rsid w:val="66023F44"/>
    <w:rsid w:val="6667422D"/>
    <w:rsid w:val="667301BE"/>
    <w:rsid w:val="667E530A"/>
    <w:rsid w:val="66822F83"/>
    <w:rsid w:val="66BC69CA"/>
    <w:rsid w:val="66C21C20"/>
    <w:rsid w:val="66C76CFA"/>
    <w:rsid w:val="66D02156"/>
    <w:rsid w:val="66D67FFB"/>
    <w:rsid w:val="67192C2A"/>
    <w:rsid w:val="67581015"/>
    <w:rsid w:val="676F7060"/>
    <w:rsid w:val="67A22ED6"/>
    <w:rsid w:val="68402ED9"/>
    <w:rsid w:val="69730DDD"/>
    <w:rsid w:val="69B233A5"/>
    <w:rsid w:val="69D536B4"/>
    <w:rsid w:val="69F8624A"/>
    <w:rsid w:val="6A1C578D"/>
    <w:rsid w:val="6ABC642B"/>
    <w:rsid w:val="6ABF1F2C"/>
    <w:rsid w:val="6BE55AFF"/>
    <w:rsid w:val="6C442950"/>
    <w:rsid w:val="6DAB2CB9"/>
    <w:rsid w:val="6FA96466"/>
    <w:rsid w:val="6FF72885"/>
    <w:rsid w:val="70717D71"/>
    <w:rsid w:val="71BE0440"/>
    <w:rsid w:val="71C264F8"/>
    <w:rsid w:val="71CB519E"/>
    <w:rsid w:val="72613AE1"/>
    <w:rsid w:val="72B77EE3"/>
    <w:rsid w:val="73830D2A"/>
    <w:rsid w:val="73BF30DD"/>
    <w:rsid w:val="74167ACE"/>
    <w:rsid w:val="754C7653"/>
    <w:rsid w:val="754F5EAE"/>
    <w:rsid w:val="75BA3961"/>
    <w:rsid w:val="75F07FC0"/>
    <w:rsid w:val="769E6F34"/>
    <w:rsid w:val="770E359F"/>
    <w:rsid w:val="77B377AB"/>
    <w:rsid w:val="77B95BD9"/>
    <w:rsid w:val="77F7471F"/>
    <w:rsid w:val="785C5DA8"/>
    <w:rsid w:val="786273AE"/>
    <w:rsid w:val="78981CB2"/>
    <w:rsid w:val="793A73E9"/>
    <w:rsid w:val="7A3E58FC"/>
    <w:rsid w:val="7A443099"/>
    <w:rsid w:val="7A4D1AEB"/>
    <w:rsid w:val="7A6628FC"/>
    <w:rsid w:val="7B4E3415"/>
    <w:rsid w:val="7B8E76C7"/>
    <w:rsid w:val="7B983FD9"/>
    <w:rsid w:val="7C1074AC"/>
    <w:rsid w:val="7C4D18E9"/>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8"/>
    <w:qFormat/>
    <w:uiPriority w:val="0"/>
    <w:pPr>
      <w:jc w:val="left"/>
    </w:pPr>
  </w:style>
  <w:style w:type="paragraph" w:styleId="19">
    <w:name w:val="Salutation"/>
    <w:basedOn w:val="1"/>
    <w:next w:val="1"/>
    <w:link w:val="80"/>
    <w:qFormat/>
    <w:uiPriority w:val="0"/>
    <w:pPr>
      <w:jc w:val="left"/>
    </w:pPr>
    <w:rPr>
      <w:rFonts w:eastAsia="PMingLiU"/>
      <w:sz w:val="24"/>
      <w:lang w:eastAsia="zh-TW"/>
    </w:rPr>
  </w:style>
  <w:style w:type="paragraph" w:styleId="20">
    <w:name w:val="Body Text 3"/>
    <w:basedOn w:val="1"/>
    <w:link w:val="133"/>
    <w:qFormat/>
    <w:uiPriority w:val="0"/>
    <w:pPr>
      <w:spacing w:after="120"/>
    </w:pPr>
    <w:rPr>
      <w:sz w:val="16"/>
      <w:szCs w:val="16"/>
    </w:rPr>
  </w:style>
  <w:style w:type="paragraph" w:styleId="21">
    <w:name w:val="Body Text"/>
    <w:basedOn w:val="1"/>
    <w:next w:val="1"/>
    <w:link w:val="61"/>
    <w:qFormat/>
    <w:uiPriority w:val="0"/>
    <w:rPr>
      <w:rFonts w:ascii="Arial" w:hAnsi="Arial"/>
      <w:color w:val="000000"/>
      <w:szCs w:val="24"/>
    </w:rPr>
  </w:style>
  <w:style w:type="paragraph" w:styleId="22">
    <w:name w:val="Body Text Indent"/>
    <w:basedOn w:val="1"/>
    <w:link w:val="147"/>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7"/>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9"/>
    <w:qFormat/>
    <w:uiPriority w:val="0"/>
    <w:rPr>
      <w:rFonts w:ascii="宋体"/>
      <w:sz w:val="24"/>
    </w:rPr>
  </w:style>
  <w:style w:type="paragraph" w:styleId="29">
    <w:name w:val="Body Text Indent 2"/>
    <w:basedOn w:val="1"/>
    <w:link w:val="82"/>
    <w:qFormat/>
    <w:uiPriority w:val="0"/>
    <w:pPr>
      <w:ind w:left="735"/>
    </w:pPr>
  </w:style>
  <w:style w:type="paragraph" w:styleId="30">
    <w:name w:val="Balloon Text"/>
    <w:basedOn w:val="1"/>
    <w:link w:val="74"/>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3"/>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9"/>
    <w:qFormat/>
    <w:uiPriority w:val="0"/>
    <w:rPr>
      <w:b/>
      <w:bCs/>
    </w:rPr>
  </w:style>
  <w:style w:type="paragraph" w:styleId="48">
    <w:name w:val="Body Text First Indent"/>
    <w:basedOn w:val="21"/>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1"/>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6"/>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0"/>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19"/>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29"/>
    <w:qFormat/>
    <w:uiPriority w:val="0"/>
    <w:rPr>
      <w:kern w:val="2"/>
      <w:sz w:val="21"/>
    </w:rPr>
  </w:style>
  <w:style w:type="character" w:customStyle="1" w:styleId="83">
    <w:name w:val="正文文本 2 字符"/>
    <w:link w:val="42"/>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39"/>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8"/>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2"/>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8"/>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6"/>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1"/>
    <w:qFormat/>
    <w:uiPriority w:val="99"/>
    <w:rPr>
      <w:kern w:val="2"/>
      <w:sz w:val="18"/>
    </w:rPr>
  </w:style>
  <w:style w:type="character" w:customStyle="1" w:styleId="121">
    <w:name w:val="题注 字符"/>
    <w:link w:val="14"/>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6"/>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0"/>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2"/>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0"/>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6"/>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4"/>
    <w:next w:val="14"/>
    <w:qFormat/>
    <w:uiPriority w:val="0"/>
    <w:rPr>
      <w:rFonts w:ascii="Arial Black" w:hAnsi="Arial Black"/>
      <w:sz w:val="30"/>
    </w:rPr>
  </w:style>
  <w:style w:type="paragraph" w:customStyle="1" w:styleId="255">
    <w:name w:val="_Style 20"/>
    <w:basedOn w:val="1"/>
    <w:next w:val="21"/>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6"/>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8"/>
    <w:next w:val="18"/>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3"/>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5</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张利娟</cp:lastModifiedBy>
  <cp:lastPrinted>2019-06-17T02:38:00Z</cp:lastPrinted>
  <dcterms:modified xsi:type="dcterms:W3CDTF">2023-08-08T02:36:45Z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