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pStyle w:val="3"/>
        <w:spacing w:after="120"/>
        <w:jc w:val="left"/>
      </w:pPr>
      <w:r>
        <w:rPr>
          <w:rFonts w:hint="eastAsia"/>
        </w:rPr>
        <w:t>（一）项目需求</w:t>
      </w:r>
    </w:p>
    <w:p>
      <w:pPr>
        <w:pStyle w:val="3"/>
        <w:spacing w:after="120"/>
        <w:jc w:val="left"/>
      </w:pPr>
      <w:r>
        <w:rPr>
          <w:rFonts w:hint="eastAsia"/>
        </w:rPr>
        <w:t>拟租赁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座大巴</w:t>
      </w:r>
      <w:r>
        <w:rPr>
          <w:rFonts w:hint="eastAsia"/>
          <w:lang w:val="en-US" w:eastAsia="zh-CN"/>
        </w:rPr>
        <w:t>及7座商务车</w:t>
      </w:r>
      <w:r>
        <w:rPr>
          <w:rFonts w:hint="eastAsia"/>
        </w:rPr>
        <w:t>车辆（含司机）用于广东省机场集团物流有限公司集中管理员工</w:t>
      </w:r>
      <w:r>
        <w:rPr>
          <w:rFonts w:hint="eastAsia"/>
          <w:lang w:val="en-US" w:eastAsia="zh-CN"/>
        </w:rPr>
        <w:t>上下班及回家</w:t>
      </w:r>
      <w:r>
        <w:rPr>
          <w:rFonts w:hint="eastAsia"/>
        </w:rPr>
        <w:t>通勤服务，</w:t>
      </w:r>
      <w:r>
        <w:rPr>
          <w:rFonts w:hint="eastAsia"/>
          <w:lang w:val="en-US" w:eastAsia="zh-CN"/>
        </w:rPr>
        <w:t>全年无休</w:t>
      </w:r>
      <w:r>
        <w:rPr>
          <w:rFonts w:hint="eastAsia"/>
        </w:rPr>
        <w:t>，服务期限自合同签订之日起一年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采购人按照每月实际运行趟次结算。</w:t>
      </w:r>
    </w:p>
    <w:p>
      <w:pPr>
        <w:pStyle w:val="3"/>
        <w:spacing w:after="120"/>
        <w:jc w:val="left"/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线路情况：</w:t>
      </w:r>
    </w:p>
    <w:p>
      <w:pPr>
        <w:pStyle w:val="3"/>
        <w:spacing w:after="120"/>
        <w:jc w:val="left"/>
        <w:rPr>
          <w:rFonts w:hint="eastAsia" w:eastAsia="宋体"/>
          <w:lang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上下班线路：</w:t>
      </w:r>
      <w:r>
        <w:rPr>
          <w:rFonts w:hint="eastAsia"/>
        </w:rPr>
        <w:t>机场物流国际1号货站</w:t>
      </w:r>
      <w:r>
        <w:rPr>
          <w:rFonts w:hint="eastAsia"/>
          <w:lang w:eastAsia="zh-CN"/>
        </w:rPr>
        <w:t>—</w:t>
      </w:r>
      <w:r>
        <w:rPr>
          <w:rFonts w:hint="eastAsia"/>
        </w:rPr>
        <w:t>北区云锦云尚酒店</w:t>
      </w:r>
      <w:r>
        <w:rPr>
          <w:rFonts w:hint="eastAsia"/>
          <w:lang w:eastAsia="zh-CN"/>
        </w:rPr>
        <w:t>。</w:t>
      </w:r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集中管理人员回家线路：</w:t>
      </w:r>
    </w:p>
    <w:p>
      <w:pPr>
        <w:pStyle w:val="3"/>
        <w:spacing w:after="12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诺富特酒店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方指定地点</w:t>
      </w:r>
      <w:r>
        <w:rPr>
          <w:rFonts w:hint="eastAsia"/>
          <w:lang w:eastAsia="zh-CN"/>
        </w:rPr>
        <w:t>；</w:t>
      </w:r>
    </w:p>
    <w:p>
      <w:pPr>
        <w:pStyle w:val="3"/>
        <w:spacing w:after="12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云锦云尚酒店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方指定地点</w:t>
      </w:r>
      <w:r>
        <w:rPr>
          <w:rFonts w:hint="eastAsia"/>
          <w:lang w:eastAsia="zh-CN"/>
        </w:rPr>
        <w:t>。</w:t>
      </w:r>
    </w:p>
    <w:p>
      <w:pPr>
        <w:pStyle w:val="3"/>
        <w:spacing w:after="120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、主要服务内容</w:t>
      </w:r>
      <w:r>
        <w:rPr>
          <w:rFonts w:hint="eastAsia"/>
          <w:lang w:eastAsia="zh-CN"/>
        </w:rPr>
        <w:t>：</w:t>
      </w:r>
    </w:p>
    <w:p>
      <w:pPr>
        <w:pStyle w:val="3"/>
        <w:spacing w:after="12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（1）</w:t>
      </w:r>
      <w:r>
        <w:t>提供</w:t>
      </w:r>
      <w:r>
        <w:rPr>
          <w:rFonts w:hint="eastAsia"/>
          <w:lang w:val="en-US" w:eastAsia="zh-CN"/>
        </w:rPr>
        <w:t>集中管理员工上下班及回家的</w:t>
      </w:r>
      <w:r>
        <w:t>通勤交通保障服务</w:t>
      </w:r>
      <w:r>
        <w:rPr>
          <w:rFonts w:hint="eastAsia"/>
          <w:lang w:eastAsia="zh-CN"/>
        </w:rPr>
        <w:t>，</w:t>
      </w:r>
      <w:r>
        <w:t>包括车辆，以及配备相应的专职驾驶员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有集中管理防疫运输服务经验，熟悉口岸单位防疫标准。</w:t>
      </w:r>
    </w:p>
    <w:p>
      <w:pPr>
        <w:pStyle w:val="3"/>
        <w:spacing w:after="120"/>
        <w:jc w:val="left"/>
      </w:pPr>
      <w:r>
        <w:rPr>
          <w:rFonts w:hint="eastAsia"/>
        </w:rPr>
        <w:t>（2）在接到派车电话后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具体需求派出车辆并在30分钟内到达指定地点等候</w:t>
      </w:r>
      <w:r>
        <w:rPr>
          <w:rFonts w:hint="eastAsia"/>
          <w:lang w:eastAsia="zh-CN"/>
        </w:rPr>
        <w:t>；</w:t>
      </w:r>
      <w:r>
        <w:t>如因车辆故障或中标方原因无法按时出车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中标方</w:t>
      </w:r>
      <w:r>
        <w:rPr>
          <w:rFonts w:hint="eastAsia"/>
        </w:rPr>
        <w:t>需在1小时内提供备用车辆以及人员以保障运输服务不受影响。</w:t>
      </w:r>
    </w:p>
    <w:p>
      <w:pPr>
        <w:pStyle w:val="3"/>
        <w:spacing w:after="120"/>
        <w:jc w:val="left"/>
      </w:pPr>
      <w:r>
        <w:rPr>
          <w:rFonts w:hint="eastAsia"/>
        </w:rPr>
        <w:t>（3）</w:t>
      </w:r>
      <w:r>
        <w:t>负责车辆的定期维修及保养，保证车辆处于良好的状态，并为使用车辆提供第三者商业保险且保额不低于200万,同时为使用车辆提供司乘座位险且保额不低于每个座位40万元人民币。</w:t>
      </w:r>
    </w:p>
    <w:p>
      <w:pPr>
        <w:pStyle w:val="3"/>
        <w:spacing w:after="120"/>
        <w:jc w:val="left"/>
      </w:pPr>
      <w:r>
        <w:rPr>
          <w:rFonts w:hint="eastAsia"/>
        </w:rPr>
        <w:t>（4）</w:t>
      </w:r>
      <w:r>
        <w:t>在服务过程中如发生交通意外，由中标方负责处理并赔偿，赔偿事宜按国家有关规定执行。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）采购人</w:t>
      </w:r>
      <w:r>
        <w:t>可根据项目实际对服务内容进行增减及细化，如</w:t>
      </w:r>
      <w:r>
        <w:rPr>
          <w:rFonts w:hint="eastAsia"/>
          <w:lang w:val="en-US" w:eastAsia="zh-CN"/>
        </w:rPr>
        <w:t>服务线路</w:t>
      </w:r>
      <w:r>
        <w:t>、停靠站点等。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</w:rPr>
        <w:t>主要工作内容（包括但不限于如下）</w:t>
      </w:r>
      <w:r>
        <w:rPr>
          <w:rFonts w:hint="eastAsia"/>
          <w:b/>
          <w:bCs/>
          <w:szCs w:val="21"/>
          <w:lang w:eastAsia="zh-CN"/>
        </w:rPr>
        <w:t>：</w:t>
      </w:r>
    </w:p>
    <w:p>
      <w:pPr>
        <w:pStyle w:val="3"/>
        <w:spacing w:after="120"/>
        <w:jc w:val="left"/>
        <w:rPr>
          <w:rFonts w:hint="eastAsia" w:eastAsia="宋体"/>
          <w:lang w:eastAsia="zh-CN"/>
        </w:rPr>
      </w:pPr>
      <w:r>
        <w:rPr>
          <w:rFonts w:hint="eastAsia"/>
        </w:rPr>
        <w:t>1、</w:t>
      </w:r>
      <w:r>
        <w:t>工作要求</w:t>
      </w:r>
      <w:r>
        <w:rPr>
          <w:rFonts w:hint="eastAsia"/>
          <w:lang w:eastAsia="zh-CN"/>
        </w:rPr>
        <w:t>：</w:t>
      </w:r>
    </w:p>
    <w:p>
      <w:pPr>
        <w:pStyle w:val="3"/>
        <w:spacing w:after="120"/>
        <w:jc w:val="left"/>
        <w:rPr>
          <w:rFonts w:hint="eastAsia"/>
        </w:rPr>
      </w:pPr>
      <w:r>
        <w:rPr>
          <w:rFonts w:hint="eastAsia"/>
        </w:rPr>
        <w:t>（1）行车中必须严格遵守交通规则和操作规程，集中精力，文明行车；</w:t>
      </w:r>
    </w:p>
    <w:p>
      <w:pPr>
        <w:pStyle w:val="3"/>
        <w:spacing w:after="120"/>
        <w:jc w:val="left"/>
        <w:rPr>
          <w:rFonts w:hint="eastAsia"/>
        </w:rPr>
      </w:pPr>
      <w:r>
        <w:rPr>
          <w:rFonts w:hint="eastAsia"/>
        </w:rPr>
        <w:t>（2）驾驶员必须按规定进入指定停靠点，待乘客上车完毕，确认安全后，关好车门开车；</w:t>
      </w:r>
    </w:p>
    <w:p>
      <w:pPr>
        <w:pStyle w:val="3"/>
        <w:spacing w:after="120"/>
        <w:jc w:val="left"/>
        <w:rPr>
          <w:rFonts w:hint="eastAsia"/>
        </w:rPr>
      </w:pPr>
      <w:r>
        <w:rPr>
          <w:rFonts w:hint="eastAsia"/>
        </w:rPr>
        <w:t>（3）除指定停靠点外，未经批准，禁止上下客；</w:t>
      </w:r>
    </w:p>
    <w:p>
      <w:pPr>
        <w:pStyle w:val="3"/>
        <w:spacing w:after="120"/>
        <w:jc w:val="left"/>
        <w:rPr>
          <w:rFonts w:hint="eastAsia"/>
        </w:rPr>
      </w:pPr>
      <w:r>
        <w:rPr>
          <w:rFonts w:hint="eastAsia"/>
        </w:rPr>
        <w:t>（4）应指派专职人员进行工作接洽和日常工作管理，并派员对驾驶员进行经常性的检查督促及教育培训。中途遇车辆故障或其他意外时，应减速将车辆驶入路肩或路旁停下，迅速在车后约150米处放置危险标志牌，同时还需开危险应急灯，保护好现场，必要时把乘客引导到安全地带，迅速与车队取得联系，并向服务对象相关管理部门报告相关情况。</w:t>
      </w:r>
    </w:p>
    <w:p>
      <w:pPr>
        <w:pStyle w:val="3"/>
        <w:spacing w:after="120"/>
        <w:jc w:val="left"/>
        <w:rPr>
          <w:rFonts w:hint="eastAsia"/>
        </w:rPr>
      </w:pPr>
      <w:r>
        <w:rPr>
          <w:rFonts w:hint="eastAsia"/>
        </w:rPr>
        <w:t>（5）到达终点站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a.</w:t>
      </w:r>
      <w:r>
        <w:t>将车驶至指定的落客区，让乘客有秩序下车；</w:t>
      </w:r>
    </w:p>
    <w:p>
      <w:pPr>
        <w:pStyle w:val="3"/>
        <w:spacing w:after="120"/>
        <w:jc w:val="left"/>
      </w:pPr>
      <w:r>
        <w:rPr>
          <w:rFonts w:hint="eastAsia"/>
        </w:rPr>
        <w:t>b.</w:t>
      </w:r>
      <w:r>
        <w:t>巡视检查车厢座位有无乘客遗留物品，如有，及时通报采购人方，归还失主；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c.</w:t>
      </w:r>
      <w:r>
        <w:t>搞好车厢内外及卫生间的卫生清洁，统一标准整理好座位；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d.</w:t>
      </w:r>
      <w:r>
        <w:t>按规定进行回场后的车辆安全检查，发现故障及时排除，确保整点应班；</w:t>
      </w:r>
    </w:p>
    <w:p>
      <w:pPr>
        <w:pStyle w:val="3"/>
        <w:spacing w:after="120"/>
        <w:jc w:val="left"/>
      </w:pPr>
      <w:r>
        <w:rPr>
          <w:rFonts w:hint="eastAsia"/>
        </w:rPr>
        <w:t>e.</w:t>
      </w:r>
      <w:r>
        <w:t>检查燃料，润滑油，冷却水，必要时补充；</w:t>
      </w:r>
    </w:p>
    <w:p>
      <w:pPr>
        <w:pStyle w:val="3"/>
        <w:spacing w:after="120"/>
        <w:jc w:val="left"/>
      </w:pPr>
      <w:r>
        <w:rPr>
          <w:rFonts w:hint="eastAsia"/>
        </w:rPr>
        <w:t>f .</w:t>
      </w:r>
      <w:r>
        <w:t>疫情防控期间应做好消毒，保存好消毒视频或记录资料；</w:t>
      </w:r>
    </w:p>
    <w:p>
      <w:pPr>
        <w:pStyle w:val="3"/>
        <w:spacing w:after="120"/>
        <w:jc w:val="left"/>
      </w:pPr>
      <w:r>
        <w:rPr>
          <w:rFonts w:hint="eastAsia"/>
        </w:rPr>
        <w:t>g.</w:t>
      </w:r>
      <w:r>
        <w:t>采购人可根据项目实际对相关工作要求进行增减及细化。</w:t>
      </w:r>
    </w:p>
    <w:p>
      <w:pPr>
        <w:pStyle w:val="3"/>
        <w:spacing w:after="120"/>
        <w:jc w:val="left"/>
      </w:pPr>
      <w:r>
        <w:rPr>
          <w:rFonts w:hint="eastAsia"/>
        </w:rPr>
        <w:t>2、</w:t>
      </w:r>
      <w:r>
        <w:t>人员要求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驾驶员任职条件：年龄为55周岁以下，学历高中或以上，已持有大型客车A1驾驶证(准驾车龄5年或以上)；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两眼裸视力或矫正视力达到对数视力表5.0以上；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辨色力、听力正常；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身体各部分活动能力及机能反映正常，无各种妨碍旅客运输驾驶操作的生理缺陷；</w:t>
      </w:r>
    </w:p>
    <w:p>
      <w:pPr>
        <w:pStyle w:val="3"/>
        <w:spacing w:after="120"/>
        <w:jc w:val="left"/>
      </w:pPr>
      <w:r>
        <w:rPr>
          <w:rFonts w:hint="eastAsia"/>
        </w:rPr>
        <w:t>（5）良好的语言沟通能力</w:t>
      </w:r>
      <w:r>
        <w:t>；</w:t>
      </w:r>
    </w:p>
    <w:p>
      <w:pPr>
        <w:pStyle w:val="3"/>
        <w:spacing w:after="120"/>
        <w:jc w:val="left"/>
      </w:pPr>
      <w:r>
        <w:rPr>
          <w:rFonts w:hint="eastAsia"/>
        </w:rPr>
        <w:t>（6）</w:t>
      </w:r>
      <w:r>
        <w:t>无犯罪记录，三年内无重大交通事故和严重违章记录；</w:t>
      </w:r>
    </w:p>
    <w:p>
      <w:pPr>
        <w:pStyle w:val="3"/>
        <w:spacing w:after="120"/>
        <w:jc w:val="left"/>
        <w:rPr>
          <w:rFonts w:hint="eastAsia" w:eastAsia="宋体"/>
          <w:lang w:eastAsia="zh-CN"/>
        </w:rPr>
      </w:pPr>
      <w:r>
        <w:rPr>
          <w:rFonts w:hint="eastAsia"/>
        </w:rPr>
        <w:t>（7）</w:t>
      </w:r>
      <w:r>
        <w:t>技能要求：熟练掌握车辆的自检自修项目，熟悉广州市及周边地区行驶道路及地理情况，交通法规测评合格，熟知交通消防等应急救援技能和常识</w:t>
      </w:r>
      <w:r>
        <w:rPr>
          <w:rFonts w:hint="eastAsia"/>
          <w:lang w:eastAsia="zh-CN"/>
        </w:rPr>
        <w:t>；</w:t>
      </w:r>
    </w:p>
    <w:p>
      <w:pPr>
        <w:pStyle w:val="3"/>
        <w:spacing w:after="12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集中管理居住要求：47座车型驾驶员需根据采购方要求，严格落实集中居住管理，不得违反相应的防疫政策及措施</w:t>
      </w:r>
      <w:r>
        <w:rPr>
          <w:rFonts w:hint="eastAsia"/>
          <w:lang w:val="en-US" w:eastAsia="zh-CN"/>
        </w:rPr>
        <w:t>。</w:t>
      </w:r>
    </w:p>
    <w:p>
      <w:pPr>
        <w:pStyle w:val="3"/>
        <w:spacing w:after="120"/>
        <w:jc w:val="left"/>
      </w:pPr>
      <w:r>
        <w:rPr>
          <w:rFonts w:hint="eastAsia"/>
        </w:rPr>
        <w:t>3、</w:t>
      </w:r>
      <w:r>
        <w:t>车辆要求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车辆车厢及外观完好整洁，车辆技术状况完好；</w:t>
      </w:r>
    </w:p>
    <w:p>
      <w:pPr>
        <w:pStyle w:val="3"/>
        <w:spacing w:after="120"/>
        <w:jc w:val="left"/>
      </w:pPr>
      <w:r>
        <w:rPr>
          <w:rFonts w:hint="eastAsia"/>
        </w:rPr>
        <w:t>（2）</w:t>
      </w:r>
      <w:r>
        <w:t>车型：通勤大巴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7</w:t>
      </w:r>
      <w:r>
        <w:t>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商务车7座</w:t>
      </w:r>
      <w:r>
        <w:t>，安装GPS监控系统或行车记录仪；</w:t>
      </w:r>
    </w:p>
    <w:p>
      <w:pPr>
        <w:pStyle w:val="3"/>
        <w:spacing w:after="120"/>
        <w:jc w:val="left"/>
      </w:pPr>
      <w:r>
        <w:rPr>
          <w:rFonts w:hint="eastAsia"/>
        </w:rPr>
        <w:t>（3）</w:t>
      </w:r>
      <w:r>
        <w:t>必须是符合运营条件的</w:t>
      </w:r>
      <w:r>
        <w:rPr>
          <w:rFonts w:hint="eastAsia"/>
          <w:lang w:val="en-US" w:eastAsia="zh-CN"/>
        </w:rPr>
        <w:t>车辆</w:t>
      </w:r>
      <w:r>
        <w:t>，符合国家相关技术标准；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提供的车辆需按时年审，无重大维修；</w:t>
      </w:r>
    </w:p>
    <w:p>
      <w:pPr>
        <w:pStyle w:val="3"/>
        <w:spacing w:after="120"/>
        <w:jc w:val="left"/>
        <w:rPr>
          <w:rFonts w:hint="eastAsia"/>
          <w:lang w:eastAsia="zh-CN"/>
        </w:rPr>
      </w:pPr>
      <w:r>
        <w:rPr>
          <w:rFonts w:hint="eastAsia"/>
        </w:rPr>
        <w:t>（5）</w:t>
      </w:r>
      <w:r>
        <w:t>提供的车辆需购买交强险、承运人责任险、购买机动车商业保险、乘客座位险。每座位配备乘客安全带，车辆配备灭火器，设置有应急逃生门</w:t>
      </w:r>
      <w:r>
        <w:rPr>
          <w:rFonts w:hint="eastAsia"/>
          <w:lang w:eastAsia="zh-CN"/>
        </w:rPr>
        <w:t>；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0" w:name="_Toc6990994"/>
      <w:bookmarkStart w:id="1" w:name="_Toc464"/>
      <w:bookmarkStart w:id="2" w:name="_Toc8479"/>
      <w:bookmarkStart w:id="3" w:name="_Toc30855"/>
      <w:bookmarkStart w:id="4" w:name="_Toc3860"/>
      <w:bookmarkStart w:id="5" w:name="_Toc12609"/>
      <w:bookmarkStart w:id="6" w:name="_Toc15109"/>
      <w:bookmarkStart w:id="7" w:name="_Toc5252"/>
      <w:bookmarkStart w:id="8" w:name="_Toc34487768"/>
      <w:bookmarkStart w:id="9" w:name="_Toc13454"/>
      <w:bookmarkStart w:id="10" w:name="_Toc9973"/>
      <w:bookmarkStart w:id="11" w:name="_Toc1555"/>
      <w:bookmarkStart w:id="12" w:name="_Toc18421"/>
      <w:bookmarkStart w:id="13" w:name="_Toc5069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（一）完成日期：应在最终采购方规定的时限内完成。</w:t>
      </w:r>
    </w:p>
    <w:p>
      <w:pPr>
        <w:pStyle w:val="3"/>
        <w:spacing w:after="120"/>
        <w:jc w:val="lef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（二）交付地点：采购方指定的地点</w:t>
      </w:r>
      <w:r>
        <w:rPr>
          <w:rFonts w:hint="eastAsia"/>
          <w:lang w:val="zh-CN" w:eastAsia="zh-CN"/>
        </w:rPr>
        <w:t>。</w:t>
      </w:r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bookmarkStart w:id="14" w:name="_Toc24307"/>
      <w:bookmarkStart w:id="15" w:name="_Toc12160"/>
      <w:bookmarkStart w:id="16" w:name="_Toc13787"/>
      <w:bookmarkStart w:id="17" w:name="_Toc2279"/>
      <w:bookmarkStart w:id="18" w:name="_Toc9248"/>
      <w:bookmarkStart w:id="19" w:name="_Toc10577"/>
      <w:bookmarkStart w:id="20" w:name="_Toc28769"/>
      <w:bookmarkStart w:id="21" w:name="_Toc21355"/>
      <w:bookmarkStart w:id="22" w:name="_Toc25065"/>
      <w:bookmarkStart w:id="23" w:name="_Toc19268"/>
      <w:bookmarkStart w:id="24" w:name="_Toc6990995"/>
      <w:bookmarkStart w:id="25" w:name="_Toc34487769"/>
      <w:bookmarkStart w:id="26" w:name="_Toc31027"/>
      <w:bookmarkStart w:id="27" w:name="_Toc8437"/>
      <w:r>
        <w:rPr>
          <w:rFonts w:hint="eastAsia"/>
          <w:lang w:val="en-US" w:eastAsia="zh-CN"/>
        </w:rPr>
        <w:t>三、技术资料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（一）合同签订者应在每个阶段完成的项目成果文件，并进行相关文档的归纳、整理、提交，提供完整的资料。</w:t>
      </w:r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（二）技术文件：包括前期调研、项目过程文档等资料。</w:t>
      </w:r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（三）对运行中发现的问题进行分析，制定改正措施并实施，加强项目管理，确保项目质量与安全。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8" w:name="_Toc18659"/>
      <w:bookmarkStart w:id="29" w:name="_Toc6990996"/>
      <w:bookmarkStart w:id="30" w:name="_Toc17552"/>
      <w:bookmarkStart w:id="31" w:name="_Toc19875"/>
      <w:bookmarkStart w:id="32" w:name="_Toc22799"/>
      <w:bookmarkStart w:id="33" w:name="_Toc9701"/>
      <w:bookmarkStart w:id="34" w:name="_Toc34487770"/>
      <w:bookmarkStart w:id="35" w:name="_Toc5936"/>
      <w:bookmarkStart w:id="36" w:name="_Toc30735"/>
      <w:bookmarkStart w:id="37" w:name="_Toc18695"/>
      <w:bookmarkStart w:id="38" w:name="_Toc28554"/>
      <w:bookmarkStart w:id="39" w:name="_Toc12699"/>
      <w:bookmarkStart w:id="40" w:name="_Toc29978"/>
      <w:bookmarkStart w:id="41" w:name="_Toc31909"/>
      <w:r>
        <w:rPr>
          <w:rFonts w:hint="eastAsia" w:ascii="宋体" w:hAnsi="宋体"/>
          <w:b/>
          <w:sz w:val="28"/>
          <w:szCs w:val="28"/>
        </w:rPr>
        <w:t>四、付款方式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3"/>
        <w:spacing w:after="1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最终采购方根据预算批复情况，按照合同约定，对成交人承担的技术服务进行结算和支付。（具体付款方式由最终采购方与成交人协商确定）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42" w:name="_Toc21247"/>
      <w:bookmarkStart w:id="43" w:name="_Toc51"/>
      <w:bookmarkStart w:id="44" w:name="_Toc14471"/>
      <w:bookmarkStart w:id="45" w:name="_Toc34487771"/>
      <w:bookmarkStart w:id="46" w:name="_Toc24862"/>
      <w:bookmarkStart w:id="47" w:name="_Toc10135"/>
      <w:bookmarkStart w:id="48" w:name="_Toc6808"/>
      <w:bookmarkStart w:id="49" w:name="_Toc12360"/>
      <w:bookmarkStart w:id="50" w:name="_Toc3679"/>
      <w:bookmarkStart w:id="51" w:name="_Toc30235"/>
      <w:bookmarkStart w:id="52" w:name="_Toc23893"/>
      <w:bookmarkStart w:id="53" w:name="_Toc21441"/>
      <w:bookmarkStart w:id="54" w:name="_Toc6990997"/>
      <w:bookmarkStart w:id="55" w:name="_Toc5372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ind w:firstLine="420" w:firstLineChars="200"/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85A"/>
    <w:rsid w:val="00EB064A"/>
    <w:rsid w:val="01F94B96"/>
    <w:rsid w:val="03D21B94"/>
    <w:rsid w:val="05776429"/>
    <w:rsid w:val="14282892"/>
    <w:rsid w:val="17514DF5"/>
    <w:rsid w:val="175A41D6"/>
    <w:rsid w:val="200260AE"/>
    <w:rsid w:val="28A02DEE"/>
    <w:rsid w:val="2B020103"/>
    <w:rsid w:val="2FDB3FFB"/>
    <w:rsid w:val="30251766"/>
    <w:rsid w:val="33910F75"/>
    <w:rsid w:val="37241BBC"/>
    <w:rsid w:val="37CB4647"/>
    <w:rsid w:val="3E6802E6"/>
    <w:rsid w:val="3F245492"/>
    <w:rsid w:val="41AC7DC7"/>
    <w:rsid w:val="42FC4202"/>
    <w:rsid w:val="48961403"/>
    <w:rsid w:val="49B51736"/>
    <w:rsid w:val="507F1A16"/>
    <w:rsid w:val="518E3437"/>
    <w:rsid w:val="609703EC"/>
    <w:rsid w:val="60A6085A"/>
    <w:rsid w:val="61296B8A"/>
    <w:rsid w:val="617D7BA0"/>
    <w:rsid w:val="62833D4E"/>
    <w:rsid w:val="647B2B7F"/>
    <w:rsid w:val="663E2919"/>
    <w:rsid w:val="67267651"/>
    <w:rsid w:val="673C39E9"/>
    <w:rsid w:val="6D762EF4"/>
    <w:rsid w:val="70AF2A6F"/>
    <w:rsid w:val="71706362"/>
    <w:rsid w:val="72A9038C"/>
    <w:rsid w:val="742175F5"/>
    <w:rsid w:val="745E2621"/>
    <w:rsid w:val="7DF340AE"/>
    <w:rsid w:val="7E8D1549"/>
    <w:rsid w:val="7F7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2022-12-17T04:49:00Z</dcterms:created>
  <dc:creator>李哲晓</dc:creator>
  <cp:lastModifiedBy>李哲晓</cp:lastModifiedBy>
  <dcterms:modified xsi:type="dcterms:W3CDTF">2022-12-17T04:50:53Z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