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7"/>
        </w:tabs>
        <w:autoSpaceDE w:val="0"/>
        <w:autoSpaceDN w:val="0"/>
        <w:ind w:left="567" w:hanging="567"/>
        <w:jc w:val="center"/>
        <w:textAlignment w:val="bottom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用户需求书</w:t>
      </w:r>
    </w:p>
    <w:p>
      <w:pPr>
        <w:spacing w:line="360" w:lineRule="auto"/>
        <w:ind w:firstLine="410" w:firstLineChars="146"/>
        <w:jc w:val="left"/>
        <w:outlineLvl w:val="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一、技术需求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after="120" w:afterLines="50"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工作内容</w:t>
      </w:r>
    </w:p>
    <w:p>
      <w:pPr>
        <w:adjustRightInd w:val="0"/>
        <w:snapToGrid w:val="0"/>
        <w:spacing w:before="120" w:beforeLines="50" w:after="120" w:afterLines="50" w:line="360" w:lineRule="auto"/>
        <w:ind w:right="370" w:rightChars="176" w:firstLine="420" w:firstLineChars="200"/>
        <w:rPr>
          <w:rFonts w:hint="eastAsia" w:eastAsia="宋体" w:cs="宋体"/>
          <w:kern w:val="0"/>
          <w:szCs w:val="21"/>
          <w:u w:val="single"/>
          <w:lang w:eastAsia="zh-CN"/>
        </w:rPr>
      </w:pPr>
      <w:r>
        <w:rPr>
          <w:rFonts w:hint="eastAsia"/>
          <w:lang w:eastAsia="zh-CN"/>
        </w:rPr>
        <w:t>广东省机场集团物流有限公司</w:t>
      </w:r>
      <w:r>
        <w:rPr>
          <w:rFonts w:hint="eastAsia"/>
          <w:lang w:val="en-US" w:eastAsia="zh-CN"/>
        </w:rPr>
        <w:t>2022-2023年度</w:t>
      </w:r>
      <w:r>
        <w:rPr>
          <w:rFonts w:hint="eastAsia"/>
          <w:lang w:eastAsia="zh-CN"/>
        </w:rPr>
        <w:t>饮用水供应服务</w:t>
      </w:r>
      <w:r>
        <w:rPr>
          <w:rFonts w:hint="eastAsia" w:ascii="宋体"/>
          <w:szCs w:val="21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after="120" w:afterLines="50" w:line="360" w:lineRule="auto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工作要求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供应商需具备出售此类商品的资质。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2.乙方须符合国家税务机关核定的纳税人资质，能开具增值税专用发票。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严格按照我方询价单内容报价。在合同履行期内，各项目单价不受市场变化而改变。根据实际订单数量结算。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供应商必须自行具备办理国际1号货站库区通行证等相关证件的能力，并在7天内准备相关资料办理证件。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如发现质量问题，供方无条件接受退货、换货等要求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需在24小时内完成退换。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饮用水质量、规格及技术特征符合国家颁布的饮用水卫生标准，每季度需按时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怡宝、鼎湖、农夫山泉等品牌的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水质检验报告。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不得提供与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采购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清单不符的产品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。</w:t>
      </w:r>
    </w:p>
    <w:p>
      <w:pPr>
        <w:pStyle w:val="3"/>
        <w:spacing w:line="360" w:lineRule="auto"/>
        <w:ind w:left="425"/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（三）送货</w:t>
      </w:r>
      <w:r>
        <w:rPr>
          <w:rFonts w:hint="eastAsia" w:asci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服务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  <w:t>需求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从下定单日开始计算，24小时内完成送货（周末及法定假期不接收货物）收货时间为早上09:00至下午17:00。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供应商报价（含税）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为最终成交价，包含税费、运输费、人工费等费用，事后不再增加任何费用。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3、商品需按照订单上所写部门提前做好数量的分类，送到各部门指定地点。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4、报价人应设有专人、专线追踪落实。保证专人专门负责此项事宜。全年365天，每天24小时，有专人职守，联系渠道时时畅通，做到及时反馈信息，有叫必到。到达现场不超过24小时。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 5、报价人应每季度向我司提供免费的饮水机清洗、饮水机、压水器等配件更换和维修服务等。报价人收到我司电话或书面通知后，保证在双方预约的时间到我司指定地点提供免费服务。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6、每批次送水数量、回收空桶数量由双方在记录卡上签名确认，以方便月底对账结款。报价人要在次月的10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日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（含10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日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）前完成每月饮用水统计签名工作，并在次月中旬把发票和统计表给到</w:t>
      </w:r>
      <w:r>
        <w:rPr>
          <w:rFonts w:hint="eastAsia" w:asci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甲方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。</w:t>
      </w:r>
    </w:p>
    <w:p>
      <w:pPr>
        <w:pStyle w:val="3"/>
        <w:spacing w:line="360" w:lineRule="auto"/>
        <w:ind w:left="425"/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7、报价人送水时要使用静音手推车，送水人员尽量保持低音量。</w:t>
      </w:r>
    </w:p>
    <w:p>
      <w:pPr>
        <w:numPr>
          <w:ilvl w:val="0"/>
          <w:numId w:val="0"/>
        </w:numPr>
        <w:adjustRightInd w:val="0"/>
        <w:snapToGrid w:val="0"/>
        <w:spacing w:before="120" w:beforeLines="50" w:after="120" w:afterLines="50" w:line="360" w:lineRule="auto"/>
        <w:ind w:left="422" w:leftChars="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（四）采购清单</w:t>
      </w:r>
      <w:r>
        <w:rPr>
          <w:rFonts w:hint="eastAsia"/>
          <w:b/>
          <w:bCs/>
          <w:szCs w:val="21"/>
        </w:rPr>
        <w:t>（包括但不限于如下</w:t>
      </w:r>
      <w:r>
        <w:rPr>
          <w:rFonts w:hint="eastAsia"/>
          <w:b/>
          <w:bCs/>
          <w:szCs w:val="21"/>
          <w:lang w:eastAsia="zh-CN"/>
        </w:rPr>
        <w:t>，</w:t>
      </w:r>
      <w:r>
        <w:rPr>
          <w:rFonts w:hint="eastAsia"/>
          <w:b/>
          <w:bCs/>
          <w:szCs w:val="21"/>
          <w:lang w:val="en-US" w:eastAsia="zh-CN"/>
        </w:rPr>
        <w:t>以下单价及最高限价均为含税额度</w:t>
      </w:r>
      <w:r>
        <w:rPr>
          <w:rFonts w:hint="eastAsia"/>
          <w:b/>
          <w:bCs/>
          <w:szCs w:val="21"/>
        </w:rPr>
        <w:t>）</w:t>
      </w:r>
    </w:p>
    <w:p>
      <w:pPr>
        <w:pStyle w:val="2"/>
        <w:rPr>
          <w:rFonts w:hint="eastAsia"/>
          <w:b/>
          <w:bCs/>
          <w:szCs w:val="21"/>
        </w:rPr>
      </w:pPr>
    </w:p>
    <w:p>
      <w:pPr>
        <w:pStyle w:val="2"/>
        <w:rPr>
          <w:rFonts w:hint="eastAsia"/>
          <w:b/>
          <w:bCs/>
          <w:szCs w:val="21"/>
        </w:rPr>
      </w:pPr>
    </w:p>
    <w:tbl>
      <w:tblPr>
        <w:tblStyle w:val="7"/>
        <w:tblW w:w="85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631"/>
        <w:gridCol w:w="1697"/>
        <w:gridCol w:w="800"/>
        <w:gridCol w:w="1358"/>
        <w:gridCol w:w="1290"/>
        <w:gridCol w:w="1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拟设定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（元、含税）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限额（元、含税）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鼎湖山泉水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18.9L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怡宝纯净水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18.9L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百岁山支装水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348ml/支，24支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怡宝支装水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350ml/支，24支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霍山矿泉水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330ml/支，24支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霍山矿泉水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5L/桶， 4桶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农夫山泉矿泉水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5L/桶， 4桶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长白天润泉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5L/桶， 4桶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243300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120" w:beforeLines="50" w:after="120" w:afterLines="50" w:line="360" w:lineRule="auto"/>
        <w:ind w:left="422" w:leftChars="0"/>
        <w:rPr>
          <w:rFonts w:hint="eastAsia" w:eastAsia="宋体"/>
          <w:b/>
          <w:bCs/>
          <w:szCs w:val="21"/>
          <w:lang w:eastAsia="zh-CN"/>
        </w:rPr>
      </w:pP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0" w:name="_Toc34487768"/>
      <w:bookmarkStart w:id="1" w:name="_Toc3860"/>
      <w:bookmarkStart w:id="2" w:name="_Toc18421"/>
      <w:bookmarkStart w:id="3" w:name="_Toc5069"/>
      <w:bookmarkStart w:id="4" w:name="_Toc1555"/>
      <w:bookmarkStart w:id="5" w:name="_Toc464"/>
      <w:bookmarkStart w:id="6" w:name="_Toc9973"/>
      <w:bookmarkStart w:id="7" w:name="_Toc5252"/>
      <w:bookmarkStart w:id="8" w:name="_Toc13454"/>
      <w:bookmarkStart w:id="9" w:name="_Toc12609"/>
      <w:bookmarkStart w:id="10" w:name="_Toc15109"/>
      <w:bookmarkStart w:id="11" w:name="_Toc6990994"/>
      <w:bookmarkStart w:id="12" w:name="_Toc8479"/>
      <w:bookmarkStart w:id="13" w:name="_Toc30855"/>
      <w:r>
        <w:rPr>
          <w:rFonts w:hint="eastAsia" w:ascii="宋体" w:hAnsi="宋体"/>
          <w:b/>
          <w:sz w:val="28"/>
          <w:szCs w:val="28"/>
        </w:rPr>
        <w:t>二、交付期、交付使用及实施地点要求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numPr>
          <w:ilvl w:val="3"/>
          <w:numId w:val="2"/>
        </w:numPr>
        <w:tabs>
          <w:tab w:val="left" w:pos="0"/>
        </w:tabs>
        <w:spacing w:line="360" w:lineRule="auto"/>
        <w:ind w:left="0" w:firstLine="420" w:firstLineChars="200"/>
      </w:pPr>
      <w:r>
        <w:rPr>
          <w:rFonts w:hint="eastAsia"/>
        </w:rPr>
        <w:t>完成日期：应在最终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规定的时限内完成。</w:t>
      </w:r>
    </w:p>
    <w:p>
      <w:pPr>
        <w:numPr>
          <w:ilvl w:val="3"/>
          <w:numId w:val="2"/>
        </w:numPr>
        <w:tabs>
          <w:tab w:val="left" w:pos="0"/>
        </w:tabs>
        <w:spacing w:line="360" w:lineRule="auto"/>
        <w:ind w:left="0" w:firstLine="420" w:firstLineChars="200"/>
        <w:rPr>
          <w:lang w:val="zh-CN"/>
        </w:rPr>
      </w:pPr>
      <w:r>
        <w:rPr>
          <w:rFonts w:hint="eastAsia"/>
        </w:rPr>
        <w:t>交付地点：</w:t>
      </w:r>
      <w:r>
        <w:rPr>
          <w:rFonts w:hint="eastAsia"/>
          <w:u w:val="none"/>
          <w:lang w:eastAsia="zh-CN"/>
        </w:rPr>
        <w:t>采购方</w:t>
      </w:r>
      <w:r>
        <w:rPr>
          <w:rFonts w:hint="eastAsia"/>
          <w:u w:val="none"/>
        </w:rPr>
        <w:t>指定的地点</w:t>
      </w:r>
      <w:r>
        <w:rPr>
          <w:rFonts w:hint="eastAsia"/>
          <w:u w:val="none"/>
          <w:lang w:val="zh-CN"/>
        </w:rPr>
        <w:t>。</w:t>
      </w:r>
    </w:p>
    <w:p>
      <w:pPr>
        <w:pStyle w:val="4"/>
        <w:tabs>
          <w:tab w:val="left" w:pos="360"/>
          <w:tab w:val="left" w:pos="540"/>
        </w:tabs>
        <w:topLinePunct/>
        <w:spacing w:line="360" w:lineRule="auto"/>
        <w:ind w:left="840" w:leftChars="0"/>
      </w:pP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14" w:name="_Toc18659"/>
      <w:bookmarkStart w:id="15" w:name="_Toc30735"/>
      <w:bookmarkStart w:id="16" w:name="_Toc12699"/>
      <w:bookmarkStart w:id="17" w:name="_Toc34487770"/>
      <w:bookmarkStart w:id="18" w:name="_Toc5936"/>
      <w:bookmarkStart w:id="19" w:name="_Toc6990996"/>
      <w:bookmarkStart w:id="20" w:name="_Toc31909"/>
      <w:bookmarkStart w:id="21" w:name="_Toc29978"/>
      <w:bookmarkStart w:id="22" w:name="_Toc18695"/>
      <w:bookmarkStart w:id="23" w:name="_Toc22799"/>
      <w:bookmarkStart w:id="24" w:name="_Toc17552"/>
      <w:bookmarkStart w:id="25" w:name="_Toc28554"/>
      <w:bookmarkStart w:id="26" w:name="_Toc19875"/>
      <w:bookmarkStart w:id="27" w:name="_Toc9701"/>
      <w:r>
        <w:rPr>
          <w:rFonts w:hint="eastAsia" w:ascii="宋体" w:hAnsi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、付款方式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4"/>
        <w:tabs>
          <w:tab w:val="left" w:pos="360"/>
          <w:tab w:val="left" w:pos="540"/>
        </w:tabs>
        <w:topLinePunct/>
        <w:spacing w:line="360" w:lineRule="auto"/>
        <w:ind w:firstLine="420" w:firstLineChars="200"/>
      </w:pPr>
      <w:r>
        <w:rPr>
          <w:rFonts w:hint="eastAsia"/>
        </w:rPr>
        <w:t>最终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根据预算批复情况，按照合同约定，对成交人承担的技术服务进行结算和支付。（具体付款方式由最终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与成交人协商确定）</w:t>
      </w:r>
    </w:p>
    <w:p>
      <w:pPr>
        <w:pStyle w:val="4"/>
        <w:tabs>
          <w:tab w:val="left" w:pos="360"/>
          <w:tab w:val="left" w:pos="540"/>
        </w:tabs>
        <w:topLinePunct/>
        <w:spacing w:line="360" w:lineRule="auto"/>
        <w:ind w:firstLine="420" w:firstLineChars="200"/>
      </w:pP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28" w:name="_Toc34487771"/>
      <w:bookmarkStart w:id="29" w:name="_Toc6990997"/>
      <w:bookmarkStart w:id="30" w:name="_Toc5372"/>
      <w:bookmarkStart w:id="31" w:name="_Toc23893"/>
      <w:bookmarkStart w:id="32" w:name="_Toc14471"/>
      <w:bookmarkStart w:id="33" w:name="_Toc51"/>
      <w:bookmarkStart w:id="34" w:name="_Toc30235"/>
      <w:bookmarkStart w:id="35" w:name="_Toc6808"/>
      <w:bookmarkStart w:id="36" w:name="_Toc3679"/>
      <w:bookmarkStart w:id="37" w:name="_Toc21441"/>
      <w:bookmarkStart w:id="38" w:name="_Toc10135"/>
      <w:bookmarkStart w:id="39" w:name="_Toc24862"/>
      <w:bookmarkStart w:id="40" w:name="_Toc12360"/>
      <w:bookmarkStart w:id="41" w:name="_Toc21247"/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sz w:val="28"/>
          <w:szCs w:val="28"/>
          <w:lang w:eastAsia="zh-CN"/>
        </w:rPr>
        <w:t>采购方</w:t>
      </w:r>
      <w:r>
        <w:rPr>
          <w:rFonts w:hint="eastAsia" w:ascii="宋体" w:hAnsi="宋体"/>
          <w:b/>
          <w:sz w:val="28"/>
          <w:szCs w:val="28"/>
        </w:rPr>
        <w:t>配合条件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>供应商应在报价文件中列明在项目实施过程中要求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提供的配合条件。</w:t>
      </w:r>
    </w:p>
    <w:p>
      <w:pPr>
        <w:jc w:val="center"/>
        <w:rPr>
          <w:b/>
          <w:sz w:val="28"/>
          <w:szCs w:val="28"/>
        </w:rPr>
      </w:pPr>
    </w:p>
    <w:p>
      <w:pPr>
        <w:spacing w:line="560" w:lineRule="exact"/>
        <w:jc w:val="center"/>
        <w:outlineLvl w:val="0"/>
        <w:rPr>
          <w:b/>
          <w:sz w:val="28"/>
          <w:szCs w:val="28"/>
        </w:rPr>
        <w:sectPr>
          <w:headerReference r:id="rId3" w:type="default"/>
          <w:footerReference r:id="rId4" w:type="default"/>
          <w:pgSz w:w="11907" w:h="16840"/>
          <w:pgMar w:top="1267" w:right="1197" w:bottom="1384" w:left="1559" w:header="851" w:footer="962" w:gutter="0"/>
          <w:pgNumType w:fmt="decimal"/>
          <w:cols w:space="720" w:num="1"/>
          <w:docGrid w:linePitch="462" w:charSpace="0"/>
        </w:sectPr>
      </w:pPr>
    </w:p>
    <w:p>
      <w:bookmarkStart w:id="42" w:name="_GoBack"/>
      <w:bookmarkEnd w:id="4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73D0"/>
    <w:multiLevelType w:val="multilevel"/>
    <w:tmpl w:val="528F73D0"/>
    <w:lvl w:ilvl="0" w:tentative="0">
      <w:start w:val="1"/>
      <w:numFmt w:val="chineseCountingThousand"/>
      <w:lvlText w:val="(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chineseCountingThousand"/>
      <w:lvlText w:val="(%4)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24665D9"/>
    <w:multiLevelType w:val="multilevel"/>
    <w:tmpl w:val="624665D9"/>
    <w:lvl w:ilvl="0" w:tentative="0">
      <w:start w:val="1"/>
      <w:numFmt w:val="chineseCountingThousand"/>
      <w:lvlText w:val="(%1)"/>
      <w:lvlJc w:val="left"/>
      <w:pPr>
        <w:ind w:left="842" w:hanging="420"/>
      </w:p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B429C"/>
    <w:rsid w:val="47BB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480" w:lineRule="atLeast"/>
    </w:pPr>
    <w:rPr>
      <w:rFonts w:ascii="楷体_GB2312" w:eastAsia="楷体_GB2312" w:cstheme="minorBidi"/>
      <w:b/>
      <w:sz w:val="30"/>
      <w:szCs w:val="2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2022-09-14T01:46:00Z</dcterms:created>
  <dc:creator>Administrator</dc:creator>
  <cp:lastModifiedBy>Administrator</cp:lastModifiedBy>
  <dcterms:modified xsi:type="dcterms:W3CDTF">2022-09-14T01:47:41Z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