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67"/>
        </w:tabs>
        <w:autoSpaceDE w:val="0"/>
        <w:autoSpaceDN w:val="0"/>
        <w:ind w:left="567" w:hanging="567"/>
        <w:jc w:val="center"/>
        <w:textAlignment w:val="bottom"/>
        <w:outlineLvl w:val="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用户需求书</w:t>
      </w:r>
    </w:p>
    <w:p>
      <w:pPr>
        <w:spacing w:line="360" w:lineRule="auto"/>
        <w:ind w:firstLine="410" w:firstLineChars="146"/>
        <w:jc w:val="left"/>
        <w:outlineLvl w:val="2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一、技术需求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after="120" w:afterLines="50"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工作内容</w:t>
      </w:r>
    </w:p>
    <w:p>
      <w:pPr>
        <w:adjustRightInd w:val="0"/>
        <w:snapToGrid w:val="0"/>
        <w:spacing w:before="120" w:beforeLines="50" w:after="120" w:afterLines="50" w:line="360" w:lineRule="auto"/>
        <w:ind w:right="370" w:rightChars="176" w:firstLine="420" w:firstLineChars="200"/>
        <w:rPr>
          <w:rFonts w:hint="eastAsia" w:eastAsia="宋体" w:cs="宋体"/>
          <w:kern w:val="0"/>
          <w:szCs w:val="21"/>
          <w:u w:val="single"/>
          <w:lang w:eastAsia="zh-CN"/>
        </w:rPr>
      </w:pPr>
      <w:r>
        <w:rPr>
          <w:rFonts w:hint="eastAsia"/>
          <w:lang w:eastAsia="zh-CN"/>
        </w:rPr>
        <w:t>广东省机场集团物流有限公司</w:t>
      </w:r>
      <w:r>
        <w:rPr>
          <w:rFonts w:hint="eastAsia"/>
          <w:lang w:val="en-US" w:eastAsia="zh-CN"/>
        </w:rPr>
        <w:t>2022-2023年度</w:t>
      </w:r>
      <w:r>
        <w:rPr>
          <w:rFonts w:hint="eastAsia"/>
          <w:lang w:eastAsia="zh-CN"/>
        </w:rPr>
        <w:t>饮用水供应服务（</w:t>
      </w:r>
      <w:r>
        <w:rPr>
          <w:rFonts w:hint="eastAsia"/>
          <w:lang w:val="en-US" w:eastAsia="zh-CN"/>
        </w:rPr>
        <w:t>第二次</w:t>
      </w:r>
      <w:r>
        <w:rPr>
          <w:rFonts w:hint="eastAsia"/>
          <w:lang w:eastAsia="zh-CN"/>
        </w:rPr>
        <w:t>）</w:t>
      </w:r>
      <w:r>
        <w:rPr>
          <w:rFonts w:hint="eastAsia" w:ascii="宋体"/>
          <w:szCs w:val="21"/>
          <w:lang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after="120" w:afterLines="50" w:line="360" w:lineRule="auto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工作要求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供应商需具备出售此类商品的资质。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2.乙方须符合国家税务机关核定的纳税人资质，能开具增值税专用发票。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严格按照我方询价单内容报价。在合同履行期内，各项目单价不受市场变化而改变。根据实际订单数量结算。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供应商必须自行具备办理国际1号货站库区通行</w:t>
      </w:r>
      <w:bookmarkStart w:id="42" w:name="_GoBack"/>
      <w:bookmarkEnd w:id="42"/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证等相关证件的能力，并在7天内准备相关资料办理证件。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如发现质量问题，供方无条件接受退货、换货等要求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需在24小时内完成退换。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6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饮用水质量、规格及技术特征符合国家颁布的饮用水卫生标准，每季度需按时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怡宝、鼎湖、农夫山泉等品牌的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水质检验报告。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7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不得提供与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采购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清单不符的产品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。</w:t>
      </w:r>
    </w:p>
    <w:p>
      <w:pPr>
        <w:pStyle w:val="3"/>
        <w:spacing w:line="360" w:lineRule="auto"/>
        <w:ind w:left="425"/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  <w:t>（三）送货</w:t>
      </w:r>
      <w:r>
        <w:rPr>
          <w:rFonts w:hint="eastAsia" w:asci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  <w:t>服务</w:t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  <w:t>需求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从下定单日开始计算，24小时内完成送货（周末及法定假期不接收货物）收货时间为早上09:00至下午17:00。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2、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供应商报价（含税）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为最终成交价，包含税费、运输费、人工费等费用，事后不再增加任何费用。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3、商品需按照订单上所写部门提前做好数量的分类，送到各部门指定地点。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4、报价人应设有专人、专线追踪落实。保证专人专门负责此项事宜。全年365天，每天24小时，有专人职守，联系渠道时时畅通，做到及时反馈信息，有叫必到。到达现场不超过24小时。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 xml:space="preserve"> 5、报价人应每季度向我司提供免费的饮水机清洗、饮水机、压水器等配件更换和维修服务等。报价人收到我司电话或书面通知后，保证在双方预约的时间到我司指定地点提供免费服务。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6、每批次送水数量、回收空桶数量由双方在记录卡上签名确认，以方便月底对账结款。报价人要在次月的10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日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（含10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日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）前完成每月饮用水统计签名工作，并在次月中旬把发票和统计表给到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甲方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7、报价人送水时要使用静音手推车，送水人员尽量保持低音量。</w:t>
      </w:r>
    </w:p>
    <w:p>
      <w:pPr>
        <w:numPr>
          <w:ilvl w:val="0"/>
          <w:numId w:val="0"/>
        </w:numPr>
        <w:adjustRightInd w:val="0"/>
        <w:snapToGrid w:val="0"/>
        <w:spacing w:before="120" w:beforeLines="50" w:after="120" w:afterLines="50" w:line="360" w:lineRule="auto"/>
        <w:ind w:left="422" w:leftChars="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eastAsia="zh-CN"/>
        </w:rPr>
        <w:t>（四）采购清单</w:t>
      </w:r>
      <w:r>
        <w:rPr>
          <w:rFonts w:hint="eastAsia"/>
          <w:b/>
          <w:bCs/>
          <w:szCs w:val="21"/>
        </w:rPr>
        <w:t>（包括但不限于如下</w:t>
      </w:r>
      <w:r>
        <w:rPr>
          <w:rFonts w:hint="eastAsia"/>
          <w:b/>
          <w:bCs/>
          <w:szCs w:val="21"/>
          <w:lang w:eastAsia="zh-CN"/>
        </w:rPr>
        <w:t>，</w:t>
      </w:r>
      <w:r>
        <w:rPr>
          <w:rFonts w:hint="eastAsia"/>
          <w:b/>
          <w:bCs/>
          <w:szCs w:val="21"/>
          <w:lang w:val="en-US" w:eastAsia="zh-CN"/>
        </w:rPr>
        <w:t>以下单价及最高限价均为含税额度</w:t>
      </w:r>
      <w:r>
        <w:rPr>
          <w:rFonts w:hint="eastAsia"/>
          <w:b/>
          <w:bCs/>
          <w:szCs w:val="21"/>
        </w:rPr>
        <w:t>）</w:t>
      </w:r>
    </w:p>
    <w:p>
      <w:pPr>
        <w:pStyle w:val="2"/>
        <w:rPr>
          <w:rFonts w:hint="eastAsia"/>
          <w:b/>
          <w:bCs/>
          <w:szCs w:val="21"/>
        </w:rPr>
      </w:pPr>
    </w:p>
    <w:p>
      <w:pPr>
        <w:pStyle w:val="2"/>
        <w:rPr>
          <w:rFonts w:hint="eastAsia"/>
          <w:b/>
          <w:bCs/>
          <w:szCs w:val="21"/>
        </w:rPr>
      </w:pPr>
    </w:p>
    <w:tbl>
      <w:tblPr>
        <w:tblStyle w:val="7"/>
        <w:tblW w:w="859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631"/>
        <w:gridCol w:w="1697"/>
        <w:gridCol w:w="800"/>
        <w:gridCol w:w="1358"/>
        <w:gridCol w:w="1290"/>
        <w:gridCol w:w="1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拟设定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（元、含税）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计划采购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限额（元、含税）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鼎湖山泉水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18.9L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怡宝纯净水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18.9L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百岁山支装水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348ml/支，24支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怡宝支装水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350ml/支，24支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霍山矿泉水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330ml/支，24支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霍山矿泉水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5L/桶， 4桶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农夫山泉矿泉水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5L/桶， 4桶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长白天润泉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5L/桶， 4桶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243300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before="120" w:beforeLines="50" w:after="120" w:afterLines="50" w:line="360" w:lineRule="auto"/>
        <w:ind w:left="422" w:leftChars="0"/>
        <w:rPr>
          <w:rFonts w:hint="eastAsia" w:eastAsia="宋体"/>
          <w:b/>
          <w:bCs/>
          <w:szCs w:val="21"/>
          <w:lang w:eastAsia="zh-CN"/>
        </w:rPr>
      </w:pPr>
    </w:p>
    <w:p>
      <w:pPr>
        <w:spacing w:line="360" w:lineRule="auto"/>
        <w:ind w:firstLine="562" w:firstLineChars="200"/>
        <w:jc w:val="left"/>
        <w:outlineLvl w:val="2"/>
        <w:rPr>
          <w:rFonts w:ascii="宋体" w:hAnsi="宋体"/>
          <w:b/>
          <w:sz w:val="28"/>
          <w:szCs w:val="28"/>
        </w:rPr>
      </w:pPr>
      <w:bookmarkStart w:id="0" w:name="_Toc30855"/>
      <w:bookmarkStart w:id="1" w:name="_Toc18421"/>
      <w:bookmarkStart w:id="2" w:name="_Toc3860"/>
      <w:bookmarkStart w:id="3" w:name="_Toc34487768"/>
      <w:bookmarkStart w:id="4" w:name="_Toc1555"/>
      <w:bookmarkStart w:id="5" w:name="_Toc464"/>
      <w:bookmarkStart w:id="6" w:name="_Toc9973"/>
      <w:bookmarkStart w:id="7" w:name="_Toc5252"/>
      <w:bookmarkStart w:id="8" w:name="_Toc5069"/>
      <w:bookmarkStart w:id="9" w:name="_Toc13454"/>
      <w:bookmarkStart w:id="10" w:name="_Toc12609"/>
      <w:bookmarkStart w:id="11" w:name="_Toc15109"/>
      <w:bookmarkStart w:id="12" w:name="_Toc6990994"/>
      <w:bookmarkStart w:id="13" w:name="_Toc8479"/>
      <w:r>
        <w:rPr>
          <w:rFonts w:hint="eastAsia" w:ascii="宋体" w:hAnsi="宋体"/>
          <w:b/>
          <w:sz w:val="28"/>
          <w:szCs w:val="28"/>
        </w:rPr>
        <w:t>二、交付期、交付使用及实施地点要求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numPr>
          <w:ilvl w:val="3"/>
          <w:numId w:val="2"/>
        </w:numPr>
        <w:tabs>
          <w:tab w:val="left" w:pos="0"/>
        </w:tabs>
        <w:spacing w:line="360" w:lineRule="auto"/>
        <w:ind w:left="0" w:firstLine="420" w:firstLineChars="200"/>
      </w:pPr>
      <w:r>
        <w:rPr>
          <w:rFonts w:hint="eastAsia"/>
        </w:rPr>
        <w:t>完成日期：应在最终</w:t>
      </w:r>
      <w:r>
        <w:rPr>
          <w:rFonts w:hint="eastAsia"/>
          <w:lang w:eastAsia="zh-CN"/>
        </w:rPr>
        <w:t>采购方</w:t>
      </w:r>
      <w:r>
        <w:rPr>
          <w:rFonts w:hint="eastAsia"/>
        </w:rPr>
        <w:t>规定的时限内完成。</w:t>
      </w:r>
    </w:p>
    <w:p>
      <w:pPr>
        <w:numPr>
          <w:ilvl w:val="3"/>
          <w:numId w:val="2"/>
        </w:numPr>
        <w:tabs>
          <w:tab w:val="left" w:pos="0"/>
        </w:tabs>
        <w:spacing w:line="360" w:lineRule="auto"/>
        <w:ind w:left="0" w:firstLine="420" w:firstLineChars="200"/>
        <w:rPr>
          <w:lang w:val="zh-CN"/>
        </w:rPr>
      </w:pPr>
      <w:r>
        <w:rPr>
          <w:rFonts w:hint="eastAsia"/>
        </w:rPr>
        <w:t>交付地点：</w:t>
      </w:r>
      <w:r>
        <w:rPr>
          <w:rFonts w:hint="eastAsia"/>
          <w:u w:val="none"/>
          <w:lang w:eastAsia="zh-CN"/>
        </w:rPr>
        <w:t>采购方</w:t>
      </w:r>
      <w:r>
        <w:rPr>
          <w:rFonts w:hint="eastAsia"/>
          <w:u w:val="none"/>
        </w:rPr>
        <w:t>指定的地点</w:t>
      </w:r>
      <w:r>
        <w:rPr>
          <w:rFonts w:hint="eastAsia"/>
          <w:u w:val="none"/>
          <w:lang w:val="zh-CN"/>
        </w:rPr>
        <w:t>。</w:t>
      </w:r>
    </w:p>
    <w:p>
      <w:pPr>
        <w:pStyle w:val="4"/>
        <w:tabs>
          <w:tab w:val="left" w:pos="360"/>
          <w:tab w:val="left" w:pos="540"/>
        </w:tabs>
        <w:topLinePunct/>
        <w:spacing w:line="360" w:lineRule="auto"/>
        <w:ind w:left="840" w:leftChars="0"/>
      </w:pPr>
    </w:p>
    <w:p>
      <w:pPr>
        <w:spacing w:line="360" w:lineRule="auto"/>
        <w:ind w:firstLine="562" w:firstLineChars="200"/>
        <w:jc w:val="left"/>
        <w:outlineLvl w:val="2"/>
        <w:rPr>
          <w:rFonts w:ascii="宋体" w:hAnsi="宋体"/>
          <w:b/>
          <w:sz w:val="28"/>
          <w:szCs w:val="28"/>
        </w:rPr>
      </w:pPr>
      <w:bookmarkStart w:id="14" w:name="_Toc34487770"/>
      <w:bookmarkStart w:id="15" w:name="_Toc12699"/>
      <w:bookmarkStart w:id="16" w:name="_Toc6990996"/>
      <w:bookmarkStart w:id="17" w:name="_Toc31909"/>
      <w:bookmarkStart w:id="18" w:name="_Toc18659"/>
      <w:bookmarkStart w:id="19" w:name="_Toc29978"/>
      <w:bookmarkStart w:id="20" w:name="_Toc18695"/>
      <w:bookmarkStart w:id="21" w:name="_Toc22799"/>
      <w:bookmarkStart w:id="22" w:name="_Toc30735"/>
      <w:bookmarkStart w:id="23" w:name="_Toc5936"/>
      <w:bookmarkStart w:id="24" w:name="_Toc17552"/>
      <w:bookmarkStart w:id="25" w:name="_Toc19875"/>
      <w:bookmarkStart w:id="26" w:name="_Toc28554"/>
      <w:bookmarkStart w:id="27" w:name="_Toc9701"/>
      <w:r>
        <w:rPr>
          <w:rFonts w:hint="eastAsia" w:ascii="宋体" w:hAnsi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/>
          <w:b/>
          <w:sz w:val="28"/>
          <w:szCs w:val="28"/>
        </w:rPr>
        <w:t>、付款方式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pStyle w:val="4"/>
        <w:tabs>
          <w:tab w:val="left" w:pos="360"/>
          <w:tab w:val="left" w:pos="540"/>
        </w:tabs>
        <w:topLinePunct/>
        <w:spacing w:line="360" w:lineRule="auto"/>
        <w:ind w:firstLine="420" w:firstLineChars="200"/>
      </w:pPr>
      <w:r>
        <w:rPr>
          <w:rFonts w:hint="eastAsia"/>
        </w:rPr>
        <w:t>最终</w:t>
      </w:r>
      <w:r>
        <w:rPr>
          <w:rFonts w:hint="eastAsia"/>
          <w:lang w:eastAsia="zh-CN"/>
        </w:rPr>
        <w:t>采购方</w:t>
      </w:r>
      <w:r>
        <w:rPr>
          <w:rFonts w:hint="eastAsia"/>
        </w:rPr>
        <w:t>根据预算批复情况，按照合同约定，对成交人承担的技术服务进行结算和支付。（具体付款方式由最终</w:t>
      </w:r>
      <w:r>
        <w:rPr>
          <w:rFonts w:hint="eastAsia"/>
          <w:lang w:eastAsia="zh-CN"/>
        </w:rPr>
        <w:t>采购方</w:t>
      </w:r>
      <w:r>
        <w:rPr>
          <w:rFonts w:hint="eastAsia"/>
        </w:rPr>
        <w:t>与成交人协商确定）</w:t>
      </w:r>
    </w:p>
    <w:p>
      <w:pPr>
        <w:pStyle w:val="4"/>
        <w:tabs>
          <w:tab w:val="left" w:pos="360"/>
          <w:tab w:val="left" w:pos="540"/>
        </w:tabs>
        <w:topLinePunct/>
        <w:spacing w:line="360" w:lineRule="auto"/>
        <w:ind w:firstLine="420" w:firstLineChars="200"/>
      </w:pPr>
    </w:p>
    <w:p>
      <w:pPr>
        <w:spacing w:line="360" w:lineRule="auto"/>
        <w:ind w:firstLine="562" w:firstLineChars="200"/>
        <w:jc w:val="left"/>
        <w:outlineLvl w:val="2"/>
        <w:rPr>
          <w:rFonts w:ascii="宋体" w:hAnsi="宋体"/>
          <w:b/>
          <w:sz w:val="28"/>
          <w:szCs w:val="28"/>
        </w:rPr>
      </w:pPr>
      <w:bookmarkStart w:id="28" w:name="_Toc21441"/>
      <w:bookmarkStart w:id="29" w:name="_Toc6808"/>
      <w:bookmarkStart w:id="30" w:name="_Toc14471"/>
      <w:bookmarkStart w:id="31" w:name="_Toc5372"/>
      <w:bookmarkStart w:id="32" w:name="_Toc30235"/>
      <w:bookmarkStart w:id="33" w:name="_Toc10135"/>
      <w:bookmarkStart w:id="34" w:name="_Toc12360"/>
      <w:bookmarkStart w:id="35" w:name="_Toc34487771"/>
      <w:bookmarkStart w:id="36" w:name="_Toc21247"/>
      <w:bookmarkStart w:id="37" w:name="_Toc51"/>
      <w:bookmarkStart w:id="38" w:name="_Toc24862"/>
      <w:bookmarkStart w:id="39" w:name="_Toc3679"/>
      <w:bookmarkStart w:id="40" w:name="_Toc6990997"/>
      <w:bookmarkStart w:id="41" w:name="_Toc23893"/>
      <w:r>
        <w:rPr>
          <w:rFonts w:hint="eastAsia" w:ascii="宋体" w:hAnsi="宋体"/>
          <w:b/>
          <w:sz w:val="28"/>
          <w:szCs w:val="28"/>
        </w:rPr>
        <w:t>五、</w:t>
      </w:r>
      <w:r>
        <w:rPr>
          <w:rFonts w:hint="eastAsia" w:ascii="宋体" w:hAnsi="宋体"/>
          <w:b/>
          <w:sz w:val="28"/>
          <w:szCs w:val="28"/>
          <w:lang w:eastAsia="zh-CN"/>
        </w:rPr>
        <w:t>采购方</w:t>
      </w:r>
      <w:r>
        <w:rPr>
          <w:rFonts w:hint="eastAsia" w:ascii="宋体" w:hAnsi="宋体"/>
          <w:b/>
          <w:sz w:val="28"/>
          <w:szCs w:val="28"/>
        </w:rPr>
        <w:t>配合条件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>
      <w:pPr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/>
        </w:rPr>
        <w:t>供应商应在报价文件中列明在项目实施过程中要求</w:t>
      </w:r>
      <w:r>
        <w:rPr>
          <w:rFonts w:hint="eastAsia"/>
          <w:lang w:eastAsia="zh-CN"/>
        </w:rPr>
        <w:t>采购方</w:t>
      </w:r>
      <w:r>
        <w:rPr>
          <w:rFonts w:hint="eastAsia"/>
        </w:rPr>
        <w:t>提供的配合条件。</w:t>
      </w:r>
    </w:p>
    <w:p>
      <w:pPr>
        <w:jc w:val="center"/>
        <w:rPr>
          <w:b/>
          <w:sz w:val="28"/>
          <w:szCs w:val="28"/>
        </w:rPr>
      </w:pPr>
    </w:p>
    <w:p>
      <w:pPr>
        <w:spacing w:line="560" w:lineRule="exact"/>
        <w:jc w:val="center"/>
        <w:outlineLvl w:val="0"/>
        <w:rPr>
          <w:b/>
          <w:sz w:val="28"/>
          <w:szCs w:val="28"/>
        </w:rPr>
        <w:sectPr>
          <w:headerReference r:id="rId3" w:type="default"/>
          <w:footerReference r:id="rId4" w:type="default"/>
          <w:pgSz w:w="11907" w:h="16840"/>
          <w:pgMar w:top="1267" w:right="1197" w:bottom="1384" w:left="1559" w:header="851" w:footer="962" w:gutter="0"/>
          <w:pgNumType w:fmt="decimal"/>
          <w:cols w:space="720" w:num="1"/>
          <w:docGrid w:linePitch="46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F73D0"/>
    <w:multiLevelType w:val="multilevel"/>
    <w:tmpl w:val="528F73D0"/>
    <w:lvl w:ilvl="0" w:tentative="0">
      <w:start w:val="1"/>
      <w:numFmt w:val="chineseCountingThousand"/>
      <w:lvlText w:val="(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chineseCountingThousand"/>
      <w:lvlText w:val="(%4)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24665D9"/>
    <w:multiLevelType w:val="multilevel"/>
    <w:tmpl w:val="624665D9"/>
    <w:lvl w:ilvl="0" w:tentative="0">
      <w:start w:val="1"/>
      <w:numFmt w:val="chineseCountingThousand"/>
      <w:lvlText w:val="(%1)"/>
      <w:lvlJc w:val="left"/>
      <w:pPr>
        <w:ind w:left="842" w:hanging="420"/>
      </w:p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B429C"/>
    <w:rsid w:val="1DE31B77"/>
    <w:rsid w:val="47BB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line="480" w:lineRule="atLeast"/>
    </w:pPr>
    <w:rPr>
      <w:rFonts w:ascii="楷体_GB2312" w:eastAsia="楷体_GB2312" w:cstheme="minorBidi"/>
      <w:b/>
      <w:sz w:val="30"/>
      <w:szCs w:val="22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2022-09-14T01:46:00Z</dcterms:created>
  <dc:creator>Administrator</dc:creator>
  <cp:lastModifiedBy>Administrator</cp:lastModifiedBy>
  <dcterms:modified xsi:type="dcterms:W3CDTF">2022-09-22T04:46:44Z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