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67"/>
        </w:tabs>
        <w:autoSpaceDE w:val="0"/>
        <w:autoSpaceDN w:val="0"/>
        <w:ind w:left="567" w:hanging="567"/>
        <w:jc w:val="center"/>
        <w:textAlignment w:val="bottom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用户需求书</w:t>
      </w:r>
    </w:p>
    <w:p>
      <w:pPr>
        <w:spacing w:line="360" w:lineRule="auto"/>
        <w:ind w:firstLine="410" w:firstLineChars="146"/>
        <w:jc w:val="left"/>
        <w:outlineLvl w:val="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一、技术需求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after="120" w:afterLines="50" w:line="360" w:lineRule="auto"/>
        <w:rPr>
          <w:b/>
          <w:bCs/>
          <w:szCs w:val="21"/>
          <w:u w:val="none"/>
        </w:rPr>
      </w:pPr>
      <w:r>
        <w:rPr>
          <w:rFonts w:hint="eastAsia"/>
          <w:b/>
          <w:bCs/>
          <w:szCs w:val="21"/>
        </w:rPr>
        <w:t>工作内容</w:t>
      </w:r>
    </w:p>
    <w:p>
      <w:pPr>
        <w:adjustRightInd w:val="0"/>
        <w:snapToGrid w:val="0"/>
        <w:spacing w:before="120" w:beforeLines="50" w:after="120" w:afterLines="50" w:line="360" w:lineRule="auto"/>
        <w:ind w:right="370" w:rightChars="176" w:firstLine="420" w:firstLineChars="200"/>
        <w:rPr>
          <w:rFonts w:hint="eastAsia" w:eastAsia="宋体" w:cs="宋体"/>
          <w:kern w:val="0"/>
          <w:szCs w:val="21"/>
          <w:u w:val="single"/>
          <w:lang w:eastAsia="zh-CN"/>
        </w:rPr>
      </w:pPr>
      <w:r>
        <w:rPr>
          <w:rFonts w:hint="eastAsia" w:ascii="宋体"/>
          <w:szCs w:val="21"/>
          <w:u w:val="none"/>
          <w:lang w:eastAsia="zh-CN"/>
        </w:rPr>
        <w:t>广东省机场集团物流有限公司</w:t>
      </w:r>
      <w:r>
        <w:rPr>
          <w:rFonts w:hint="eastAsia" w:ascii="宋体"/>
          <w:szCs w:val="21"/>
          <w:u w:val="none"/>
          <w:lang w:val="en-US" w:eastAsia="zh-CN"/>
        </w:rPr>
        <w:t>物流综合服务大楼窗帘采购</w:t>
      </w:r>
      <w:r>
        <w:rPr>
          <w:rFonts w:hint="eastAsia" w:ascii="宋体"/>
          <w:szCs w:val="21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after="120" w:afterLines="50" w:line="360" w:lineRule="auto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质量要求、技术标准、乙方对质量负责的条件和期限</w:t>
      </w:r>
    </w:p>
    <w:p>
      <w:pPr>
        <w:spacing w:line="400" w:lineRule="atLeast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1、产品具体尺寸依据实地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勘察的</w:t>
      </w:r>
      <w:r>
        <w:rPr>
          <w:rFonts w:hint="eastAsia" w:ascii="宋体" w:hAnsi="宋体"/>
          <w:color w:val="auto"/>
          <w:szCs w:val="21"/>
          <w:highlight w:val="none"/>
        </w:rPr>
        <w:t>测量结果，按甲方实际需求定制。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实地勘察要求详见采购函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）</w:t>
      </w:r>
    </w:p>
    <w:p>
      <w:pPr>
        <w:spacing w:line="400" w:lineRule="atLeas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2、乙方应保证所供产品是全新、未经使用过的、功</w:t>
      </w:r>
      <w:bookmarkStart w:id="43" w:name="_GoBack"/>
      <w:bookmarkEnd w:id="43"/>
      <w:r>
        <w:rPr>
          <w:rFonts w:hint="eastAsia" w:ascii="宋体" w:hAnsi="宋体"/>
          <w:color w:val="auto"/>
          <w:szCs w:val="21"/>
          <w:highlight w:val="none"/>
        </w:rPr>
        <w:t>能匹配的成套设施，所供产品的质量、技术性能符合采购文件及</w:t>
      </w:r>
      <w:r>
        <w:rPr>
          <w:rFonts w:hint="eastAsia"/>
          <w:color w:val="auto"/>
          <w:szCs w:val="21"/>
          <w:highlight w:val="none"/>
        </w:rPr>
        <w:t>国家质量标准、行业标准</w:t>
      </w:r>
      <w:r>
        <w:rPr>
          <w:rFonts w:hint="eastAsia" w:ascii="宋体" w:hAnsi="宋体"/>
          <w:color w:val="auto"/>
          <w:szCs w:val="21"/>
          <w:highlight w:val="none"/>
        </w:rPr>
        <w:t>，具有产地、合格证等相关证明，所有包装必须在验收人员在场时当面拆封。</w:t>
      </w:r>
    </w:p>
    <w:p>
      <w:pPr>
        <w:spacing w:line="400" w:lineRule="atLeast"/>
        <w:ind w:firstLine="420" w:firstLineChars="200"/>
        <w:rPr>
          <w:color w:val="auto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3、乙方应对提供的产品质量负责，并提供必要的技术资料。</w:t>
      </w:r>
    </w:p>
    <w:p>
      <w:pPr>
        <w:spacing w:line="400" w:lineRule="atLeast"/>
        <w:ind w:firstLine="420" w:firstLineChars="200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4、质保期为产品验收合格并完成交货之日起计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auto"/>
          <w:szCs w:val="21"/>
          <w:highlight w:val="none"/>
        </w:rPr>
        <w:t>年。质保期内所有质量问题由乙方负责，维修发生的一切费用由乙方承担。</w:t>
      </w:r>
    </w:p>
    <w:p>
      <w:pPr>
        <w:spacing w:line="400" w:lineRule="atLeas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5、乙方将所有产品送达甲方的指定地点，并负责所有产品的安装、调试，直至完全达到甲方的正常使用要求。</w:t>
      </w:r>
    </w:p>
    <w:p>
      <w:pPr>
        <w:spacing w:line="400" w:lineRule="atLeas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6、甲方在质保期内，如果发现产品的质量、各类指标等不符合合同规定，甲方应一面妥善保管，一面向乙方提出质量保修通知书。</w:t>
      </w:r>
    </w:p>
    <w:p>
      <w:pPr>
        <w:pStyle w:val="5"/>
        <w:tabs>
          <w:tab w:val="left" w:pos="1125"/>
        </w:tabs>
        <w:spacing w:line="400" w:lineRule="atLeast"/>
        <w:ind w:firstLine="420" w:firstLineChars="200"/>
        <w:rPr>
          <w:rFonts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7、乙方在接到甲方质量保修通知后，应在</w:t>
      </w:r>
      <w:r>
        <w:rPr>
          <w:rFonts w:hint="eastAsia" w:hAnsi="宋体"/>
          <w:color w:val="auto"/>
          <w:highlight w:val="none"/>
          <w:u w:val="single"/>
        </w:rPr>
        <w:t xml:space="preserve"> 8 </w:t>
      </w:r>
      <w:r>
        <w:rPr>
          <w:rFonts w:hint="eastAsia" w:hAnsi="宋体"/>
          <w:color w:val="auto"/>
          <w:highlight w:val="none"/>
        </w:rPr>
        <w:t>小时内做出答复和提出处理意见，</w:t>
      </w:r>
      <w:r>
        <w:rPr>
          <w:rFonts w:hint="eastAsia" w:hAnsi="宋体"/>
          <w:color w:val="auto"/>
          <w:highlight w:val="none"/>
          <w:u w:val="single"/>
        </w:rPr>
        <w:t>24</w:t>
      </w:r>
      <w:r>
        <w:rPr>
          <w:rFonts w:hint="eastAsia" w:hAnsi="宋体"/>
          <w:color w:val="auto"/>
          <w:highlight w:val="none"/>
        </w:rPr>
        <w:t>小时内处理完毕。若在</w:t>
      </w:r>
      <w:r>
        <w:rPr>
          <w:rFonts w:hint="eastAsia" w:hAnsi="宋体"/>
          <w:color w:val="auto"/>
          <w:highlight w:val="none"/>
          <w:u w:val="single"/>
        </w:rPr>
        <w:t>24</w:t>
      </w:r>
      <w:r>
        <w:rPr>
          <w:rFonts w:hint="eastAsia" w:hAnsi="宋体"/>
          <w:color w:val="auto"/>
          <w:highlight w:val="none"/>
        </w:rPr>
        <w:t>小时内仍未处理完毕，乙方必须免费提供相同档次的产品给甲方临时使用，不得影响甲方的正常工作；否则，即视为默认甲方提出的异议和处理意见，甲方委托其他单位维修，其全部费用由乙方承担。</w:t>
      </w:r>
    </w:p>
    <w:p>
      <w:pPr>
        <w:pStyle w:val="5"/>
        <w:spacing w:line="400" w:lineRule="atLeast"/>
        <w:ind w:firstLine="420" w:firstLineChars="200"/>
        <w:rPr>
          <w:rFonts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8、如甲方未在验收期内提出书面异议的，</w:t>
      </w:r>
      <w:bookmarkStart w:id="0" w:name="_Hlk37679904"/>
      <w:r>
        <w:rPr>
          <w:rFonts w:hint="eastAsia" w:hAnsi="宋体"/>
          <w:color w:val="auto"/>
          <w:highlight w:val="none"/>
        </w:rPr>
        <w:t>视为交付产品符合合同规定</w:t>
      </w:r>
      <w:bookmarkEnd w:id="0"/>
      <w:r>
        <w:rPr>
          <w:rFonts w:hint="eastAsia" w:hAnsi="宋体"/>
          <w:color w:val="auto"/>
          <w:highlight w:val="none"/>
        </w:rPr>
        <w:t>。</w:t>
      </w:r>
    </w:p>
    <w:p>
      <w:pPr>
        <w:tabs>
          <w:tab w:val="left" w:pos="1440"/>
          <w:tab w:val="left" w:pos="1620"/>
          <w:tab w:val="left" w:pos="1980"/>
        </w:tabs>
        <w:spacing w:line="400" w:lineRule="atLeas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9、乙方应对由于产品安装调试不当而发生的任何事故和故障负责，因此而产生的一切费用由乙方负担。</w:t>
      </w:r>
    </w:p>
    <w:p>
      <w:pPr>
        <w:tabs>
          <w:tab w:val="left" w:pos="1440"/>
          <w:tab w:val="left" w:pos="1620"/>
          <w:tab w:val="left" w:pos="1980"/>
        </w:tabs>
        <w:spacing w:line="400" w:lineRule="atLeast"/>
        <w:ind w:firstLine="420" w:firstLineChars="200"/>
        <w:rPr>
          <w:color w:val="auto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10、质保期内同一产品的同一质量问题经三次维修后仍无法正常使用的，乙方应当免费予以更换新产品。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</w:p>
    <w:p>
      <w:pPr>
        <w:pStyle w:val="3"/>
        <w:spacing w:line="360" w:lineRule="auto"/>
        <w:ind w:left="425"/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  <w:t>（三）交货地点、方式、期限</w:t>
      </w:r>
    </w:p>
    <w:p>
      <w:pPr>
        <w:widowControl/>
        <w:spacing w:line="400" w:lineRule="atLeast"/>
        <w:ind w:firstLine="420" w:firstLineChars="200"/>
        <w:rPr>
          <w:rFonts w:ascii="宋体" w:hAnsi="宋体"/>
          <w:b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1、交货安装时间：中</w:t>
      </w:r>
      <w:r>
        <w:rPr>
          <w:rFonts w:hint="eastAsia" w:ascii="宋体" w:hAnsi="宋体" w:cs="宋体"/>
          <w:color w:val="auto"/>
          <w:szCs w:val="21"/>
          <w:highlight w:val="none"/>
        </w:rPr>
        <w:t>标供应商收到成交通知书且签订合同后需向甲方提供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选定的具体</w:t>
      </w:r>
      <w:r>
        <w:rPr>
          <w:rFonts w:hint="eastAsia" w:ascii="宋体" w:hAnsi="宋体" w:cs="宋体"/>
          <w:color w:val="auto"/>
          <w:szCs w:val="21"/>
          <w:highlight w:val="none"/>
        </w:rPr>
        <w:t>样品，自甲方确认同意样品后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cs="宋体"/>
          <w:color w:val="auto"/>
          <w:szCs w:val="21"/>
          <w:highlight w:val="none"/>
        </w:rPr>
        <w:t>个日历日内交付。</w:t>
      </w:r>
    </w:p>
    <w:p>
      <w:pPr>
        <w:spacing w:line="400" w:lineRule="atLeas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2、交货地点：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/>
          <w:szCs w:val="21"/>
          <w:u w:val="single"/>
          <w:lang w:eastAsia="zh-CN"/>
        </w:rPr>
        <w:t>广东省机场集团物流有限公司</w:t>
      </w:r>
      <w:r>
        <w:rPr>
          <w:rFonts w:hint="eastAsia" w:ascii="宋体"/>
          <w:szCs w:val="21"/>
          <w:u w:val="single"/>
          <w:lang w:val="en-US" w:eastAsia="zh-CN"/>
        </w:rPr>
        <w:t>物流综合服务大楼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（具体交货地点以甲方通知为准）。</w:t>
      </w:r>
    </w:p>
    <w:p>
      <w:pPr>
        <w:spacing w:line="400" w:lineRule="atLeas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3、交货方式：由乙方将所供产品运至交货地点并完成安装、验收，验收合格并由甲方签署验收单后为完成交货。</w:t>
      </w:r>
    </w:p>
    <w:p>
      <w:pPr>
        <w:numPr>
          <w:ilvl w:val="0"/>
          <w:numId w:val="0"/>
        </w:numPr>
        <w:adjustRightInd w:val="0"/>
        <w:snapToGrid w:val="0"/>
        <w:spacing w:before="120" w:beforeLines="50" w:after="120" w:afterLines="50" w:line="360" w:lineRule="auto"/>
        <w:ind w:left="422" w:leftChars="0"/>
        <w:rPr>
          <w:rFonts w:hint="eastAsia"/>
          <w:b/>
          <w:bCs/>
          <w:szCs w:val="21"/>
          <w:lang w:eastAsia="zh-CN"/>
        </w:rPr>
        <w:sectPr>
          <w:headerReference r:id="rId3" w:type="default"/>
          <w:footerReference r:id="rId4" w:type="default"/>
          <w:pgSz w:w="11907" w:h="16840"/>
          <w:pgMar w:top="1267" w:right="1197" w:bottom="1384" w:left="1559" w:header="851" w:footer="962" w:gutter="0"/>
          <w:pgNumType w:fmt="decimal"/>
          <w:cols w:space="720" w:num="1"/>
          <w:docGrid w:linePitch="462" w:charSpace="0"/>
        </w:sectPr>
      </w:pPr>
    </w:p>
    <w:p>
      <w:pPr>
        <w:numPr>
          <w:ilvl w:val="0"/>
          <w:numId w:val="0"/>
        </w:numPr>
        <w:adjustRightInd w:val="0"/>
        <w:snapToGrid w:val="0"/>
        <w:spacing w:before="120" w:beforeLines="50" w:after="120" w:afterLines="50" w:line="360" w:lineRule="auto"/>
        <w:ind w:left="422" w:leftChars="0"/>
        <w:rPr>
          <w:rFonts w:hint="eastAsia"/>
          <w:b/>
          <w:bCs/>
          <w:szCs w:val="21"/>
          <w:highlight w:val="none"/>
        </w:rPr>
      </w:pPr>
      <w:r>
        <w:rPr>
          <w:rFonts w:hint="eastAsia"/>
          <w:b/>
          <w:bCs/>
          <w:szCs w:val="21"/>
          <w:highlight w:val="none"/>
          <w:lang w:eastAsia="zh-CN"/>
        </w:rPr>
        <w:t>（四）采购清单</w:t>
      </w:r>
    </w:p>
    <w:tbl>
      <w:tblPr>
        <w:tblStyle w:val="8"/>
        <w:tblW w:w="15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080"/>
        <w:gridCol w:w="645"/>
        <w:gridCol w:w="645"/>
        <w:gridCol w:w="1080"/>
        <w:gridCol w:w="1080"/>
        <w:gridCol w:w="3030"/>
        <w:gridCol w:w="600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预计数量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最高限价（元、不含税）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（元、不含税）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材料要求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技术参数指标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（以第三方专业检测机构出具检测报告为准）</w:t>
            </w:r>
            <w:r>
              <w:rPr>
                <w:rFonts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52190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1.窗帘布：雪尼尔高精密遮光布；每米克重1000克以上；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1.阻燃性能符合GB/T17591-2006 B1级别标准。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大会议室、电教培训室、办公室1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2.顔色：低饱和度、纯色系，与场地家具颜色搭配。</w:t>
            </w:r>
          </w:p>
        </w:tc>
        <w:tc>
          <w:tcPr>
            <w:tcW w:w="60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2.遮光率：≥98% （依据：FZ/T 62025-2015）。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3.断裂强力/N：经向、纬向：≥2100（依据：GB/T 3923.1-2013）。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4.甲醛含量/（mg/kg）：符合标准，测试方法：GB/T 2912.1-2009。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5.耐光色牢度 (级) ：符合GB/T 19817-2005标准的合格品。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30700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 纱帘：涤纶幻影纱； 每米克重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≥110（g/㎡）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1.水洗尺寸变化率(%)：符合GB /T   19817-2005标准的合格品 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2.顔色：米白色、本白色为主，与场地家具、环境颜色搭配。</w:t>
            </w:r>
          </w:p>
        </w:tc>
        <w:tc>
          <w:tcPr>
            <w:tcW w:w="60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2.甲醛含量：符合标准，测试方法：GB/T 2912.1-2009。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1.壁厚/㎜：≥1.00。</w:t>
            </w:r>
          </w:p>
        </w:tc>
        <w:tc>
          <w:tcPr>
            <w:tcW w:w="6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2.滑轮采用尼龙吊轮，坚固耐用，滑动顺滑，低噪声。</w:t>
            </w:r>
          </w:p>
        </w:tc>
        <w:tc>
          <w:tcPr>
            <w:tcW w:w="6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3.安装码：每米2个码，应安装牢固可靠。</w:t>
            </w:r>
          </w:p>
        </w:tc>
        <w:tc>
          <w:tcPr>
            <w:tcW w:w="6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4.抗拉强度 Rm  MPa ：≥170</w:t>
            </w:r>
          </w:p>
        </w:tc>
        <w:tc>
          <w:tcPr>
            <w:tcW w:w="6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227520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卷帘面料名称：阳光面料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▲1.阻燃等级：遮阳织物应该满足公共建筑的防火安全标准；B1级（中国）。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材质：玻璃纤维</w:t>
            </w:r>
          </w:p>
        </w:tc>
        <w:tc>
          <w:tcPr>
            <w:tcW w:w="60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▲2.甲醛含量/（mg/kg）：符合标准，测试方法：GB/T 2912.1-2009。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重量：每平方米:≥200克重量。</w:t>
            </w:r>
          </w:p>
        </w:tc>
        <w:tc>
          <w:tcPr>
            <w:tcW w:w="6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3.耐光色牢度 (级) ：符合GB/T 19817-2005标准的合格品。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332010</w:t>
            </w:r>
          </w:p>
        </w:tc>
        <w:tc>
          <w:tcPr>
            <w:tcW w:w="1011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0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以上窗帘安装数量均为预计数量，最终结算按照实际安装数量和中选人所报单价进行结算；上表价格为不含增值税价格，作为报价人单价报价最高限价（不含税），报价人的报价（不含税）将用于综合评审评分。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2.实际结算单价为不含增值税价格与中选人开具增值税税额之和，但项目含增值税总额不得超出项目总限价37.4万元。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3.以上费用含设计安装、管理、材料、保养、零配件、调试、运输、验收、保险、利润、售后服务等与完成本项目服务有关的所有费用。</w:t>
            </w:r>
          </w:p>
        </w:tc>
      </w:tr>
    </w:tbl>
    <w:p>
      <w:pPr>
        <w:pStyle w:val="10"/>
        <w:rPr>
          <w:rFonts w:hint="eastAsia"/>
          <w:b/>
          <w:bCs/>
          <w:szCs w:val="21"/>
        </w:rPr>
      </w:pPr>
    </w:p>
    <w:p>
      <w:pPr>
        <w:pStyle w:val="10"/>
        <w:rPr>
          <w:rFonts w:hint="eastAsia"/>
          <w:b/>
          <w:bCs/>
          <w:szCs w:val="21"/>
        </w:rPr>
      </w:pPr>
    </w:p>
    <w:p>
      <w:pPr>
        <w:pStyle w:val="10"/>
        <w:rPr>
          <w:rFonts w:hint="eastAsia"/>
          <w:b/>
          <w:bCs/>
          <w:szCs w:val="21"/>
        </w:rPr>
      </w:pPr>
    </w:p>
    <w:p>
      <w:pPr>
        <w:pStyle w:val="10"/>
        <w:rPr>
          <w:rFonts w:hint="eastAsia"/>
          <w:b/>
          <w:bCs/>
          <w:szCs w:val="21"/>
        </w:rPr>
      </w:pPr>
    </w:p>
    <w:p>
      <w:pPr>
        <w:pStyle w:val="10"/>
        <w:rPr>
          <w:rFonts w:hint="eastAsia"/>
          <w:b/>
          <w:bCs/>
          <w:szCs w:val="21"/>
        </w:rPr>
      </w:pPr>
    </w:p>
    <w:p>
      <w:pPr>
        <w:pStyle w:val="10"/>
        <w:rPr>
          <w:rFonts w:hint="eastAsia"/>
          <w:b/>
          <w:bCs/>
          <w:szCs w:val="21"/>
        </w:rPr>
      </w:pPr>
    </w:p>
    <w:p>
      <w:pPr>
        <w:pStyle w:val="10"/>
        <w:rPr>
          <w:rFonts w:hint="eastAsia"/>
          <w:b/>
          <w:bCs/>
          <w:szCs w:val="21"/>
        </w:rPr>
      </w:pPr>
    </w:p>
    <w:p>
      <w:pPr>
        <w:pStyle w:val="10"/>
        <w:rPr>
          <w:rFonts w:hint="eastAsia"/>
          <w:b/>
          <w:bCs/>
          <w:szCs w:val="21"/>
        </w:rPr>
      </w:pPr>
    </w:p>
    <w:p>
      <w:pPr>
        <w:pStyle w:val="10"/>
        <w:rPr>
          <w:rFonts w:hint="eastAsia"/>
          <w:b/>
          <w:bCs/>
          <w:szCs w:val="21"/>
        </w:rPr>
      </w:pPr>
    </w:p>
    <w:p>
      <w:pPr>
        <w:pStyle w:val="10"/>
        <w:rPr>
          <w:rFonts w:hint="eastAsia"/>
          <w:b/>
          <w:bCs/>
          <w:szCs w:val="21"/>
        </w:rPr>
      </w:pPr>
    </w:p>
    <w:p>
      <w:pPr>
        <w:pStyle w:val="10"/>
        <w:rPr>
          <w:rFonts w:hint="eastAsia"/>
          <w:b/>
          <w:bCs/>
          <w:szCs w:val="21"/>
        </w:rPr>
      </w:pPr>
    </w:p>
    <w:p>
      <w:pPr>
        <w:pStyle w:val="10"/>
        <w:rPr>
          <w:rFonts w:hint="eastAsia"/>
          <w:b/>
          <w:bCs/>
          <w:szCs w:val="21"/>
        </w:rPr>
      </w:pPr>
    </w:p>
    <w:p>
      <w:pPr>
        <w:pStyle w:val="10"/>
        <w:rPr>
          <w:rFonts w:hint="eastAsia"/>
          <w:b/>
          <w:bCs/>
          <w:szCs w:val="21"/>
        </w:rPr>
      </w:pPr>
    </w:p>
    <w:p>
      <w:pPr>
        <w:pStyle w:val="10"/>
        <w:rPr>
          <w:rFonts w:hint="eastAsia"/>
          <w:b/>
          <w:bCs/>
          <w:szCs w:val="21"/>
        </w:rPr>
      </w:pPr>
    </w:p>
    <w:p>
      <w:pPr>
        <w:pStyle w:val="10"/>
        <w:rPr>
          <w:rFonts w:hint="eastAsia"/>
          <w:b/>
          <w:bCs/>
          <w:szCs w:val="21"/>
        </w:rPr>
      </w:pPr>
    </w:p>
    <w:p>
      <w:pPr>
        <w:pStyle w:val="10"/>
        <w:rPr>
          <w:rFonts w:hint="eastAsia"/>
          <w:b/>
          <w:bCs/>
          <w:szCs w:val="21"/>
        </w:rPr>
      </w:pPr>
    </w:p>
    <w:p>
      <w:pPr>
        <w:pStyle w:val="10"/>
        <w:rPr>
          <w:rFonts w:hint="eastAsia"/>
          <w:b/>
          <w:bCs/>
          <w:szCs w:val="21"/>
        </w:rPr>
      </w:pPr>
    </w:p>
    <w:p>
      <w:pPr>
        <w:pStyle w:val="10"/>
        <w:rPr>
          <w:rFonts w:hint="eastAsia"/>
          <w:b/>
          <w:bCs/>
          <w:szCs w:val="21"/>
        </w:rPr>
        <w:sectPr>
          <w:pgSz w:w="16840" w:h="11907" w:orient="landscape"/>
          <w:pgMar w:top="1559" w:right="1264" w:bottom="1196" w:left="1383" w:header="850" w:footer="964" w:gutter="0"/>
          <w:pgNumType w:fmt="decimal"/>
          <w:cols w:space="0" w:num="1"/>
          <w:rtlGutter w:val="0"/>
          <w:docGrid w:linePitch="462" w:charSpace="0"/>
        </w:sectPr>
      </w:pPr>
    </w:p>
    <w:p>
      <w:pPr>
        <w:pStyle w:val="10"/>
        <w:rPr>
          <w:rFonts w:hint="eastAsia"/>
          <w:b/>
          <w:bCs/>
          <w:szCs w:val="21"/>
        </w:rPr>
      </w:pPr>
    </w:p>
    <w:p>
      <w:pPr>
        <w:spacing w:line="360" w:lineRule="auto"/>
        <w:ind w:firstLine="562" w:firstLineChars="200"/>
        <w:jc w:val="left"/>
        <w:outlineLvl w:val="2"/>
        <w:rPr>
          <w:rFonts w:ascii="宋体" w:hAnsi="宋体"/>
          <w:b/>
          <w:sz w:val="28"/>
          <w:szCs w:val="28"/>
        </w:rPr>
      </w:pPr>
      <w:bookmarkStart w:id="1" w:name="_Toc5069"/>
      <w:bookmarkStart w:id="2" w:name="_Toc13454"/>
      <w:bookmarkStart w:id="3" w:name="_Toc9973"/>
      <w:bookmarkStart w:id="4" w:name="_Toc15109"/>
      <w:bookmarkStart w:id="5" w:name="_Toc3860"/>
      <w:bookmarkStart w:id="6" w:name="_Toc464"/>
      <w:bookmarkStart w:id="7" w:name="_Toc12609"/>
      <w:bookmarkStart w:id="8" w:name="_Toc6990994"/>
      <w:bookmarkStart w:id="9" w:name="_Toc1555"/>
      <w:bookmarkStart w:id="10" w:name="_Toc30855"/>
      <w:bookmarkStart w:id="11" w:name="_Toc8479"/>
      <w:bookmarkStart w:id="12" w:name="_Toc5252"/>
      <w:bookmarkStart w:id="13" w:name="_Toc34487768"/>
      <w:bookmarkStart w:id="14" w:name="_Toc18421"/>
      <w:r>
        <w:rPr>
          <w:rFonts w:hint="eastAsia" w:ascii="宋体" w:hAnsi="宋体"/>
          <w:b/>
          <w:sz w:val="28"/>
          <w:szCs w:val="28"/>
        </w:rPr>
        <w:t>二、交付期、交付使用及实施地点要求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>
      <w:pPr>
        <w:numPr>
          <w:ilvl w:val="3"/>
          <w:numId w:val="2"/>
        </w:numPr>
        <w:tabs>
          <w:tab w:val="left" w:pos="0"/>
        </w:tabs>
        <w:spacing w:line="360" w:lineRule="auto"/>
        <w:ind w:left="0" w:firstLine="420" w:firstLineChars="200"/>
      </w:pPr>
      <w:r>
        <w:rPr>
          <w:rFonts w:hint="eastAsia"/>
        </w:rPr>
        <w:t>完成日期：应在最终</w:t>
      </w:r>
      <w:r>
        <w:rPr>
          <w:rFonts w:hint="eastAsia"/>
          <w:lang w:eastAsia="zh-CN"/>
        </w:rPr>
        <w:t>采购方</w:t>
      </w:r>
      <w:r>
        <w:rPr>
          <w:rFonts w:hint="eastAsia"/>
        </w:rPr>
        <w:t>规定的时限内完成。</w:t>
      </w:r>
    </w:p>
    <w:p>
      <w:pPr>
        <w:numPr>
          <w:ilvl w:val="3"/>
          <w:numId w:val="2"/>
        </w:numPr>
        <w:tabs>
          <w:tab w:val="left" w:pos="0"/>
        </w:tabs>
        <w:spacing w:line="360" w:lineRule="auto"/>
        <w:ind w:left="0" w:firstLine="420" w:firstLineChars="200"/>
        <w:rPr>
          <w:lang w:val="zh-CN"/>
        </w:rPr>
      </w:pPr>
      <w:r>
        <w:rPr>
          <w:rFonts w:hint="eastAsia"/>
        </w:rPr>
        <w:t>交付地点：</w:t>
      </w:r>
      <w:r>
        <w:rPr>
          <w:rFonts w:hint="eastAsia"/>
          <w:u w:val="none"/>
          <w:lang w:eastAsia="zh-CN"/>
        </w:rPr>
        <w:t>采购方</w:t>
      </w:r>
      <w:r>
        <w:rPr>
          <w:rFonts w:hint="eastAsia"/>
          <w:u w:val="none"/>
        </w:rPr>
        <w:t>指定的地点</w:t>
      </w:r>
      <w:r>
        <w:rPr>
          <w:rFonts w:hint="eastAsia"/>
          <w:u w:val="none"/>
          <w:lang w:val="zh-CN"/>
        </w:rPr>
        <w:t>。</w:t>
      </w:r>
    </w:p>
    <w:p>
      <w:pPr>
        <w:pStyle w:val="4"/>
        <w:tabs>
          <w:tab w:val="left" w:pos="360"/>
          <w:tab w:val="left" w:pos="540"/>
        </w:tabs>
        <w:topLinePunct/>
        <w:spacing w:line="360" w:lineRule="auto"/>
        <w:ind w:left="840" w:leftChars="0"/>
      </w:pPr>
    </w:p>
    <w:p>
      <w:pPr>
        <w:spacing w:line="360" w:lineRule="auto"/>
        <w:ind w:firstLine="562" w:firstLineChars="200"/>
        <w:jc w:val="left"/>
        <w:outlineLvl w:val="2"/>
        <w:rPr>
          <w:rFonts w:ascii="宋体" w:hAnsi="宋体"/>
          <w:b/>
          <w:sz w:val="28"/>
          <w:szCs w:val="28"/>
        </w:rPr>
      </w:pPr>
      <w:bookmarkStart w:id="15" w:name="_Toc5936"/>
      <w:bookmarkStart w:id="16" w:name="_Toc31909"/>
      <w:bookmarkStart w:id="17" w:name="_Toc22799"/>
      <w:bookmarkStart w:id="18" w:name="_Toc6990996"/>
      <w:bookmarkStart w:id="19" w:name="_Toc29978"/>
      <w:bookmarkStart w:id="20" w:name="_Toc18659"/>
      <w:bookmarkStart w:id="21" w:name="_Toc12699"/>
      <w:bookmarkStart w:id="22" w:name="_Toc34487770"/>
      <w:bookmarkStart w:id="23" w:name="_Toc28554"/>
      <w:bookmarkStart w:id="24" w:name="_Toc18695"/>
      <w:bookmarkStart w:id="25" w:name="_Toc19875"/>
      <w:bookmarkStart w:id="26" w:name="_Toc17552"/>
      <w:bookmarkStart w:id="27" w:name="_Toc30735"/>
      <w:bookmarkStart w:id="28" w:name="_Toc9701"/>
      <w:r>
        <w:rPr>
          <w:rFonts w:hint="eastAsia" w:ascii="宋体" w:hAnsi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、付款方式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>
      <w:pPr>
        <w:pStyle w:val="4"/>
        <w:tabs>
          <w:tab w:val="left" w:pos="360"/>
          <w:tab w:val="left" w:pos="540"/>
        </w:tabs>
        <w:topLinePunct/>
        <w:spacing w:line="360" w:lineRule="auto"/>
        <w:ind w:firstLine="420" w:firstLineChars="200"/>
      </w:pPr>
      <w:r>
        <w:rPr>
          <w:rFonts w:hint="eastAsia"/>
        </w:rPr>
        <w:t>最终</w:t>
      </w:r>
      <w:r>
        <w:rPr>
          <w:rFonts w:hint="eastAsia"/>
          <w:lang w:eastAsia="zh-CN"/>
        </w:rPr>
        <w:t>采购方</w:t>
      </w:r>
      <w:r>
        <w:rPr>
          <w:rFonts w:hint="eastAsia"/>
        </w:rPr>
        <w:t>根据预算批复情况，按照合同约定，对成交人承担的技术服务进行结算和支付。（具体付款方式由最终</w:t>
      </w:r>
      <w:r>
        <w:rPr>
          <w:rFonts w:hint="eastAsia"/>
          <w:lang w:eastAsia="zh-CN"/>
        </w:rPr>
        <w:t>采购方</w:t>
      </w:r>
      <w:r>
        <w:rPr>
          <w:rFonts w:hint="eastAsia"/>
        </w:rPr>
        <w:t>与成交人协商确定）</w:t>
      </w:r>
    </w:p>
    <w:p>
      <w:pPr>
        <w:pStyle w:val="4"/>
        <w:tabs>
          <w:tab w:val="left" w:pos="360"/>
          <w:tab w:val="left" w:pos="540"/>
        </w:tabs>
        <w:topLinePunct/>
        <w:spacing w:line="360" w:lineRule="auto"/>
        <w:ind w:firstLine="420" w:firstLineChars="200"/>
      </w:pPr>
    </w:p>
    <w:p>
      <w:pPr>
        <w:spacing w:line="360" w:lineRule="auto"/>
        <w:ind w:firstLine="562" w:firstLineChars="200"/>
        <w:jc w:val="left"/>
        <w:outlineLvl w:val="2"/>
        <w:rPr>
          <w:rFonts w:ascii="宋体" w:hAnsi="宋体"/>
          <w:b/>
          <w:sz w:val="28"/>
          <w:szCs w:val="28"/>
        </w:rPr>
      </w:pPr>
      <w:bookmarkStart w:id="29" w:name="_Toc6990997"/>
      <w:bookmarkStart w:id="30" w:name="_Toc6808"/>
      <w:bookmarkStart w:id="31" w:name="_Toc23893"/>
      <w:bookmarkStart w:id="32" w:name="_Toc30235"/>
      <w:bookmarkStart w:id="33" w:name="_Toc34487771"/>
      <w:bookmarkStart w:id="34" w:name="_Toc3679"/>
      <w:bookmarkStart w:id="35" w:name="_Toc21247"/>
      <w:bookmarkStart w:id="36" w:name="_Toc12360"/>
      <w:bookmarkStart w:id="37" w:name="_Toc51"/>
      <w:bookmarkStart w:id="38" w:name="_Toc10135"/>
      <w:bookmarkStart w:id="39" w:name="_Toc14471"/>
      <w:bookmarkStart w:id="40" w:name="_Toc5372"/>
      <w:bookmarkStart w:id="41" w:name="_Toc24862"/>
      <w:bookmarkStart w:id="42" w:name="_Toc21441"/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宋体" w:hAnsi="宋体"/>
          <w:b/>
          <w:sz w:val="28"/>
          <w:szCs w:val="28"/>
          <w:lang w:eastAsia="zh-CN"/>
        </w:rPr>
        <w:t>采购方</w:t>
      </w:r>
      <w:r>
        <w:rPr>
          <w:rFonts w:hint="eastAsia" w:ascii="宋体" w:hAnsi="宋体"/>
          <w:b/>
          <w:sz w:val="28"/>
          <w:szCs w:val="28"/>
        </w:rPr>
        <w:t>配合条件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>
      <w:pPr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/>
        </w:rPr>
        <w:t>供应商应在报价文件中列明在项目实施过程中要求</w:t>
      </w:r>
      <w:r>
        <w:rPr>
          <w:rFonts w:hint="eastAsia"/>
          <w:lang w:eastAsia="zh-CN"/>
        </w:rPr>
        <w:t>采购方</w:t>
      </w:r>
      <w:r>
        <w:rPr>
          <w:rFonts w:hint="eastAsia"/>
        </w:rPr>
        <w:t>提供的配合条件。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F73D0"/>
    <w:multiLevelType w:val="multilevel"/>
    <w:tmpl w:val="528F73D0"/>
    <w:lvl w:ilvl="0" w:tentative="0">
      <w:start w:val="1"/>
      <w:numFmt w:val="chineseCountingThousand"/>
      <w:lvlText w:val="(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chineseCountingThousand"/>
      <w:lvlText w:val="(%4)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24665D9"/>
    <w:multiLevelType w:val="multilevel"/>
    <w:tmpl w:val="624665D9"/>
    <w:lvl w:ilvl="0" w:tentative="0">
      <w:start w:val="1"/>
      <w:numFmt w:val="chineseCountingThousand"/>
      <w:lvlText w:val="(%1)"/>
      <w:lvlJc w:val="left"/>
      <w:pPr>
        <w:ind w:left="842" w:hanging="420"/>
      </w:p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21B94"/>
    <w:rsid w:val="14282892"/>
    <w:rsid w:val="17514DF5"/>
    <w:rsid w:val="200260AE"/>
    <w:rsid w:val="2B020103"/>
    <w:rsid w:val="37241BBC"/>
    <w:rsid w:val="37CB4647"/>
    <w:rsid w:val="3E6802E6"/>
    <w:rsid w:val="41AC7DC7"/>
    <w:rsid w:val="42FC4202"/>
    <w:rsid w:val="49B51736"/>
    <w:rsid w:val="609703EC"/>
    <w:rsid w:val="6536423E"/>
    <w:rsid w:val="70AF2A6F"/>
    <w:rsid w:val="745E2621"/>
    <w:rsid w:val="797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10" w:hanging="210"/>
      <w:jc w:val="left"/>
    </w:pPr>
    <w:rPr>
      <w:rFonts w:cs="Calibri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line="480" w:lineRule="atLeast"/>
    </w:pPr>
    <w:rPr>
      <w:rFonts w:ascii="楷体_GB2312" w:eastAsia="楷体_GB2312" w:cstheme="minorBidi"/>
      <w:b/>
      <w:sz w:val="30"/>
      <w:szCs w:val="22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2022-09-15T13:37:00Z</dcterms:created>
  <dc:creator>Administrator</dc:creator>
  <cp:lastModifiedBy>Administrator</cp:lastModifiedBy>
  <dcterms:modified xsi:type="dcterms:W3CDTF">2022-10-24T05:20:31Z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