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黑体"/>
          <w:b/>
          <w:sz w:val="44"/>
          <w:highlight w:val="none"/>
        </w:rPr>
      </w:pPr>
    </w:p>
    <w:p>
      <w:pPr>
        <w:spacing w:line="480" w:lineRule="exact"/>
        <w:jc w:val="center"/>
        <w:rPr>
          <w:rFonts w:eastAsia="黑体"/>
          <w:b/>
          <w:sz w:val="44"/>
          <w:highlight w:val="none"/>
        </w:rPr>
      </w:pPr>
      <w:r>
        <w:rPr>
          <w:rFonts w:hint="eastAsia" w:eastAsia="黑体"/>
          <w:b/>
          <w:sz w:val="44"/>
          <w:highlight w:val="none"/>
        </w:rPr>
        <w:t>用 户 需 求 书</w:t>
      </w:r>
    </w:p>
    <w:p>
      <w:pPr>
        <w:spacing w:line="480" w:lineRule="exact"/>
        <w:jc w:val="center"/>
        <w:rPr>
          <w:b/>
          <w:sz w:val="24"/>
          <w:highlight w:val="none"/>
        </w:rPr>
      </w:pPr>
    </w:p>
    <w:p>
      <w:pPr>
        <w:spacing w:line="480" w:lineRule="exact"/>
        <w:jc w:val="center"/>
        <w:rPr>
          <w:b/>
          <w:sz w:val="24"/>
          <w:highlight w:val="none"/>
        </w:rPr>
      </w:pPr>
    </w:p>
    <w:p>
      <w:pPr>
        <w:spacing w:line="480" w:lineRule="exact"/>
        <w:jc w:val="center"/>
        <w:rPr>
          <w:kern w:val="28"/>
          <w:highlight w:val="none"/>
        </w:rPr>
      </w:pPr>
      <w:r>
        <w:rPr>
          <w:rFonts w:hint="eastAsia"/>
          <w:kern w:val="28"/>
          <w:highlight w:val="none"/>
        </w:rPr>
        <w:t xml:space="preserve"> </w:t>
      </w:r>
    </w:p>
    <w:p>
      <w:pPr>
        <w:wordWrap w:val="0"/>
        <w:spacing w:line="360" w:lineRule="auto"/>
        <w:jc w:val="right"/>
        <w:rPr>
          <w:kern w:val="28"/>
          <w:highlight w:val="none"/>
        </w:rPr>
      </w:pPr>
    </w:p>
    <w:p>
      <w:pPr>
        <w:widowControl/>
        <w:tabs>
          <w:tab w:val="left" w:pos="567"/>
        </w:tabs>
        <w:autoSpaceDE w:val="0"/>
        <w:autoSpaceDN w:val="0"/>
        <w:ind w:left="567" w:hanging="567"/>
        <w:jc w:val="center"/>
        <w:textAlignment w:val="bottom"/>
        <w:outlineLvl w:val="0"/>
        <w:rPr>
          <w:highlight w:val="none"/>
        </w:rPr>
      </w:pPr>
      <w:r>
        <w:rPr>
          <w:highlight w:val="none"/>
        </w:rPr>
        <w:br w:type="page"/>
      </w:r>
    </w:p>
    <w:p>
      <w:pPr>
        <w:pStyle w:val="2"/>
        <w:numPr>
          <w:ilvl w:val="0"/>
          <w:numId w:val="0"/>
        </w:numPr>
        <w:spacing w:before="0" w:after="0" w:line="240" w:lineRule="auto"/>
        <w:ind w:leftChars="0"/>
        <w:jc w:val="center"/>
      </w:pPr>
      <w:bookmarkStart w:id="0" w:name="_Toc7879"/>
      <w:bookmarkStart w:id="1" w:name="_Toc138582981"/>
      <w:bookmarkStart w:id="2" w:name="_Toc5368"/>
      <w:bookmarkStart w:id="3" w:name="_Toc32235"/>
      <w:bookmarkStart w:id="4" w:name="_Toc19241"/>
      <w:r>
        <w:rPr>
          <w:rFonts w:hint="eastAsia"/>
        </w:rPr>
        <w:t>采购需求</w:t>
      </w:r>
      <w:bookmarkEnd w:id="0"/>
      <w:bookmarkEnd w:id="1"/>
      <w:bookmarkEnd w:id="2"/>
      <w:bookmarkEnd w:id="3"/>
      <w:bookmarkEnd w:id="4"/>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　</w:t>
      </w:r>
      <w:r>
        <w:rPr>
          <w:rFonts w:hint="eastAsia" w:cs="Times New Roman"/>
          <w:b/>
          <w:bCs/>
          <w:color w:val="auto"/>
          <w:kern w:val="2"/>
          <w:sz w:val="21"/>
          <w:szCs w:val="24"/>
          <w:highlight w:val="none"/>
          <w:lang w:val="en-US" w:eastAsia="zh-CN" w:bidi="ar-SA"/>
        </w:rPr>
        <w:t>一、</w:t>
      </w:r>
      <w:r>
        <w:rPr>
          <w:rFonts w:hint="eastAsia" w:ascii="Times New Roman" w:hAnsi="Times New Roman" w:eastAsia="宋体" w:cs="Times New Roman"/>
          <w:b/>
          <w:bCs/>
          <w:color w:val="auto"/>
          <w:kern w:val="2"/>
          <w:sz w:val="21"/>
          <w:szCs w:val="24"/>
          <w:highlight w:val="none"/>
          <w:lang w:val="en-US" w:eastAsia="zh-CN" w:bidi="ar-SA"/>
        </w:rPr>
        <w:t>项目概况</w:t>
      </w:r>
    </w:p>
    <w:p>
      <w:pPr>
        <w:numPr>
          <w:ilvl w:val="0"/>
          <w:numId w:val="0"/>
        </w:numPr>
        <w:spacing w:line="360" w:lineRule="auto"/>
        <w:ind w:leftChars="200"/>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（1）项目名称：广东省机场集团物流有限公司能源及碳排放管理体系建设咨询服务项目。</w:t>
      </w:r>
    </w:p>
    <w:p>
      <w:pPr>
        <w:numPr>
          <w:ilvl w:val="0"/>
          <w:numId w:val="0"/>
        </w:numPr>
        <w:spacing w:line="360" w:lineRule="auto"/>
        <w:ind w:left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（2）项目地点：广东省广州白云国际机场北区空港北二路白云机场国际1号货站</w:t>
      </w:r>
      <w:r>
        <w:rPr>
          <w:rFonts w:hint="eastAsia" w:cs="Times New Roman"/>
          <w:color w:val="auto"/>
          <w:kern w:val="2"/>
          <w:sz w:val="21"/>
          <w:szCs w:val="24"/>
          <w:highlight w:val="none"/>
          <w:lang w:val="en-US" w:eastAsia="zh-CN" w:bidi="ar-SA"/>
        </w:rPr>
        <w:t>。</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（3）采购内容</w:t>
      </w:r>
      <w:r>
        <w:rPr>
          <w:rFonts w:hint="eastAsia" w:cs="Times New Roman"/>
          <w:color w:val="auto"/>
          <w:kern w:val="2"/>
          <w:sz w:val="21"/>
          <w:szCs w:val="24"/>
          <w:highlight w:val="none"/>
          <w:lang w:val="en-US" w:eastAsia="zh-CN" w:bidi="ar-SA"/>
        </w:rPr>
        <w:t>：</w:t>
      </w:r>
    </w:p>
    <w:tbl>
      <w:tblPr>
        <w:tblStyle w:val="3"/>
        <w:tblW w:w="8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442"/>
        <w:gridCol w:w="918"/>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序号</w:t>
            </w:r>
          </w:p>
        </w:tc>
        <w:tc>
          <w:tcPr>
            <w:tcW w:w="34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服务内容</w:t>
            </w: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数量</w:t>
            </w:r>
          </w:p>
        </w:tc>
        <w:tc>
          <w:tcPr>
            <w:tcW w:w="31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w:t>
            </w:r>
          </w:p>
        </w:tc>
        <w:tc>
          <w:tcPr>
            <w:tcW w:w="344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能源管理体系建设咨询服务项目</w:t>
            </w: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1项</w:t>
            </w:r>
          </w:p>
        </w:tc>
        <w:tc>
          <w:tcPr>
            <w:tcW w:w="3195" w:type="dxa"/>
            <w:vMerge w:val="restart"/>
            <w:tcBorders>
              <w:top w:val="single" w:color="auto" w:sz="4" w:space="0"/>
              <w:left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各阶段项目成果通过甲方评审验收合格后，才能支付相关费用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344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碳排放管理体系建设咨询服务项目</w:t>
            </w: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1项</w:t>
            </w:r>
          </w:p>
        </w:tc>
        <w:tc>
          <w:tcPr>
            <w:tcW w:w="3195" w:type="dxa"/>
            <w:vMerge w:val="continue"/>
            <w:tcBorders>
              <w:left w:val="single" w:color="auto" w:sz="4" w:space="0"/>
              <w:bottom w:val="single" w:color="auto" w:sz="4" w:space="0"/>
              <w:right w:val="single" w:color="auto" w:sz="4" w:space="0"/>
            </w:tcBorders>
            <w:vAlign w:val="center"/>
          </w:tcPr>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p>
        </w:tc>
      </w:tr>
    </w:tbl>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p>
    <w:p>
      <w:pPr>
        <w:spacing w:line="360" w:lineRule="auto"/>
        <w:ind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1）能源管理体系建设</w:t>
      </w:r>
      <w:r>
        <w:rPr>
          <w:rFonts w:hint="eastAsia" w:cs="Times New Roman"/>
          <w:color w:val="auto"/>
          <w:kern w:val="2"/>
          <w:sz w:val="21"/>
          <w:szCs w:val="24"/>
          <w:highlight w:val="none"/>
          <w:lang w:val="en-US" w:eastAsia="zh-CN" w:bidi="ar-SA"/>
        </w:rPr>
        <w:t>：</w:t>
      </w:r>
    </w:p>
    <w:p>
      <w:pPr>
        <w:numPr>
          <w:ilvl w:val="0"/>
          <w:numId w:val="2"/>
        </w:numPr>
        <w:spacing w:line="360" w:lineRule="auto"/>
        <w:ind w:left="0" w:leftChars="0"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《能源管理体系手册》文件；</w:t>
      </w:r>
    </w:p>
    <w:p>
      <w:pPr>
        <w:numPr>
          <w:ilvl w:val="0"/>
          <w:numId w:val="2"/>
        </w:numPr>
        <w:spacing w:line="360" w:lineRule="auto"/>
        <w:ind w:left="0" w:leftChars="0"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能源管理体系二级程序文件；</w:t>
      </w:r>
    </w:p>
    <w:p>
      <w:pPr>
        <w:numPr>
          <w:ilvl w:val="0"/>
          <w:numId w:val="2"/>
        </w:numPr>
        <w:spacing w:line="360" w:lineRule="auto"/>
        <w:ind w:left="0" w:leftChars="0"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《能源管理实施方案》；</w:t>
      </w:r>
    </w:p>
    <w:p>
      <w:pPr>
        <w:numPr>
          <w:ilvl w:val="0"/>
          <w:numId w:val="2"/>
        </w:numPr>
        <w:spacing w:line="360" w:lineRule="auto"/>
        <w:ind w:left="0" w:leftChars="0" w:firstLine="420" w:firstLineChars="200"/>
        <w:rPr>
          <w:rFonts w:hint="eastAsia"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《能源管理体系认证证书》</w:t>
      </w:r>
      <w:r>
        <w:rPr>
          <w:rFonts w:hint="eastAsia" w:cs="Times New Roman"/>
          <w:b w:val="0"/>
          <w:bCs w:val="0"/>
          <w:color w:val="auto"/>
          <w:kern w:val="2"/>
          <w:sz w:val="21"/>
          <w:szCs w:val="24"/>
          <w:highlight w:val="none"/>
          <w:lang w:val="en-US" w:eastAsia="zh-CN" w:bidi="ar-SA"/>
        </w:rPr>
        <w:t>；</w:t>
      </w:r>
    </w:p>
    <w:p>
      <w:pPr>
        <w:numPr>
          <w:ilvl w:val="0"/>
          <w:numId w:val="2"/>
        </w:numPr>
        <w:spacing w:line="360" w:lineRule="auto"/>
        <w:ind w:left="0" w:leftChars="0"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其他配套文件。</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2）碳排放管理体系建设</w:t>
      </w:r>
      <w:r>
        <w:rPr>
          <w:rFonts w:hint="eastAsia" w:cs="Times New Roman"/>
          <w:color w:val="auto"/>
          <w:kern w:val="2"/>
          <w:sz w:val="21"/>
          <w:szCs w:val="24"/>
          <w:highlight w:val="none"/>
          <w:lang w:val="en-US" w:eastAsia="zh-CN" w:bidi="ar-SA"/>
        </w:rPr>
        <w:t>：</w:t>
      </w:r>
    </w:p>
    <w:p>
      <w:pPr>
        <w:numPr>
          <w:ilvl w:val="0"/>
          <w:numId w:val="3"/>
        </w:numPr>
        <w:spacing w:line="360" w:lineRule="auto"/>
        <w:ind w:left="0" w:leftChars="0" w:firstLine="400" w:firstLineChars="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《碳排放管理制度》；</w:t>
      </w:r>
    </w:p>
    <w:p>
      <w:pPr>
        <w:numPr>
          <w:ilvl w:val="0"/>
          <w:numId w:val="3"/>
        </w:numPr>
        <w:spacing w:line="360" w:lineRule="auto"/>
        <w:ind w:left="0" w:leftChars="0" w:firstLine="400" w:firstLineChars="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《碳排放源一览表》；</w:t>
      </w:r>
    </w:p>
    <w:p>
      <w:pPr>
        <w:numPr>
          <w:ilvl w:val="0"/>
          <w:numId w:val="3"/>
        </w:numPr>
        <w:spacing w:line="360" w:lineRule="auto"/>
        <w:ind w:left="0" w:leftChars="0" w:firstLine="400" w:firstLineChars="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《碳排放管理实施方案》；</w:t>
      </w:r>
    </w:p>
    <w:p>
      <w:pPr>
        <w:numPr>
          <w:ilvl w:val="0"/>
          <w:numId w:val="3"/>
        </w:numPr>
        <w:spacing w:line="360" w:lineRule="auto"/>
        <w:ind w:left="0" w:leftChars="0" w:firstLine="400" w:firstLineChars="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其他配套文件。</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成果以甲方验收通过的书面报告（包括电子文本）为准，乙方应向甲方提供项目每个阶段所涉及的所有电子文件和《能源管理体系手册》文件、能源管理体系二级程序文件、《能源管理实施方案》《温室气文件和记录管理程序》《温室气体量化和报告程序》</w:t>
      </w:r>
      <w:r>
        <w:rPr>
          <w:rFonts w:hint="eastAsia" w:ascii="宋体" w:hAnsi="宋体"/>
          <w:szCs w:val="21"/>
          <w:lang w:val="en-US" w:eastAsia="zh-CN"/>
        </w:rPr>
        <w:t>《碳排放管理制度》</w:t>
      </w:r>
      <w:r>
        <w:rPr>
          <w:rFonts w:hint="eastAsia" w:ascii="Times New Roman" w:hAnsi="Times New Roman" w:eastAsia="宋体" w:cs="Times New Roman"/>
          <w:color w:val="auto"/>
          <w:kern w:val="2"/>
          <w:sz w:val="21"/>
          <w:szCs w:val="24"/>
          <w:highlight w:val="none"/>
          <w:lang w:val="en-US" w:eastAsia="zh-CN" w:bidi="ar-SA"/>
        </w:rPr>
        <w:t>《碳排放源一览表》和《碳排放管理实施方案》的纸质文件一式三份等相关文件。</w:t>
      </w:r>
    </w:p>
    <w:p>
      <w:pPr>
        <w:spacing w:line="360" w:lineRule="auto"/>
        <w:ind w:firstLine="422" w:firstLineChars="200"/>
        <w:rPr>
          <w:rFonts w:hint="eastAsia" w:cs="Times New Roman"/>
          <w:b/>
          <w:bCs/>
          <w:color w:val="auto"/>
          <w:kern w:val="2"/>
          <w:sz w:val="21"/>
          <w:szCs w:val="24"/>
          <w:highlight w:val="none"/>
          <w:lang w:val="en-US" w:eastAsia="zh-CN" w:bidi="ar-SA"/>
        </w:rPr>
      </w:pPr>
    </w:p>
    <w:p>
      <w:pPr>
        <w:spacing w:line="360" w:lineRule="auto"/>
        <w:ind w:firstLine="422" w:firstLineChars="200"/>
        <w:rPr>
          <w:rFonts w:hint="eastAsia"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二、</w:t>
      </w:r>
      <w:r>
        <w:rPr>
          <w:rFonts w:hint="eastAsia" w:ascii="Times New Roman" w:hAnsi="Times New Roman" w:eastAsia="宋体" w:cs="Times New Roman"/>
          <w:b/>
          <w:bCs/>
          <w:color w:val="auto"/>
          <w:kern w:val="2"/>
          <w:sz w:val="21"/>
          <w:szCs w:val="24"/>
          <w:highlight w:val="none"/>
          <w:lang w:val="en-US" w:eastAsia="zh-CN" w:bidi="ar-SA"/>
        </w:rPr>
        <w:t>服务内容</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广东省机场集团物流有限公司能源及碳排放管理体系建设，形成规范化、标准化的管理体系，并且建设成果达到认证要求及标准。</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（一）能源管理体系建设</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为广东省机场集团物流有限公司能源管体系建设提供咨询服务，完成能源管理体系建设工作。具体工作说明如下：</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1.开展体系培训活动：组织开展能源管理体系相关的培训活动，包括标准认识培训、内审员培训、体系文件宣贯培训。</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2.开展能源评审活动：组织开展广东省机场集团物流有限公司能源评审活动，对各项能源相关的活动开展实地调研和访谈，分析目前能源管理现状，为下一步改进工作提供建议措施。</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3.识别能源绩效参数：明确能源消耗情况以及能源消费成本，梳理相关的能源绩效参数。</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4.制定能源目标指标：制定广东省机场集团物流有限公司能源考核评价目标指标，目标指标包含公司整体层面、各部门/单位层面、设备系统层面、具体因素层面。</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5.节能减排考核评价指标：基于能源环境法律法规、政策要求及影响因素分析，以能源环境管理体系建设为基础构建可对标、可评估、可执行的广东省机场集团物流有限公司节能减排考核评价指标体系。</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6.编制体系配套文件：完成能源管理体系手册文件和二级程序编制。</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7.开展内部评审活动：协助组织能源管理体系内审活动，制定《内部审核计划》和《内部审核检查表》。</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8.协助管理评审活动：协助组织能源管理体系管理评审活动，协助完成管理评审汇报PPT。</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9.配合外部评审与认证：协助配合甲方能源管理体系的外部评审与认证活动，取得能源体系认证。</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10.其他与项目相关内容。</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（二）碳排放管理体系建设</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1.开展培训活动：组织开展碳排放管理相关的培训活动，包括管理知识培训、管理文件宣贯培训。</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2.建立碳排放管理制度：编制碳排放管理制度，建立温室气体信息管理程序文件，包括《文件和记录管理程序》、《温室气体量化和报告程序》、《数据质量管理程序》等文件。</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3.全面识别排放源：识别直接温室气体排放、能源间接温室气体排放和其他间接温室气体排放的温室气体源，并形成文件。并对直接温室气体排放的温室气体源进行分类。</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4.编制温室气体清单和报告：选择合适的量化方法，收集温室气体活动数据、确定排放因子、计算碳排放量，最终完成《温室气体清单》和《编制温室气体报告》编制。</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5.编制碳排放管理实施方案：结合企业的实际情况，提出碳减排措施，编制碳排放实施管理方案。</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6.其他与项目相关内容。</w:t>
      </w:r>
    </w:p>
    <w:p>
      <w:pPr>
        <w:spacing w:line="360" w:lineRule="auto"/>
        <w:ind w:firstLine="422" w:firstLineChars="200"/>
        <w:rPr>
          <w:rFonts w:hint="eastAsia" w:cs="Times New Roman"/>
          <w:b/>
          <w:bCs/>
          <w:color w:val="auto"/>
          <w:kern w:val="2"/>
          <w:sz w:val="21"/>
          <w:szCs w:val="24"/>
          <w:highlight w:val="none"/>
          <w:lang w:val="en-US" w:eastAsia="zh-CN" w:bidi="ar-SA"/>
        </w:rPr>
      </w:pPr>
    </w:p>
    <w:p>
      <w:pPr>
        <w:spacing w:line="360" w:lineRule="auto"/>
        <w:ind w:firstLine="422" w:firstLineChars="200"/>
        <w:rPr>
          <w:rFonts w:hint="eastAsia"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三、</w:t>
      </w:r>
      <w:r>
        <w:rPr>
          <w:rFonts w:hint="eastAsia" w:ascii="Times New Roman" w:hAnsi="Times New Roman" w:eastAsia="宋体" w:cs="Times New Roman"/>
          <w:b/>
          <w:bCs/>
          <w:color w:val="auto"/>
          <w:kern w:val="2"/>
          <w:sz w:val="21"/>
          <w:szCs w:val="24"/>
          <w:highlight w:val="none"/>
          <w:lang w:val="en-US" w:eastAsia="zh-CN" w:bidi="ar-SA"/>
        </w:rPr>
        <w:t>服务要求</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（一）技术标准</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1.符合国家法律法规、国务院等主要部委和民航行业的节能环保方针政策、标准规范等要求；</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2.根据国家、广东省下达的主要节能环保评价指标制定适合广东省机场集团物流有限公司的节能环保主要目标及具体指标；</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3.按照《企业节能规划编制通则》和国家发改委《企业能源审计报告和节能规划审核指南》要求编制；</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4.按照国务院、国家发改委、生态环境部以及广东省发改委、生态环境厅有关十四五重点企业碳排放报告、碳达峰、碳中和等要求编制；</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5.按照GB/T2589、GB/T6422、GB/T16614和GB/T17167的有关规定进行企业能源计量及统计状况的评估；</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6.按照GB/T17166、 GB/T16615的有关规定进行能源消费指标及能源成本指标的计算和分析；</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7.按照GB50189和JGJ/T176的有关规定进行建筑内主要用电设施节能技改项目的分析、评估和筛选；</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8.按照《能源管理体系要求》（GB/T 23331-2020）和《能源管理体系实施指南》（ GB/T 29456-2020）标准，结合企业实际，建立适合广东省机场集团物流有限公司的能源管理体系实施方案。</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9.ISO 14064-1: 2006 温室气体第1部分组织层次上对温室气体排放和清除的量化与报告的规范及指南（Greenhouse gases—Part1:Specification with guidance at the organization level for quantification and reporting of greenhouse gas emissions and removals）</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10.温室气体议定</w:t>
      </w:r>
      <w:r>
        <w:rPr>
          <w:rFonts w:hint="eastAsia" w:ascii="Times New Roman" w:hAnsi="Times New Roman" w:eastAsia="宋体" w:cs="Times New Roman"/>
          <w:color w:val="auto"/>
          <w:kern w:val="2"/>
          <w:sz w:val="21"/>
          <w:szCs w:val="24"/>
          <w:highlight w:val="none"/>
          <w:lang w:val="en-US" w:eastAsia="zh-CN" w:bidi="ar-SA"/>
        </w:rPr>
        <w:t>书：企业核算和报告准则（GHG Protocol: A Corporate Accounting and Reporting S</w:t>
      </w:r>
      <w:r>
        <w:rPr>
          <w:rFonts w:hint="eastAsia" w:ascii="宋体" w:hAnsi="宋体" w:cs="宋体"/>
          <w:color w:val="333333"/>
          <w:kern w:val="0"/>
          <w:szCs w:val="21"/>
          <w:highlight w:val="none"/>
          <w:lang w:val="en-US" w:eastAsia="zh-CN"/>
        </w:rPr>
        <w:t>tandard）</w:t>
      </w:r>
    </w:p>
    <w:p>
      <w:pPr>
        <w:widowControl/>
        <w:spacing w:line="360" w:lineRule="auto"/>
        <w:ind w:firstLine="420" w:firstLineChars="200"/>
        <w:rPr>
          <w:rFonts w:hint="eastAsia" w:ascii="宋体" w:hAnsi="宋体" w:cs="宋体"/>
          <w:color w:val="333333"/>
          <w:kern w:val="0"/>
          <w:szCs w:val="21"/>
          <w:highlight w:val="none"/>
          <w:lang w:val="en-US" w:eastAsia="zh-CN"/>
        </w:rPr>
      </w:pPr>
      <w:r>
        <w:rPr>
          <w:rFonts w:hint="eastAsia" w:ascii="宋体" w:hAnsi="宋体" w:cs="宋体"/>
          <w:color w:val="333333"/>
          <w:kern w:val="0"/>
          <w:szCs w:val="21"/>
          <w:highlight w:val="none"/>
          <w:lang w:val="en-US" w:eastAsia="zh-CN"/>
        </w:rPr>
        <w:t>（二）工作机制要求</w:t>
      </w:r>
    </w:p>
    <w:p>
      <w:pPr>
        <w:widowControl/>
        <w:spacing w:line="360" w:lineRule="auto"/>
        <w:ind w:firstLine="420" w:firstLineChars="200"/>
        <w:rPr>
          <w:rFonts w:hint="eastAsia" w:cs="Times New Roman"/>
          <w:color w:val="auto"/>
          <w:kern w:val="2"/>
          <w:sz w:val="21"/>
          <w:szCs w:val="24"/>
          <w:highlight w:val="none"/>
          <w:lang w:val="en-US" w:eastAsia="zh-CN" w:bidi="ar-SA"/>
        </w:rPr>
      </w:pPr>
      <w:r>
        <w:rPr>
          <w:rFonts w:hint="eastAsia" w:ascii="宋体" w:hAnsi="宋体" w:cs="宋体"/>
          <w:color w:val="333333"/>
          <w:kern w:val="0"/>
          <w:szCs w:val="21"/>
          <w:highlight w:val="none"/>
          <w:lang w:val="en-US" w:eastAsia="zh-CN"/>
        </w:rPr>
        <w:t>1.</w:t>
      </w:r>
      <w:r>
        <w:rPr>
          <w:rFonts w:hint="eastAsia" w:ascii="Times New Roman" w:hAnsi="Times New Roman" w:eastAsia="宋体" w:cs="Times New Roman"/>
          <w:color w:val="auto"/>
          <w:kern w:val="2"/>
          <w:sz w:val="21"/>
          <w:szCs w:val="24"/>
          <w:highlight w:val="none"/>
          <w:lang w:val="en-US" w:eastAsia="zh-CN" w:bidi="ar-SA"/>
        </w:rPr>
        <w:t>成交供应商所派出的专业团队应设置1名项目负责人，团队成员不少于</w:t>
      </w: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人，其中项目负责人及团队成员应</w:t>
      </w:r>
      <w:r>
        <w:rPr>
          <w:rFonts w:hint="eastAsia" w:cs="Times New Roman"/>
          <w:color w:val="auto"/>
          <w:kern w:val="2"/>
          <w:sz w:val="21"/>
          <w:szCs w:val="24"/>
          <w:highlight w:val="none"/>
          <w:lang w:val="en-US" w:eastAsia="zh-CN" w:bidi="ar-SA"/>
        </w:rPr>
        <w:t>具有</w:t>
      </w:r>
      <w:r>
        <w:rPr>
          <w:rFonts w:hint="eastAsia" w:hAnsi="宋体" w:cs="仿宋"/>
          <w:color w:val="auto"/>
          <w:szCs w:val="21"/>
          <w:highlight w:val="none"/>
          <w:lang w:val="en-US" w:eastAsia="zh-CN"/>
        </w:rPr>
        <w:t>能源（含节能、热动）、</w:t>
      </w:r>
      <w:r>
        <w:rPr>
          <w:rFonts w:hint="eastAsia" w:ascii="Times New Roman" w:hAnsi="宋体" w:eastAsia="宋体" w:cs="仿宋"/>
          <w:color w:val="auto"/>
          <w:szCs w:val="21"/>
          <w:highlight w:val="none"/>
          <w:lang w:val="en-US" w:eastAsia="zh-CN"/>
        </w:rPr>
        <w:t>环境、暖通</w:t>
      </w:r>
      <w:r>
        <w:rPr>
          <w:rFonts w:hint="eastAsia" w:hAnsi="宋体" w:cs="仿宋"/>
          <w:color w:val="auto"/>
          <w:szCs w:val="21"/>
          <w:highlight w:val="none"/>
          <w:lang w:val="en-US" w:eastAsia="zh-CN"/>
        </w:rPr>
        <w:t>或</w:t>
      </w:r>
      <w:r>
        <w:rPr>
          <w:rFonts w:hint="eastAsia" w:ascii="Times New Roman" w:hAnsi="宋体" w:eastAsia="宋体" w:cs="仿宋"/>
          <w:color w:val="auto"/>
          <w:szCs w:val="21"/>
          <w:highlight w:val="none"/>
          <w:lang w:val="en-US" w:eastAsia="zh-CN"/>
        </w:rPr>
        <w:t>机电等与项目相关的</w:t>
      </w:r>
      <w:r>
        <w:rPr>
          <w:rFonts w:hint="eastAsia" w:ascii="Times New Roman" w:hAnsi="Times New Roman" w:eastAsia="宋体" w:cs="Times New Roman"/>
          <w:color w:val="auto"/>
          <w:kern w:val="2"/>
          <w:sz w:val="21"/>
          <w:szCs w:val="24"/>
          <w:highlight w:val="none"/>
          <w:lang w:val="en-US" w:eastAsia="zh-CN" w:bidi="ar-SA"/>
        </w:rPr>
        <w:t>专业职称；合同期内，采购人认为专业成员不满足项目要求，成交供应商必须按照采购人要求更换团队成员，直到采购人满</w:t>
      </w:r>
      <w:r>
        <w:rPr>
          <w:rFonts w:hint="eastAsia" w:cs="Times New Roman"/>
          <w:color w:val="auto"/>
          <w:kern w:val="2"/>
          <w:sz w:val="21"/>
          <w:szCs w:val="24"/>
          <w:highlight w:val="none"/>
          <w:lang w:val="en-US" w:eastAsia="zh-CN" w:bidi="ar-SA"/>
        </w:rPr>
        <w:t>意为止；成交供应商未经采购人同意不得更换团队成员；</w:t>
      </w:r>
    </w:p>
    <w:p>
      <w:pPr>
        <w:widowControl/>
        <w:spacing w:line="360" w:lineRule="auto"/>
        <w:ind w:firstLine="420" w:firstLineChars="200"/>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2.合同签订之日起，成交供应商应派出专业团队成员（不少于2人）常驻采购人办公地点，办公场地由采购人提供；</w:t>
      </w:r>
    </w:p>
    <w:p>
      <w:pPr>
        <w:widowControl/>
        <w:spacing w:line="360" w:lineRule="auto"/>
        <w:ind w:firstLine="420" w:firstLineChars="200"/>
        <w:rPr>
          <w:rFonts w:hint="eastAsia"/>
          <w:lang w:val="en-US" w:eastAsia="zh-CN"/>
        </w:rPr>
      </w:pP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合同期内，采购人的具体咨询要求将以书面形式提交给成交供应商。成交供应商自应当受到咨询要求之日起须在三个工作日内予以书面答复；</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（三）成果要求</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（1）能源管理体系建设</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形成广东省机场集团物流有限公司能源、环境管理体系《管理手册》《程序文件》、作业指导书以及记录文件、《考核指标体系》等文件体系,最终建设成果达到能通过外部评审与认证审核标准。</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（2）碳排放管理体系建设认证</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形成《碳排放管理制度》《碳排放源一览表》《碳排放管理实施方案》，其他配套文件。</w:t>
      </w:r>
    </w:p>
    <w:p>
      <w:pPr>
        <w:spacing w:line="360" w:lineRule="auto"/>
        <w:ind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（四）</w:t>
      </w:r>
      <w:r>
        <w:rPr>
          <w:rFonts w:hint="eastAsia" w:cs="Times New Roman"/>
          <w:color w:val="auto"/>
          <w:kern w:val="2"/>
          <w:sz w:val="21"/>
          <w:szCs w:val="24"/>
          <w:highlight w:val="none"/>
          <w:lang w:val="en-US" w:eastAsia="zh-CN" w:bidi="ar-SA"/>
        </w:rPr>
        <w:t>工作时限和进度</w:t>
      </w:r>
      <w:r>
        <w:rPr>
          <w:rFonts w:hint="eastAsia" w:ascii="Times New Roman" w:hAnsi="Times New Roman" w:eastAsia="宋体" w:cs="Times New Roman"/>
          <w:color w:val="auto"/>
          <w:kern w:val="2"/>
          <w:sz w:val="21"/>
          <w:szCs w:val="24"/>
          <w:highlight w:val="none"/>
          <w:lang w:val="en-US" w:eastAsia="zh-CN" w:bidi="ar-SA"/>
        </w:rPr>
        <w:t>要求</w:t>
      </w:r>
      <w:r>
        <w:rPr>
          <w:rFonts w:hint="eastAsia" w:cs="Times New Roman"/>
          <w:color w:val="auto"/>
          <w:kern w:val="2"/>
          <w:sz w:val="21"/>
          <w:szCs w:val="24"/>
          <w:highlight w:val="none"/>
          <w:lang w:val="en-US" w:eastAsia="zh-CN" w:bidi="ar-SA"/>
        </w:rPr>
        <w:t xml:space="preserve">  </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双方在合同签订生效之日起分两个阶段完成项目交付。其中，能源管理体系建设阶段在合同签订之日起启动，在2023年12月31日前完成能源体系配套文件，配合外部评审与认证</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直至获得《能源管理体系认证证</w:t>
      </w:r>
      <w:bookmarkStart w:id="5" w:name="_GoBack"/>
      <w:bookmarkEnd w:id="5"/>
      <w:r>
        <w:rPr>
          <w:rFonts w:hint="eastAsia" w:ascii="Times New Roman" w:hAnsi="Times New Roman" w:eastAsia="宋体" w:cs="Times New Roman"/>
          <w:color w:val="auto"/>
          <w:kern w:val="2"/>
          <w:sz w:val="21"/>
          <w:szCs w:val="24"/>
          <w:highlight w:val="none"/>
          <w:lang w:val="en-US" w:eastAsia="zh-CN" w:bidi="ar-SA"/>
        </w:rPr>
        <w:t>书》；碳排放管理体系建设阶段为120个日历天，计划于2024年启动，实际实施安排按</w:t>
      </w:r>
      <w:r>
        <w:rPr>
          <w:rFonts w:hint="default" w:ascii="Times New Roman" w:hAnsi="Times New Roman" w:eastAsia="宋体" w:cs="Times New Roman"/>
          <w:color w:val="auto"/>
          <w:kern w:val="2"/>
          <w:sz w:val="21"/>
          <w:szCs w:val="24"/>
          <w:highlight w:val="none"/>
          <w:lang w:val="en-US" w:eastAsia="zh-CN" w:bidi="ar-SA"/>
        </w:rPr>
        <w:t>甲方</w:t>
      </w:r>
      <w:r>
        <w:rPr>
          <w:rFonts w:hint="eastAsia" w:ascii="Times New Roman" w:hAnsi="Times New Roman" w:eastAsia="宋体" w:cs="Times New Roman"/>
          <w:color w:val="auto"/>
          <w:kern w:val="2"/>
          <w:sz w:val="21"/>
          <w:szCs w:val="24"/>
          <w:highlight w:val="none"/>
          <w:lang w:val="en-US" w:eastAsia="zh-CN" w:bidi="ar-SA"/>
        </w:rPr>
        <w:t>的要求为准。</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（五）考核要求</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（1）合同期内，采购人的具体咨询要求将以书面形式提交给成交供应商。成交供应商自应当受到咨询要求之日起须在三个工作日内予以书面答复；</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r>
        <w:rPr>
          <w:rFonts w:hint="eastAsia" w:ascii="Times New Roman" w:hAnsi="Times New Roman" w:eastAsia="宋体" w:cs="Times New Roman"/>
          <w:color w:val="auto"/>
          <w:kern w:val="2"/>
          <w:sz w:val="21"/>
          <w:szCs w:val="24"/>
          <w:highlight w:val="none"/>
          <w:lang w:val="en-US" w:eastAsia="zh-CN" w:bidi="ar-SA"/>
        </w:rPr>
        <w:t>成交供应商未经采购人同意自行更换项目团队成员的，每出现1次扣除合同总额的千分之一；</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合同期内，成交供应商未能及时响应采购人的具体咨询要求，每逾期1天扣除合同总额的千分之一；</w:t>
      </w:r>
    </w:p>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）合同期内，成交供应商未能按时提交项目成果文稿的，每逾期1天扣除合同总额的千分之一。</w:t>
      </w: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pPr>
        <w:spacing w:line="560" w:lineRule="exact"/>
        <w:jc w:val="center"/>
        <w:outlineLvl w:val="0"/>
        <w:rPr>
          <w:rFonts w:hint="eastAsia"/>
          <w:b/>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93F82"/>
    <w:multiLevelType w:val="singleLevel"/>
    <w:tmpl w:val="DF593F82"/>
    <w:lvl w:ilvl="0" w:tentative="0">
      <w:start w:val="1"/>
      <w:numFmt w:val="decimalEnclosedCircleChinese"/>
      <w:suff w:val="nothing"/>
      <w:lvlText w:val="%1　"/>
      <w:lvlJc w:val="left"/>
      <w:pPr>
        <w:ind w:left="0" w:firstLine="400"/>
      </w:pPr>
      <w:rPr>
        <w:rFonts w:hint="eastAsia"/>
      </w:rPr>
    </w:lvl>
  </w:abstractNum>
  <w:abstractNum w:abstractNumId="1">
    <w:nsid w:val="20C85DF3"/>
    <w:multiLevelType w:val="multilevel"/>
    <w:tmpl w:val="20C85DF3"/>
    <w:lvl w:ilvl="0" w:tentative="0">
      <w:start w:val="1"/>
      <w:numFmt w:val="decimal"/>
      <w:pStyle w:val="2"/>
      <w:suff w:val="space"/>
      <w:lvlText w:val="%1"/>
      <w:lvlJc w:val="left"/>
      <w:pPr>
        <w:ind w:left="425" w:hanging="425"/>
      </w:pPr>
      <w:rPr>
        <w:rFonts w:hint="eastAsia"/>
      </w:rPr>
    </w:lvl>
    <w:lvl w:ilvl="1" w:tentative="0">
      <w:start w:val="1"/>
      <w:numFmt w:val="decimal"/>
      <w:isLgl/>
      <w:suff w:val="space"/>
      <w:lvlText w:val="3.%2"/>
      <w:lvlJc w:val="left"/>
      <w:pPr>
        <w:ind w:left="1277" w:hanging="567"/>
      </w:pPr>
      <w:rPr>
        <w:rFonts w:hint="eastAsia"/>
      </w:rPr>
    </w:lvl>
    <w:lvl w:ilvl="2" w:tentative="0">
      <w:start w:val="1"/>
      <w:numFmt w:val="decimal"/>
      <w:suff w:val="space"/>
      <w:lvlText w:val="3.%2.%3"/>
      <w:lvlJc w:val="left"/>
      <w:pPr>
        <w:ind w:left="567" w:hanging="567"/>
      </w:pPr>
      <w:rPr>
        <w:rFonts w:hint="eastAsia"/>
      </w:rPr>
    </w:lvl>
    <w:lvl w:ilvl="3" w:tentative="0">
      <w:start w:val="1"/>
      <w:numFmt w:val="decimal"/>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4A2A72A7"/>
    <w:multiLevelType w:val="singleLevel"/>
    <w:tmpl w:val="4A2A72A7"/>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D136D"/>
    <w:rsid w:val="023902C4"/>
    <w:rsid w:val="02BD136D"/>
    <w:rsid w:val="3BE54C73"/>
    <w:rsid w:val="42390A74"/>
    <w:rsid w:val="478E42D8"/>
    <w:rsid w:val="57F6315B"/>
    <w:rsid w:val="6DD81105"/>
    <w:rsid w:val="6E406F74"/>
    <w:rsid w:val="755F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2023-07-27T08:05:00Z</dcterms:created>
  <dc:creator>Administrator</dc:creator>
  <cp:lastModifiedBy>Administrator</cp:lastModifiedBy>
  <dcterms:modified xsi:type="dcterms:W3CDTF">2023-07-27T08:08:31Z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