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8"/>
        </w:rPr>
      </w:pPr>
      <w:bookmarkStart w:id="0" w:name="_Hlk11089628"/>
      <w:r>
        <w:rPr>
          <w:rFonts w:hint="eastAsia" w:ascii="宋体" w:hAnsi="宋体"/>
          <w:b/>
          <w:sz w:val="48"/>
        </w:rPr>
        <w:t>广东机场白云信息科技有限公司</w:t>
      </w:r>
    </w:p>
    <w:bookmarkEnd w:id="0"/>
    <w:p>
      <w:pPr>
        <w:jc w:val="center"/>
        <w:rPr>
          <w:rFonts w:eastAsia="黑体"/>
          <w:sz w:val="48"/>
        </w:rPr>
      </w:pPr>
      <w:r>
        <w:rPr>
          <w:rFonts w:hint="eastAsia" w:ascii="宋体" w:hAnsi="宋体"/>
          <w:b/>
          <w:sz w:val="44"/>
          <w:szCs w:val="44"/>
        </w:rPr>
        <w:t>登机立柱工程机、安检闸机工程机和自助登机门闸机工程机</w:t>
      </w:r>
      <w:r>
        <w:rPr>
          <w:rFonts w:hint="eastAsia" w:ascii="宋体" w:hAnsi="宋体" w:eastAsia="宋体"/>
          <w:b/>
          <w:sz w:val="44"/>
          <w:szCs w:val="44"/>
        </w:rPr>
        <w:t>采购文件</w:t>
      </w:r>
    </w:p>
    <w:p>
      <w:pPr>
        <w:jc w:val="center"/>
        <w:rPr>
          <w:rFonts w:eastAsia="黑体"/>
          <w:sz w:val="32"/>
        </w:rPr>
      </w:pPr>
    </w:p>
    <w:p>
      <w:pPr>
        <w:jc w:val="center"/>
        <w:rPr>
          <w:rFonts w:eastAsia="黑体"/>
          <w:b/>
          <w:sz w:val="32"/>
        </w:r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r>
        <w:rPr>
          <w:rFonts w:hint="eastAsia" w:eastAsia="黑体"/>
          <w:bCs/>
          <w:sz w:val="32"/>
        </w:rPr>
        <w:t>第二部分               报价人须知</w:t>
      </w: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r>
        <w:rPr>
          <w:rFonts w:hint="eastAsia" w:eastAsia="黑体"/>
          <w:bCs/>
          <w:sz w:val="32"/>
        </w:rPr>
        <w:t>第四部分               报价文件格式</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eastAsia="黑体"/>
          <w:b/>
          <w:sz w:val="52"/>
        </w:rPr>
      </w:pPr>
      <w:r>
        <w:rPr>
          <w:rFonts w:eastAsia="黑体"/>
          <w:b/>
          <w:sz w:val="52"/>
        </w:rPr>
        <w:br w:type="page"/>
      </w:r>
    </w:p>
    <w:p>
      <w:pPr>
        <w:spacing w:line="312" w:lineRule="auto"/>
        <w:jc w:val="center"/>
        <w:outlineLvl w:val="0"/>
        <w:rPr>
          <w:b/>
          <w:sz w:val="32"/>
          <w:szCs w:val="32"/>
        </w:rPr>
      </w:pPr>
      <w:r>
        <w:rPr>
          <w:rFonts w:hint="eastAsia"/>
          <w:b/>
          <w:sz w:val="32"/>
          <w:szCs w:val="32"/>
        </w:rPr>
        <w:t>第一部分  邀请函</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广东机场白云信息科技有限公司（以下简称“采购人”）就</w:t>
      </w:r>
      <w:r>
        <w:rPr>
          <w:rFonts w:hint="eastAsia" w:ascii="仿宋_GB2312" w:hAnsi="仿宋_GB2312" w:eastAsia="仿宋_GB2312" w:cs="仿宋_GB2312"/>
          <w:b w:val="0"/>
          <w:sz w:val="21"/>
          <w:szCs w:val="21"/>
        </w:rPr>
        <w:t>登机立柱工程机、安检闸机工程机和自助登机门闸机工程机</w:t>
      </w:r>
      <w:r>
        <w:rPr>
          <w:rFonts w:hint="eastAsia" w:ascii="仿宋_GB2312" w:hAnsi="仿宋_GB2312" w:eastAsia="仿宋_GB2312" w:cs="仿宋_GB2312"/>
          <w:b w:val="0"/>
          <w:sz w:val="21"/>
          <w:szCs w:val="21"/>
          <w:lang w:val="en-US" w:eastAsia="zh-CN"/>
        </w:rPr>
        <w:t>采购</w:t>
      </w:r>
      <w:r>
        <w:rPr>
          <w:rFonts w:hint="eastAsia" w:ascii="仿宋_GB2312" w:hAnsi="仿宋_GB2312" w:eastAsia="仿宋_GB2312" w:cs="仿宋_GB2312"/>
          <w:szCs w:val="21"/>
        </w:rPr>
        <w:t>项目，现邀请合格的合作商（以下简称“报价人”）提交密封报价文件。</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 项目概况：</w:t>
      </w:r>
    </w:p>
    <w:p>
      <w:pPr>
        <w:spacing w:line="312"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1.1项目名称：</w:t>
      </w:r>
      <w:r>
        <w:rPr>
          <w:rFonts w:hint="eastAsia" w:ascii="仿宋_GB2312" w:hAnsi="仿宋_GB2312" w:eastAsia="仿宋_GB2312" w:cs="仿宋_GB2312"/>
          <w:b w:val="0"/>
          <w:sz w:val="21"/>
          <w:szCs w:val="21"/>
        </w:rPr>
        <w:t>登机立柱工程机、安检闸机工程机和自助登机门闸机工程机</w:t>
      </w:r>
      <w:r>
        <w:rPr>
          <w:rFonts w:hint="eastAsia" w:ascii="仿宋_GB2312" w:hAnsi="仿宋_GB2312" w:eastAsia="仿宋_GB2312" w:cs="仿宋_GB2312"/>
          <w:b w:val="0"/>
          <w:sz w:val="21"/>
          <w:szCs w:val="21"/>
          <w:lang w:val="en-US" w:eastAsia="zh-CN"/>
        </w:rPr>
        <w:t>采购</w:t>
      </w:r>
      <w:r>
        <w:rPr>
          <w:rFonts w:hint="eastAsia" w:ascii="仿宋_GB2312" w:hAnsi="仿宋_GB2312" w:eastAsia="仿宋_GB2312" w:cs="仿宋_GB2312"/>
          <w:szCs w:val="21"/>
        </w:rPr>
        <w:t>项目</w:t>
      </w:r>
    </w:p>
    <w:p>
      <w:pPr>
        <w:spacing w:line="312" w:lineRule="auto"/>
        <w:ind w:firstLine="420" w:firstLineChars="200"/>
      </w:pPr>
      <w:r>
        <w:rPr>
          <w:rFonts w:hint="eastAsia" w:ascii="仿宋_GB2312" w:hAnsi="仿宋_GB2312" w:eastAsia="仿宋_GB2312" w:cs="仿宋_GB2312"/>
          <w:szCs w:val="21"/>
        </w:rPr>
        <w:t>1.2项目编号：网站自动生成</w:t>
      </w:r>
    </w:p>
    <w:p>
      <w:pPr>
        <w:tabs>
          <w:tab w:val="left" w:pos="540"/>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1.3项目地点：广州白云机场</w:t>
      </w:r>
    </w:p>
    <w:p>
      <w:pPr>
        <w:spacing w:line="312" w:lineRule="auto"/>
        <w:ind w:firstLine="420" w:firstLineChars="200"/>
        <w:rPr>
          <w:rFonts w:ascii="仿宋_GB2312" w:hAnsi="仿宋_GB2312" w:eastAsia="仿宋_GB2312" w:cs="仿宋_GB2312"/>
          <w:szCs w:val="21"/>
          <w:highlight w:val="yellow"/>
        </w:rPr>
      </w:pPr>
      <w:r>
        <w:rPr>
          <w:rFonts w:hint="eastAsia" w:ascii="仿宋_GB2312" w:hAnsi="仿宋_GB2312" w:eastAsia="仿宋_GB2312" w:cs="仿宋_GB2312"/>
          <w:szCs w:val="21"/>
        </w:rPr>
        <w:t xml:space="preserve">1.4项目内容：详见第二部分报价人须知  </w:t>
      </w:r>
    </w:p>
    <w:p>
      <w:pPr>
        <w:numPr>
          <w:ilvl w:val="0"/>
          <w:numId w:val="1"/>
        </w:num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采购内容及限价：</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0"/>
        <w:gridCol w:w="528"/>
        <w:gridCol w:w="6252"/>
        <w:gridCol w:w="264"/>
        <w:gridCol w:w="264"/>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 号</w:t>
            </w:r>
          </w:p>
        </w:tc>
        <w:tc>
          <w:tcPr>
            <w:tcW w:w="0" w:type="auto"/>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0" w:type="auto"/>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规格参数</w:t>
            </w:r>
          </w:p>
        </w:tc>
        <w:tc>
          <w:tcPr>
            <w:tcW w:w="0" w:type="auto"/>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0" w:type="auto"/>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0" w:type="auto"/>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限</w:t>
            </w:r>
            <w:r>
              <w:rPr>
                <w:rFonts w:hint="eastAsia" w:ascii="宋体" w:hAnsi="宋体" w:eastAsia="宋体" w:cs="宋体"/>
                <w:b/>
                <w:i w:val="0"/>
                <w:color w:val="000000"/>
                <w:kern w:val="0"/>
                <w:sz w:val="20"/>
                <w:szCs w:val="20"/>
                <w:u w:val="none"/>
                <w:lang w:val="en-US" w:eastAsia="zh-CN" w:bidi="ar"/>
              </w:rPr>
              <w:t>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登机立柱工程机</w:t>
            </w:r>
          </w:p>
        </w:tc>
        <w:tc>
          <w:tcPr>
            <w:tcW w:w="0" w:type="auto"/>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主控单元 低功耗工业级I5高性能工控板  摄像头 采用高清像素双目摄像头，支持活体检测  二维码 支持机票一维、二维码扫描  身份证护照识别 支持读二代身份证、外国人永久居留证和港澳台永久居留证、护照识别  乘客显示器 10．1寸，分辨率800*1280  触摸后台显示器 8寸，电容触摸，分辨率600*1024  电源模块 待机功率：150W工作功率：200W  整机外形尺寸 210mm(宽) ×433mm(深) × 1580mm(高)  整机重量（估） 净重：60Kg；毛重：80Kg  整机输入电源 220V+10%～-15%，50Hz±4%  打印机（选配） 体积小，打印速度100mm/s（max），支持半切/全切  整机外壳防护等级 IP31  可靠性 MCBF≥50000次MTTR≤30分钟  整机电气安全特性 具有漏电、过流、过压、短路保护功能，可防雷击、防浪涌，符合GB4943-2001标准  整机环境条件 工作温度：0℃～45℃存贮温度：-10℃～50℃工作湿度：10%～95%（相对湿度、无结露）存贮湿度：10%～95%（相对湿度、无结露），满足《登机立柱工程机技术规格书V1.0》里的要求</w:t>
            </w:r>
          </w:p>
        </w:tc>
        <w:tc>
          <w:tcPr>
            <w:tcW w:w="0" w:type="auto"/>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0" w:type="auto"/>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安检闸机工程机</w:t>
            </w:r>
          </w:p>
        </w:tc>
        <w:tc>
          <w:tcPr>
            <w:tcW w:w="0" w:type="auto"/>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主控单元 低功耗工业级I5高性能工控板  摄像头 采用高清像素双目摄像头，支持活体检测  护照模块 识读护照，二代身份证等  二维码模块（可选） 识读机票和手机码  指纹模块（预留）    工作证读卡器（可选） 体积小，打印速度100mm/s（max），支持半切/全切  凭条打印机 体积小，打印速度100mm/s（max），支持半切/全切  乘客显示器 8．4寸，分辨率600*800  人脸识别显示器 10．1寸，分辨率800*1280  触摸后台显示器 8寸，电容触摸，分辨率600*1024  电源模块 320W    整机外形尺寸 180mm(宽) ×2510mm(深) × 1500mm(高)  整机重量（估） 净重：160Kg；毛重：190Kg  整机输入电源 220V+10%～-15%，50Hz±4%  整机外壳防护等级 IP31  可靠性 MCBF≥50000次MTTR≤30分钟  整机电气安全特性 具有漏电、过流、过压、短路保护功能，可防雷击、防浪涌，符合GB4943-2001标准  整机环境条件 工作温度：0℃～45℃存贮温度：-10℃～50℃工作湿度：10%～95%（相对湿度、无结露）存贮湿度：10%～95%（相对湿度、无结露），视频防尾随，满足《安检闸机工程机技术规格书 V1.0》里的要求</w:t>
            </w:r>
          </w:p>
        </w:tc>
        <w:tc>
          <w:tcPr>
            <w:tcW w:w="0" w:type="auto"/>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0" w:type="auto"/>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自助登机门闸机工程机</w:t>
            </w:r>
          </w:p>
        </w:tc>
        <w:tc>
          <w:tcPr>
            <w:tcW w:w="0" w:type="auto"/>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基本特性 外型尺寸 ≤1340mm（高）*200mm（宽）*1700mm（深）  重量 ≤350KG  通道净宽 ≥650mm  摆门关闭间距 小于40 mm  材料 主结构采用2.0mm拉丝不锈钢304材料  摆门打开速度 ≤0.5秒  乘客通过能力 无异常情况下≥20人/分钟.通道  电气特性 输入电源 AC 220V ±22V，50Hz±1Hz  功耗 动态功耗≤400W， 静态功耗≤150W  通讯接口 RJ45  通讯协议 TCP/IP  通讯速率 1000Mbps  环境 工作温度 -5℃～+45℃  存贮温度 －20℃～+55℃  工作湿度 10%～90%（非凝聚态）  存储湿度 5%～95%  可靠性指标 平均无故障工作次数 MCBF≥100,000  平均故障恢复周期 MTTR≤30min  防护 外壳防护等级 IP40，视频防尾随，满足《登机立柱工程机技术规格书V1.0》里的要求</w:t>
            </w:r>
          </w:p>
        </w:tc>
        <w:tc>
          <w:tcPr>
            <w:tcW w:w="0" w:type="auto"/>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0" w:type="auto"/>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0" w:type="auto"/>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lang w:val="en-US" w:eastAsia="zh-CN"/>
              </w:rPr>
            </w:pPr>
            <w:r>
              <w:rPr>
                <w:rFonts w:hint="eastAsia"/>
                <w:lang w:val="en-US" w:eastAsia="zh-CN"/>
              </w:rPr>
              <w:t>680000.00</w:t>
            </w:r>
          </w:p>
        </w:tc>
      </w:tr>
    </w:tbl>
    <w:p>
      <w:pPr>
        <w:spacing w:line="360" w:lineRule="auto"/>
        <w:ind w:left="0" w:leftChars="0" w:firstLine="0" w:firstLineChars="0"/>
        <w:rPr>
          <w:rFonts w:ascii="仿宋_GB2312" w:hAnsi="仿宋_GB2312" w:eastAsia="仿宋_GB2312" w:cs="仿宋_GB2312"/>
          <w:szCs w:val="21"/>
        </w:rPr>
      </w:pPr>
      <w:r>
        <w:rPr>
          <w:rFonts w:hint="eastAsia" w:ascii="仿宋_GB2312" w:hAnsi="仿宋_GB2312" w:eastAsia="仿宋_GB2312" w:cs="仿宋_GB2312"/>
          <w:szCs w:val="21"/>
        </w:rPr>
        <w:t>注：报价人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，报价包含所有税费</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运输费、安装调试费、培训费等全部费用</w:t>
      </w:r>
      <w:r>
        <w:rPr>
          <w:rFonts w:hint="eastAsia" w:ascii="仿宋_GB2312" w:hAnsi="仿宋_GB2312" w:eastAsia="仿宋_GB2312" w:cs="仿宋_GB2312"/>
          <w:szCs w:val="21"/>
        </w:rPr>
        <w:t>。</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 合格报价人资格条件：</w:t>
      </w:r>
    </w:p>
    <w:p>
      <w:pPr>
        <w:spacing w:line="312" w:lineRule="auto"/>
        <w:ind w:firstLine="420" w:firstLineChars="200"/>
        <w:rPr>
          <w:rFonts w:ascii="仿宋_GB2312" w:hAnsi="仿宋_GB2312" w:eastAsia="仿宋_GB2312" w:cs="仿宋_GB2312"/>
          <w:color w:val="000000"/>
          <w:szCs w:val="21"/>
          <w:highlight w:val="yellow"/>
        </w:rPr>
      </w:pPr>
      <w:r>
        <w:rPr>
          <w:rFonts w:hint="eastAsia" w:ascii="仿宋_GB2312" w:hAnsi="仿宋_GB2312" w:eastAsia="仿宋_GB2312" w:cs="仿宋_GB2312"/>
          <w:color w:val="000000"/>
          <w:szCs w:val="21"/>
        </w:rPr>
        <w:t>3.1在中华人民共和国境内注册的独立的企业法人.</w:t>
      </w:r>
    </w:p>
    <w:p>
      <w:pPr>
        <w:spacing w:line="312" w:lineRule="auto"/>
        <w:ind w:firstLine="420" w:firstLineChars="200"/>
        <w:rPr>
          <w:rFonts w:ascii="仿宋_GB2312" w:hAnsi="仿宋_GB2312" w:eastAsia="仿宋_GB2312" w:cs="仿宋_GB2312"/>
          <w:color w:val="000000"/>
          <w:szCs w:val="21"/>
        </w:rPr>
      </w:pPr>
      <w:bookmarkStart w:id="1" w:name="_Hlk22711910"/>
      <w:r>
        <w:rPr>
          <w:rFonts w:hint="eastAsia" w:ascii="仿宋_GB2312" w:hAnsi="仿宋_GB2312" w:eastAsia="仿宋_GB2312" w:cs="仿宋_GB2312"/>
          <w:color w:val="000000"/>
          <w:szCs w:val="21"/>
        </w:rPr>
        <w:t>3.2</w:t>
      </w:r>
      <w:bookmarkEnd w:id="1"/>
      <w:r>
        <w:rPr>
          <w:rFonts w:hint="eastAsia" w:ascii="仿宋_GB2312" w:hAnsi="仿宋_GB2312" w:eastAsia="仿宋_GB2312" w:cs="仿宋_GB2312"/>
          <w:color w:val="000000"/>
          <w:szCs w:val="21"/>
        </w:rPr>
        <w:t>报价人应不存在下列情形（需就以下内容出具诚信承诺函并加盖公章）：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（1）近三年因腐败或欺诈行为而被政府或业主宣布取消投标资格；</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（2）近三年（包括独立法人及关联公司和自然人）与广东省机场管理集团有限公司其下属的全资、控股公司、非法人实体单位发生各种诉讼和仲裁；</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（3）被采购人认定为发生不良行为供应商，且仍在处置期内的；</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（4）被列入国家企业信用信息公示系统（http://www.gsxt.gov.cn/）的经营异常名录或严重违法失信企业名单；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（5）被列入信用中国（http://www.creditchina.gov.cn/）的失信被执行人或企业经营异常名录；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bookmarkStart w:id="2" w:name="_Hlk8050188"/>
      <w:r>
        <w:rPr>
          <w:rFonts w:hint="eastAsia" w:ascii="仿宋_GB2312" w:hAnsi="仿宋_GB2312" w:eastAsia="仿宋_GB2312" w:cs="仿宋_GB2312"/>
          <w:color w:val="000000"/>
          <w:szCs w:val="21"/>
        </w:rPr>
        <w:t>被列入中国执行信息公开网（http://zxgk.court.gov.cn/）的全国法院失信被执行人名单；</w:t>
      </w:r>
    </w:p>
    <w:bookmarkEnd w:id="2"/>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（7）存在其它失信情况的。</w:t>
      </w:r>
    </w:p>
    <w:p>
      <w:pPr>
        <w:pStyle w:val="14"/>
        <w:ind w:left="420"/>
      </w:pPr>
      <w:r>
        <w:rPr>
          <w:rFonts w:hint="eastAsia" w:ascii="仿宋_GB2312" w:hAnsi="仿宋_GB2312" w:eastAsia="仿宋_GB2312" w:cs="仿宋_GB2312"/>
          <w:color w:val="000000"/>
          <w:szCs w:val="21"/>
        </w:rPr>
        <w:t>3.3 可开具增值税专用发票。</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3.4本项目不接受联合体报价。</w:t>
      </w:r>
    </w:p>
    <w:p>
      <w:pPr>
        <w:spacing w:line="312" w:lineRule="auto"/>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3.5.</w:t>
      </w:r>
      <w:r>
        <w:rPr>
          <w:rFonts w:hint="eastAsia" w:ascii="仿宋_GB2312" w:hAnsi="仿宋_GB2312" w:eastAsia="仿宋_GB2312" w:cs="仿宋_GB2312"/>
          <w:color w:val="000000"/>
          <w:szCs w:val="21"/>
          <w:lang w:eastAsia="zh-CN"/>
        </w:rPr>
        <w:t>报价人</w:t>
      </w:r>
      <w:r>
        <w:rPr>
          <w:rFonts w:hint="eastAsia" w:ascii="仿宋_GB2312" w:hAnsi="仿宋_GB2312" w:eastAsia="仿宋_GB2312" w:cs="仿宋_GB2312"/>
          <w:color w:val="000000"/>
          <w:szCs w:val="21"/>
        </w:rPr>
        <w:t>须具备依法纳税和缴纳社会保障资金的良好记录。（提供投标截止时间前</w:t>
      </w:r>
      <w:r>
        <w:rPr>
          <w:rFonts w:hint="eastAsia" w:ascii="仿宋_GB2312" w:hAnsi="仿宋_GB2312" w:eastAsia="仿宋_GB2312" w:cs="仿宋_GB2312"/>
          <w:color w:val="000000"/>
          <w:szCs w:val="21"/>
          <w:lang w:val="en-US" w:eastAsia="zh-CN"/>
        </w:rPr>
        <w:t>六</w:t>
      </w:r>
      <w:r>
        <w:rPr>
          <w:rFonts w:hint="eastAsia" w:ascii="仿宋_GB2312" w:hAnsi="仿宋_GB2312" w:eastAsia="仿宋_GB2312" w:cs="仿宋_GB2312"/>
          <w:color w:val="000000"/>
          <w:szCs w:val="21"/>
        </w:rPr>
        <w:t>个月内的纳税证明及缴纳社会保障资金材料，如依法免税和依法不需要缴纳社会保障资金的，应提供相应证明文件）</w:t>
      </w:r>
      <w:r>
        <w:rPr>
          <w:rFonts w:hint="eastAsia" w:ascii="仿宋_GB2312" w:hAnsi="仿宋_GB2312" w:eastAsia="仿宋_GB2312" w:cs="仿宋_GB2312"/>
          <w:color w:val="000000"/>
          <w:szCs w:val="21"/>
          <w:lang w:val="en-US" w:eastAsia="zh-CN"/>
        </w:rPr>
        <w:t>.</w:t>
      </w:r>
      <w:bookmarkStart w:id="46" w:name="_GoBack"/>
      <w:bookmarkEnd w:id="46"/>
    </w:p>
    <w:p>
      <w:pPr>
        <w:spacing w:line="312" w:lineRule="auto"/>
        <w:ind w:firstLine="420" w:firstLineChars="200"/>
        <w:rPr>
          <w:rFonts w:eastAsia="仿宋_GB2312"/>
        </w:rPr>
      </w:pPr>
      <w:r>
        <w:rPr>
          <w:rFonts w:hint="eastAsia" w:ascii="仿宋_GB2312" w:hAnsi="仿宋_GB2312" w:eastAsia="仿宋_GB2312" w:cs="仿宋_GB2312"/>
          <w:color w:val="000000"/>
          <w:szCs w:val="21"/>
        </w:rPr>
        <w:t>3.6</w:t>
      </w:r>
      <w:r>
        <w:rPr>
          <w:rFonts w:hint="eastAsia" w:ascii="仿宋_GB2312" w:hAnsi="仿宋_GB2312" w:eastAsia="仿宋_GB2312" w:cs="仿宋_GB2312"/>
          <w:color w:val="000000"/>
          <w:sz w:val="21"/>
          <w:szCs w:val="21"/>
        </w:rPr>
        <w:t>财务状况：提供会计师事务所出具的2020年（或2019年）财务审计报告，至少包括“资产负债表、利润表、现金流量表”</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新成立的企业根据成立时间提供</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不能提供财务审计报告的，需附公司盖章确认的财务情况说明</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；基本户所在银行出具的资信证明（结算或余额资信证明）。</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 报价文件的提交形式、地址和截止时间</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rPr>
        <w:t>1）报价文件的递交有现场递交和邮寄两种方式。</w:t>
      </w:r>
    </w:p>
    <w:p>
      <w:pPr>
        <w:spacing w:line="360" w:lineRule="auto"/>
        <w:ind w:left="420"/>
        <w:rPr>
          <w:rFonts w:ascii="仿宋_GB2312" w:hAnsi="仿宋_GB2312" w:eastAsia="仿宋_GB2312" w:cs="仿宋_GB2312"/>
          <w:szCs w:val="21"/>
          <w:highlight w:val="none"/>
        </w:rPr>
      </w:pPr>
      <w:r>
        <w:rPr>
          <w:rFonts w:hint="eastAsia" w:ascii="仿宋_GB2312" w:hAnsi="仿宋_GB2312" w:eastAsia="仿宋_GB2312" w:cs="仿宋_GB2312"/>
          <w:szCs w:val="21"/>
        </w:rPr>
        <w:t>2）报价文件现场递交地址：广州白云国际机场东南工作区横二路A4综合北楼一楼101室，收件人：李小姐</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highlight w:val="none"/>
        </w:rPr>
        <w:t>3）报价文件递交截止时间：</w:t>
      </w:r>
      <w:r>
        <w:rPr>
          <w:rFonts w:hint="eastAsia" w:ascii="仿宋_GB2312" w:hAnsi="仿宋_GB2312" w:eastAsia="仿宋_GB2312" w:cs="仿宋_GB2312"/>
          <w:b/>
          <w:bCs/>
          <w:szCs w:val="21"/>
          <w:highlight w:val="none"/>
        </w:rPr>
        <w:t>2021年</w:t>
      </w:r>
      <w:r>
        <w:rPr>
          <w:rFonts w:hint="eastAsia" w:ascii="仿宋_GB2312" w:hAnsi="仿宋_GB2312" w:eastAsia="仿宋_GB2312" w:cs="仿宋_GB2312"/>
          <w:b/>
          <w:bCs/>
          <w:szCs w:val="21"/>
          <w:highlight w:val="none"/>
          <w:lang w:val="en-US" w:eastAsia="zh-CN"/>
        </w:rPr>
        <w:t>8</w:t>
      </w:r>
      <w:r>
        <w:rPr>
          <w:rFonts w:hint="eastAsia" w:ascii="仿宋_GB2312" w:hAnsi="仿宋_GB2312" w:eastAsia="仿宋_GB2312" w:cs="仿宋_GB2312"/>
          <w:b/>
          <w:bCs/>
          <w:szCs w:val="21"/>
          <w:highlight w:val="none"/>
        </w:rPr>
        <w:t>月</w:t>
      </w:r>
      <w:r>
        <w:rPr>
          <w:rFonts w:hint="eastAsia" w:ascii="仿宋_GB2312" w:hAnsi="仿宋_GB2312" w:eastAsia="仿宋_GB2312" w:cs="仿宋_GB2312"/>
          <w:b/>
          <w:bCs/>
          <w:szCs w:val="21"/>
          <w:highlight w:val="none"/>
          <w:lang w:val="en-US" w:eastAsia="zh-CN"/>
        </w:rPr>
        <w:t>30</w:t>
      </w:r>
      <w:r>
        <w:rPr>
          <w:rFonts w:hint="eastAsia" w:ascii="仿宋_GB2312" w:hAnsi="仿宋_GB2312" w:eastAsia="仿宋_GB2312" w:cs="仿宋_GB2312"/>
          <w:b/>
          <w:bCs/>
          <w:szCs w:val="21"/>
          <w:highlight w:val="none"/>
        </w:rPr>
        <w:t>日，</w:t>
      </w:r>
      <w:r>
        <w:rPr>
          <w:rFonts w:hint="eastAsia" w:ascii="仿宋_GB2312" w:hAnsi="仿宋_GB2312" w:eastAsia="仿宋_GB2312" w:cs="仿宋_GB2312"/>
          <w:b/>
          <w:bCs/>
          <w:szCs w:val="21"/>
          <w:highlight w:val="none"/>
          <w:lang w:val="en-US" w:eastAsia="zh-CN"/>
        </w:rPr>
        <w:t>12</w:t>
      </w:r>
      <w:r>
        <w:rPr>
          <w:rFonts w:hint="eastAsia" w:ascii="仿宋_GB2312" w:hAnsi="仿宋_GB2312" w:eastAsia="仿宋_GB2312" w:cs="仿宋_GB2312"/>
          <w:b/>
          <w:bCs/>
          <w:szCs w:val="21"/>
          <w:highlight w:val="none"/>
        </w:rPr>
        <w:t>:00</w:t>
      </w:r>
      <w:r>
        <w:rPr>
          <w:rFonts w:hint="eastAsia" w:ascii="仿宋_GB2312" w:hAnsi="仿宋_GB2312" w:eastAsia="仿宋_GB2312" w:cs="仿宋_GB2312"/>
          <w:szCs w:val="21"/>
        </w:rPr>
        <w:t>（邮寄的报价文件以文件到达时间为准）。</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color w:val="333333"/>
          <w:szCs w:val="21"/>
        </w:rPr>
        <w:t>4）采购人不接受逾期递交的报价文件，不接收以邮件、电话、传真等形式的报价。</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5. 本项目不设未成交报价人经济补偿，准备报价文件和递交报价文件所发生的任何成本或费用由报价人自理。</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 有关此次采购之事宜，可按下列联系方式向采购人查询：</w:t>
      </w:r>
    </w:p>
    <w:p>
      <w:pPr>
        <w:tabs>
          <w:tab w:val="left" w:pos="540"/>
        </w:tabs>
        <w:spacing w:line="360" w:lineRule="auto"/>
        <w:ind w:left="357" w:firstLine="67" w:firstLineChars="32"/>
        <w:rPr>
          <w:rFonts w:ascii="仿宋_GB2312" w:hAnsi="仿宋_GB2312" w:eastAsia="仿宋_GB2312" w:cs="仿宋_GB2312"/>
          <w:szCs w:val="21"/>
        </w:rPr>
      </w:pPr>
      <w:r>
        <w:rPr>
          <w:rFonts w:hint="eastAsia" w:ascii="仿宋_GB2312" w:hAnsi="仿宋_GB2312" w:eastAsia="仿宋_GB2312" w:cs="仿宋_GB2312"/>
          <w:szCs w:val="21"/>
        </w:rPr>
        <w:t>采购人：广东机场白云信息科技有限公司</w:t>
      </w:r>
    </w:p>
    <w:p>
      <w:pPr>
        <w:tabs>
          <w:tab w:val="left" w:pos="2127"/>
        </w:tabs>
        <w:spacing w:line="360" w:lineRule="auto"/>
        <w:ind w:left="1274" w:leftChars="202" w:hanging="850" w:hangingChars="405"/>
        <w:rPr>
          <w:rFonts w:ascii="仿宋_GB2312" w:hAnsi="仿宋_GB2312" w:eastAsia="仿宋_GB2312" w:cs="仿宋_GB2312"/>
          <w:szCs w:val="21"/>
        </w:rPr>
      </w:pPr>
      <w:r>
        <w:rPr>
          <w:rFonts w:hint="eastAsia" w:ascii="仿宋_GB2312" w:hAnsi="仿宋_GB2312" w:eastAsia="仿宋_GB2312" w:cs="仿宋_GB2312"/>
          <w:szCs w:val="21"/>
        </w:rPr>
        <w:t>地  址：广州白云国际机场东南工作区横二路A4综合北楼</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联系人：李</w:t>
      </w:r>
      <w:r>
        <w:rPr>
          <w:rFonts w:hint="eastAsia" w:ascii="仿宋_GB2312" w:hAnsi="仿宋_GB2312" w:eastAsia="仿宋_GB2312" w:cs="仿宋_GB2312"/>
          <w:szCs w:val="21"/>
          <w:lang w:val="en-US" w:eastAsia="zh-CN"/>
        </w:rPr>
        <w:t>工</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联系电话：020-36066620</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电子邮箱：lizhe@gdairport.com</w:t>
      </w:r>
    </w:p>
    <w:p>
      <w:pPr>
        <w:widowControl/>
        <w:tabs>
          <w:tab w:val="left" w:pos="720"/>
        </w:tabs>
        <w:autoSpaceDE w:val="0"/>
        <w:autoSpaceDN w:val="0"/>
        <w:spacing w:line="400" w:lineRule="exact"/>
        <w:textAlignment w:val="bottom"/>
        <w:rPr>
          <w:rFonts w:ascii="仿宋_GB2312" w:hAnsi="仿宋_GB2312" w:eastAsia="仿宋_GB2312" w:cs="仿宋_GB2312"/>
          <w:sz w:val="28"/>
          <w:szCs w:val="28"/>
        </w:rPr>
      </w:pP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8"/>
          <w:szCs w:val="28"/>
        </w:rPr>
      </w:pPr>
    </w:p>
    <w:p/>
    <w:p/>
    <w:p/>
    <w:p/>
    <w:p/>
    <w:p/>
    <w:p>
      <w:pPr>
        <w:tabs>
          <w:tab w:val="left" w:pos="986"/>
        </w:tabs>
        <w:jc w:val="left"/>
        <w:sectPr>
          <w:footerReference r:id="rId5" w:type="first"/>
          <w:headerReference r:id="rId3" w:type="default"/>
          <w:footerReference r:id="rId4" w:type="default"/>
          <w:pgSz w:w="11906" w:h="16838"/>
          <w:pgMar w:top="1286" w:right="1616" w:bottom="1246" w:left="1701" w:header="737" w:footer="680" w:gutter="0"/>
          <w:pgNumType w:start="1"/>
          <w:cols w:space="720" w:num="1"/>
          <w:titlePg/>
          <w:docGrid w:type="lines" w:linePitch="312" w:charSpace="0"/>
        </w:sectPr>
      </w:pPr>
    </w:p>
    <w:p>
      <w:pPr>
        <w:spacing w:line="312" w:lineRule="auto"/>
        <w:outlineLvl w:val="0"/>
        <w:rPr>
          <w:b/>
          <w:sz w:val="32"/>
          <w:szCs w:val="32"/>
        </w:rPr>
      </w:pPr>
    </w:p>
    <w:p>
      <w:pPr>
        <w:numPr>
          <w:ilvl w:val="0"/>
          <w:numId w:val="2"/>
        </w:numPr>
        <w:spacing w:line="312" w:lineRule="auto"/>
        <w:jc w:val="center"/>
        <w:outlineLvl w:val="0"/>
        <w:rPr>
          <w:b/>
          <w:sz w:val="32"/>
          <w:szCs w:val="32"/>
        </w:rPr>
      </w:pPr>
      <w:r>
        <w:rPr>
          <w:rFonts w:hint="eastAsia"/>
          <w:b/>
          <w:sz w:val="32"/>
          <w:szCs w:val="32"/>
        </w:rPr>
        <w:t>报价人须知</w:t>
      </w:r>
    </w:p>
    <w:p>
      <w:pPr>
        <w:pStyle w:val="14"/>
        <w:ind w:left="0" w:leftChars="0"/>
      </w:pPr>
    </w:p>
    <w:p>
      <w:pPr>
        <w:pStyle w:val="41"/>
        <w:snapToGrid w:val="0"/>
        <w:spacing w:line="360" w:lineRule="auto"/>
        <w:ind w:left="0"/>
        <w:jc w:val="both"/>
        <w:rPr>
          <w:rFonts w:ascii="黑体" w:hAnsi="黑体" w:eastAsia="黑体" w:cs="黑体"/>
          <w:bCs/>
          <w:smallCaps w:val="0"/>
          <w:color w:val="auto"/>
        </w:rPr>
      </w:pPr>
      <w:bookmarkStart w:id="3" w:name="_Toc22149441"/>
    </w:p>
    <w:p>
      <w:pPr>
        <w:pStyle w:val="41"/>
        <w:snapToGrid w:val="0"/>
        <w:spacing w:line="360" w:lineRule="auto"/>
        <w:ind w:left="0"/>
        <w:jc w:val="both"/>
        <w:rPr>
          <w:rFonts w:ascii="Times New Roman" w:hAnsi="Times New Roman"/>
          <w:b w:val="0"/>
          <w:smallCaps w:val="0"/>
          <w:color w:val="auto"/>
          <w:sz w:val="21"/>
          <w:szCs w:val="20"/>
        </w:rPr>
      </w:pPr>
      <w:r>
        <w:rPr>
          <w:rFonts w:hint="eastAsia" w:ascii="黑体" w:hAnsi="黑体" w:eastAsia="黑体" w:cs="黑体"/>
          <w:bCs/>
          <w:smallCaps w:val="0"/>
          <w:color w:val="auto"/>
        </w:rPr>
        <w:t>一、项目说明</w:t>
      </w:r>
      <w:bookmarkEnd w:id="3"/>
    </w:p>
    <w:p>
      <w:pPr>
        <w:spacing w:line="312" w:lineRule="auto"/>
        <w:ind w:firstLine="420" w:firstLineChars="200"/>
      </w:pPr>
      <w:r>
        <w:rPr>
          <w:rFonts w:hint="eastAsia"/>
        </w:rPr>
        <w:t>广东机场白云信息科技有限公司（以下</w:t>
      </w:r>
      <w:r>
        <w:rPr>
          <w:rFonts w:hint="eastAsia" w:ascii="Times New Roman" w:hAnsi="Times New Roman" w:cs="Times New Roman"/>
        </w:rPr>
        <w:t>简称“采购人”）拟就</w:t>
      </w:r>
      <w:r>
        <w:rPr>
          <w:rFonts w:hint="eastAsia" w:ascii="Times New Roman" w:hAnsi="Times New Roman" w:eastAsia="宋体" w:cs="Times New Roman"/>
          <w:b w:val="0"/>
          <w:sz w:val="21"/>
          <w:szCs w:val="20"/>
        </w:rPr>
        <w:t>登机立柱工程机、安检闸机工程机和自助登机门闸机工程机</w:t>
      </w:r>
      <w:r>
        <w:rPr>
          <w:rFonts w:hint="eastAsia" w:ascii="Times New Roman" w:hAnsi="Times New Roman" w:eastAsia="宋体" w:cs="Times New Roman"/>
          <w:b w:val="0"/>
          <w:sz w:val="21"/>
          <w:szCs w:val="20"/>
          <w:lang w:val="en-US" w:eastAsia="zh-CN"/>
        </w:rPr>
        <w:t>采购</w:t>
      </w:r>
      <w:r>
        <w:rPr>
          <w:rFonts w:hint="eastAsia" w:ascii="Times New Roman" w:hAnsi="Times New Roman" w:eastAsia="宋体" w:cs="Times New Roman"/>
          <w:szCs w:val="20"/>
        </w:rPr>
        <w:t>项目</w:t>
      </w:r>
      <w:r>
        <w:rPr>
          <w:rFonts w:hint="eastAsia" w:ascii="Times New Roman" w:hAnsi="Times New Roman" w:cs="Times New Roman"/>
        </w:rPr>
        <w:t>进行采购</w:t>
      </w:r>
      <w:r>
        <w:rPr>
          <w:rFonts w:hint="eastAsia"/>
        </w:rPr>
        <w:t>，本项目采用综合评审方式确定成交合作商，采购人组织综合评审工作。</w:t>
      </w:r>
    </w:p>
    <w:p>
      <w:pPr>
        <w:pStyle w:val="5"/>
        <w:spacing w:after="120"/>
        <w:ind w:firstLine="0"/>
      </w:pPr>
      <w:r>
        <w:rPr>
          <w:rFonts w:hint="eastAsia"/>
          <w:lang w:eastAsia="zh-CN"/>
        </w:rPr>
        <w:t>（</w:t>
      </w:r>
      <w:r>
        <w:rPr>
          <w:rFonts w:hint="eastAsia"/>
          <w:lang w:val="en-US" w:eastAsia="zh-CN"/>
        </w:rPr>
        <w:t>一</w:t>
      </w:r>
      <w:r>
        <w:rPr>
          <w:rFonts w:hint="eastAsia"/>
          <w:lang w:eastAsia="zh-CN"/>
        </w:rPr>
        <w:t>）</w:t>
      </w:r>
      <w:r>
        <w:rPr>
          <w:rFonts w:hint="eastAsia"/>
          <w:b/>
          <w:bCs/>
        </w:rPr>
        <w:t>采购范围及限价</w:t>
      </w:r>
    </w:p>
    <w:tbl>
      <w:tblPr>
        <w:tblStyle w:val="50"/>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1"/>
        <w:gridCol w:w="548"/>
        <w:gridCol w:w="6489"/>
        <w:gridCol w:w="274"/>
        <w:gridCol w:w="274"/>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 号</w:t>
            </w:r>
          </w:p>
        </w:tc>
        <w:tc>
          <w:tcPr>
            <w:tcW w:w="54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648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规格参数</w:t>
            </w:r>
          </w:p>
        </w:tc>
        <w:tc>
          <w:tcPr>
            <w:tcW w:w="27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7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7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限</w:t>
            </w:r>
            <w:r>
              <w:rPr>
                <w:rFonts w:hint="eastAsia" w:ascii="宋体" w:hAnsi="宋体" w:eastAsia="宋体" w:cs="宋体"/>
                <w:b/>
                <w:i w:val="0"/>
                <w:color w:val="000000"/>
                <w:kern w:val="0"/>
                <w:sz w:val="20"/>
                <w:szCs w:val="20"/>
                <w:u w:val="none"/>
                <w:lang w:val="en-US" w:eastAsia="zh-CN" w:bidi="ar"/>
              </w:rPr>
              <w:t>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0" w:hRule="atLeast"/>
        </w:trPr>
        <w:tc>
          <w:tcPr>
            <w:tcW w:w="2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54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登机立柱工程机</w:t>
            </w:r>
          </w:p>
        </w:tc>
        <w:tc>
          <w:tcPr>
            <w:tcW w:w="648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主控单元 低功耗工业级I5高性能工控板  摄像头 采用高清像素双目摄像头，支持活体检测  二维码 支持机票一维、二维码扫描  身份证护照识别 支持读二代身份证、外国人永久居留证和港澳台永久居留证、护照识别  乘客显示器 10．1寸，分辨率800*1280  触摸后台显示器 8寸，电容触摸，分辨率600*1024  电源模块 待机功率：150W工作功率：200W  整机外形尺寸 210mm(宽) ×433mm(深) × 1580mm(高)  整机重量（估） 净重：60Kg；毛重：80Kg  整机输入电源 220V+10%～-15%，50Hz±4%  打印机（选配） 体积小，打印速度100mm/s（max），支持半切/全切  整机外壳防护等级 IP31  可靠性 MCBF≥50000次MTTR≤30分钟  整机电气安全特性 具有漏电、过流、过压、短路保护功能，可防雷击、防浪涌，符合GB4943-2001标准  整机环境条件 工作温度：0℃～45℃存贮温度：-10℃～50℃工作湿度：10%～95%（相对湿度、无结露）存贮湿度：10%～95%（相对湿度、无结露），满足</w:t>
            </w:r>
            <w:r>
              <w:rPr>
                <w:rFonts w:hint="eastAsia" w:ascii="宋体" w:hAnsi="宋体" w:cs="宋体"/>
                <w:i w:val="0"/>
                <w:color w:val="000000"/>
                <w:kern w:val="0"/>
                <w:sz w:val="21"/>
                <w:szCs w:val="21"/>
                <w:u w:val="none"/>
                <w:lang w:val="en-US" w:eastAsia="zh-CN" w:bidi="ar"/>
              </w:rPr>
              <w:t>附件1</w:t>
            </w:r>
            <w:r>
              <w:rPr>
                <w:rFonts w:hint="eastAsia" w:ascii="宋体" w:hAnsi="宋体" w:eastAsia="宋体" w:cs="宋体"/>
                <w:i w:val="0"/>
                <w:color w:val="000000"/>
                <w:kern w:val="0"/>
                <w:sz w:val="21"/>
                <w:szCs w:val="21"/>
                <w:u w:val="none"/>
                <w:lang w:val="en-US" w:eastAsia="zh-CN" w:bidi="ar"/>
              </w:rPr>
              <w:t>《登机立柱工程机技术规格书V1.0》里的要求</w:t>
            </w:r>
            <w:r>
              <w:rPr>
                <w:rFonts w:hint="eastAsia" w:ascii="宋体" w:hAnsi="宋体" w:cs="宋体"/>
                <w:i w:val="0"/>
                <w:color w:val="000000"/>
                <w:kern w:val="0"/>
                <w:sz w:val="21"/>
                <w:szCs w:val="21"/>
                <w:u w:val="none"/>
                <w:lang w:val="en-US" w:eastAsia="zh-CN" w:bidi="ar"/>
              </w:rPr>
              <w:t>。</w:t>
            </w:r>
          </w:p>
        </w:tc>
        <w:tc>
          <w:tcPr>
            <w:tcW w:w="27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7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0" w:hRule="atLeast"/>
        </w:trPr>
        <w:tc>
          <w:tcPr>
            <w:tcW w:w="2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54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安检闸机工程机</w:t>
            </w:r>
          </w:p>
        </w:tc>
        <w:tc>
          <w:tcPr>
            <w:tcW w:w="648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主控单元 低功耗工业级I5高性能工控板  摄像头 采用高清像素双目摄像头，支持活体检测  护照模块 识读护照，二代身份证等  二维码模块（可选） 识读机票和手机码  指纹模块（预留）    工作证读卡器（可选） 体积小，打印速度100mm/s（max），支持半切/全切  凭条打印机 体积小，打印速度100mm/s（max），支持半切/全切  乘客显示器 8．4寸，分辨率600*800  人脸识别显示器 10．1寸，分辨率800*1280  触摸后台显示器 8寸，电容触摸，分辨率600*1024  电源模块 320W    整机外形尺寸 180mm(宽) ×2510mm(深) × 1500mm(高)  整机重量（估） 净重：160Kg；毛重：190Kg  整机输入电源 220V+10%～-15%，50Hz±4%  整机外壳防护等级 IP31  可靠性 MCBF≥50000次MTTR≤30分钟  整机电气安全特性 具有漏电、过流、过压、短路保护功能，可防雷击、防浪涌，符合GB4943-2001标准  整机环境条件 工作温度：0℃～45℃存贮温度：-10℃～50℃工作湿度：10%～95%（相对湿度、无结露）存贮湿度：10%～95%（相对湿度、无结露），视频防尾随，满足</w:t>
            </w:r>
            <w:r>
              <w:rPr>
                <w:rFonts w:hint="eastAsia" w:ascii="宋体" w:hAnsi="宋体" w:cs="宋体"/>
                <w:i w:val="0"/>
                <w:color w:val="000000"/>
                <w:kern w:val="0"/>
                <w:sz w:val="21"/>
                <w:szCs w:val="21"/>
                <w:u w:val="none"/>
                <w:lang w:val="en-US" w:eastAsia="zh-CN" w:bidi="ar"/>
              </w:rPr>
              <w:t>附件2</w:t>
            </w:r>
            <w:r>
              <w:rPr>
                <w:rFonts w:hint="eastAsia" w:ascii="宋体" w:hAnsi="宋体" w:eastAsia="宋体" w:cs="宋体"/>
                <w:i w:val="0"/>
                <w:color w:val="000000"/>
                <w:kern w:val="0"/>
                <w:sz w:val="21"/>
                <w:szCs w:val="21"/>
                <w:u w:val="none"/>
                <w:lang w:val="en-US" w:eastAsia="zh-CN" w:bidi="ar"/>
              </w:rPr>
              <w:t>《安检闸机工程机技术规格书 V1.0》里的要求</w:t>
            </w:r>
            <w:r>
              <w:rPr>
                <w:rFonts w:hint="eastAsia" w:ascii="宋体" w:hAnsi="宋体" w:cs="宋体"/>
                <w:i w:val="0"/>
                <w:color w:val="000000"/>
                <w:kern w:val="0"/>
                <w:sz w:val="21"/>
                <w:szCs w:val="21"/>
                <w:u w:val="none"/>
                <w:lang w:val="en-US" w:eastAsia="zh-CN" w:bidi="ar"/>
              </w:rPr>
              <w:t>。</w:t>
            </w:r>
          </w:p>
        </w:tc>
        <w:tc>
          <w:tcPr>
            <w:tcW w:w="27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7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0" w:hRule="atLeast"/>
        </w:trPr>
        <w:tc>
          <w:tcPr>
            <w:tcW w:w="2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54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自助登机门闸机工程机</w:t>
            </w:r>
          </w:p>
        </w:tc>
        <w:tc>
          <w:tcPr>
            <w:tcW w:w="6489"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基本特性 外型尺寸 ≤1340mm（高）*200mm（宽）*1700mm（深）  重量 ≤350KG  通道净宽 ≥650mm  摆门关闭间距 小于40 mm  材料 主结构采用2.0mm拉丝不锈钢304材料  摆门打开速度 ≤0.5秒  乘客通过能力 无异常情况下≥20人/分钟.通道  电气特性 输入电源 AC 220V ±22V，50Hz±1Hz  功耗 动态功耗≤400W， 静态功耗≤150W  通讯接口 RJ45  通讯协议 TCP/IP  通讯速率 1000Mbps  环境 工作温度 -5℃～+45℃  存贮温度 －20℃～+55℃  工作湿度 10%～90%（非凝聚态）  存储湿度 5%～95%  可靠性指标 平均无故障工作次数 MCBF≥100,000  平均故障恢复周期 MTTR≤30min  防护 外壳防护等级 IP40，视频防尾随，满足</w:t>
            </w:r>
            <w:r>
              <w:rPr>
                <w:rFonts w:hint="eastAsia" w:ascii="宋体" w:hAnsi="宋体" w:cs="宋体"/>
                <w:i w:val="0"/>
                <w:color w:val="000000"/>
                <w:kern w:val="0"/>
                <w:sz w:val="21"/>
                <w:szCs w:val="21"/>
                <w:u w:val="none"/>
                <w:lang w:val="en-US" w:eastAsia="zh-CN" w:bidi="ar"/>
              </w:rPr>
              <w:t>附件3</w:t>
            </w:r>
            <w:r>
              <w:rPr>
                <w:rFonts w:hint="eastAsia" w:ascii="宋体" w:hAnsi="宋体" w:eastAsia="宋体" w:cs="宋体"/>
                <w:i w:val="0"/>
                <w:color w:val="000000"/>
                <w:kern w:val="0"/>
                <w:sz w:val="21"/>
                <w:szCs w:val="21"/>
                <w:u w:val="none"/>
                <w:lang w:val="en-US" w:eastAsia="zh-CN" w:bidi="ar"/>
              </w:rPr>
              <w:t>《登机立柱工程机技术规格书V1.0》里的要求</w:t>
            </w:r>
            <w:r>
              <w:rPr>
                <w:rFonts w:hint="eastAsia" w:ascii="宋体" w:hAnsi="宋体" w:cs="宋体"/>
                <w:i w:val="0"/>
                <w:color w:val="000000"/>
                <w:kern w:val="0"/>
                <w:sz w:val="21"/>
                <w:szCs w:val="21"/>
                <w:u w:val="none"/>
                <w:lang w:val="en-US" w:eastAsia="zh-CN" w:bidi="ar"/>
              </w:rPr>
              <w:t>。</w:t>
            </w:r>
          </w:p>
        </w:tc>
        <w:tc>
          <w:tcPr>
            <w:tcW w:w="274"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74"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70"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787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1070" w:type="dxa"/>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680000.00</w:t>
            </w:r>
          </w:p>
        </w:tc>
      </w:tr>
    </w:tbl>
    <w:p>
      <w:pPr>
        <w:pStyle w:val="45"/>
        <w:widowControl/>
        <w:spacing w:before="312" w:beforeLines="100" w:after="312" w:afterLines="100"/>
        <w:ind w:firstLine="482" w:firstLineChars="200"/>
        <w:rPr>
          <w:rStyle w:val="53"/>
          <w:rFonts w:hint="eastAsia" w:ascii="宋体" w:hAnsi="宋体" w:cs="宋体"/>
          <w:color w:val="000000"/>
          <w:szCs w:val="20"/>
        </w:rPr>
      </w:pPr>
      <w:bookmarkStart w:id="4" w:name="_Toc22149446"/>
      <w:bookmarkStart w:id="5" w:name="_Toc520146435"/>
      <w:bookmarkStart w:id="6" w:name="_Toc472608693"/>
    </w:p>
    <w:p>
      <w:pPr>
        <w:pStyle w:val="45"/>
        <w:widowControl/>
        <w:spacing w:before="312" w:beforeLines="100" w:after="312" w:afterLines="100"/>
        <w:ind w:firstLine="482" w:firstLineChars="200"/>
        <w:rPr>
          <w:rStyle w:val="53"/>
          <w:rFonts w:ascii="宋体" w:hAnsi="宋体" w:cs="宋体"/>
          <w:color w:val="000000"/>
          <w:sz w:val="27"/>
          <w:szCs w:val="27"/>
        </w:rPr>
      </w:pPr>
      <w:r>
        <w:rPr>
          <w:rStyle w:val="53"/>
          <w:rFonts w:hint="eastAsia" w:ascii="宋体" w:hAnsi="宋体" w:cs="宋体"/>
          <w:color w:val="000000"/>
          <w:szCs w:val="20"/>
        </w:rPr>
        <w:t>（二）服务要求：</w:t>
      </w:r>
    </w:p>
    <w:p>
      <w:pPr>
        <w:numPr>
          <w:ilvl w:val="0"/>
          <w:numId w:val="3"/>
        </w:numPr>
        <w:tabs>
          <w:tab w:val="left" w:pos="448"/>
        </w:tabs>
        <w:spacing w:before="156" w:beforeLines="50" w:after="156" w:afterLines="50"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报价人应当确认项目1名负责人应当保持相对稳定；因自身原因需要调换负责人员，应当提前10个工作日书面通知采购人，并在征得采购人同意后方可办理工作交接手续。</w:t>
      </w:r>
    </w:p>
    <w:p>
      <w:pPr>
        <w:pStyle w:val="248"/>
        <w:numPr>
          <w:ilvl w:val="-1"/>
          <w:numId w:val="0"/>
        </w:numPr>
        <w:ind w:left="0" w:firstLine="420" w:firstLineChars="200"/>
        <w:rPr>
          <w:rFonts w:hint="eastAsia" w:ascii="宋体" w:hAnsi="宋体" w:eastAsia="宋体" w:cs="宋体"/>
          <w:snapToGrid w:val="0"/>
          <w:kern w:val="0"/>
          <w:sz w:val="21"/>
          <w:szCs w:val="21"/>
        </w:rPr>
      </w:pPr>
      <w:r>
        <w:rPr>
          <w:rFonts w:hint="eastAsia" w:ascii="宋体" w:hAnsi="宋体" w:cs="宋体"/>
          <w:snapToGrid w:val="0"/>
          <w:kern w:val="0"/>
          <w:sz w:val="21"/>
          <w:szCs w:val="21"/>
        </w:rPr>
        <w:t>2.</w:t>
      </w:r>
      <w:r>
        <w:rPr>
          <w:rFonts w:hint="eastAsia" w:ascii="宋体" w:hAnsi="宋体" w:eastAsia="宋体" w:cs="宋体"/>
          <w:snapToGrid w:val="0"/>
          <w:kern w:val="0"/>
          <w:sz w:val="21"/>
          <w:szCs w:val="21"/>
        </w:rPr>
        <w:t>质保要求：3年质保期，提供7*24小时电话技术支持服务，在接到报修通知后6小时内赶到现场，现场进行直接的技术支持服务,36小时之内解决故障，直至故障排除，完全恢复正常服务为止。</w:t>
      </w:r>
    </w:p>
    <w:p>
      <w:pPr>
        <w:pStyle w:val="248"/>
        <w:numPr>
          <w:ilvl w:val="-1"/>
          <w:numId w:val="0"/>
        </w:numPr>
        <w:ind w:left="0" w:firstLine="420" w:firstLineChars="200"/>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3.货</w:t>
      </w:r>
      <w:r>
        <w:rPr>
          <w:rFonts w:hint="eastAsia" w:ascii="宋体" w:hAnsi="宋体" w:eastAsia="宋体" w:cs="宋体"/>
          <w:snapToGrid w:val="0"/>
          <w:kern w:val="0"/>
          <w:sz w:val="21"/>
          <w:szCs w:val="21"/>
        </w:rPr>
        <w:t>期要求：</w:t>
      </w:r>
      <w:r>
        <w:rPr>
          <w:rFonts w:hint="eastAsia" w:ascii="宋体" w:hAnsi="宋体" w:cs="宋体"/>
          <w:snapToGrid w:val="0"/>
          <w:kern w:val="0"/>
          <w:sz w:val="21"/>
          <w:szCs w:val="21"/>
          <w:lang w:val="en-US" w:eastAsia="zh-CN"/>
        </w:rPr>
        <w:t>自收到中标通知后30天内完成设备交付</w:t>
      </w:r>
      <w:r>
        <w:rPr>
          <w:rFonts w:hint="eastAsia" w:ascii="宋体" w:hAnsi="宋体" w:eastAsia="宋体" w:cs="宋体"/>
          <w:snapToGrid w:val="0"/>
          <w:kern w:val="0"/>
          <w:sz w:val="21"/>
          <w:szCs w:val="21"/>
        </w:rPr>
        <w:t>。</w:t>
      </w:r>
    </w:p>
    <w:p>
      <w:pPr>
        <w:pStyle w:val="248"/>
        <w:numPr>
          <w:ilvl w:val="-1"/>
          <w:numId w:val="0"/>
        </w:numPr>
        <w:ind w:left="0" w:firstLine="420" w:firstLineChars="200"/>
        <w:rPr>
          <w:rFonts w:hint="default" w:ascii="宋体" w:hAnsi="宋体" w:eastAsia="宋体" w:cs="宋体"/>
          <w:snapToGrid w:val="0"/>
          <w:kern w:val="0"/>
          <w:sz w:val="21"/>
          <w:szCs w:val="21"/>
          <w:lang w:val="en-US" w:eastAsia="zh-CN"/>
        </w:rPr>
      </w:pPr>
      <w:r>
        <w:rPr>
          <w:rFonts w:hint="eastAsia" w:ascii="宋体" w:hAnsi="宋体" w:cs="宋体"/>
          <w:snapToGrid w:val="0"/>
          <w:kern w:val="0"/>
          <w:sz w:val="21"/>
          <w:szCs w:val="21"/>
          <w:lang w:val="en-US" w:eastAsia="zh-CN"/>
        </w:rPr>
        <w:t>4.交换地：广州</w:t>
      </w:r>
    </w:p>
    <w:p>
      <w:pPr>
        <w:pStyle w:val="45"/>
        <w:widowControl/>
        <w:spacing w:line="360" w:lineRule="auto"/>
        <w:ind w:left="420" w:leftChars="200"/>
        <w:jc w:val="left"/>
        <w:rPr>
          <w:rFonts w:hint="eastAsia" w:ascii="宋体" w:hAnsi="宋体" w:cs="宋体"/>
          <w:snapToGrid w:val="0"/>
          <w:kern w:val="0"/>
          <w:sz w:val="21"/>
          <w:szCs w:val="21"/>
        </w:rPr>
      </w:pPr>
      <w:r>
        <w:rPr>
          <w:rFonts w:hint="eastAsia" w:ascii="宋体" w:hAnsi="宋体" w:cs="宋体"/>
          <w:snapToGrid w:val="0"/>
          <w:kern w:val="0"/>
          <w:sz w:val="21"/>
          <w:szCs w:val="21"/>
          <w:lang w:val="en-US" w:eastAsia="zh-CN"/>
        </w:rPr>
        <w:t>5.</w:t>
      </w:r>
      <w:r>
        <w:rPr>
          <w:rFonts w:hint="eastAsia" w:ascii="宋体" w:hAnsi="宋体" w:cs="宋体"/>
          <w:snapToGrid w:val="0"/>
          <w:kern w:val="0"/>
          <w:sz w:val="21"/>
          <w:szCs w:val="21"/>
        </w:rPr>
        <w:t>报价人对采购人提供的技术资料负有保密责任。</w:t>
      </w:r>
    </w:p>
    <w:p>
      <w:pPr>
        <w:pStyle w:val="45"/>
        <w:widowControl/>
        <w:spacing w:line="360" w:lineRule="auto"/>
        <w:ind w:left="420" w:leftChars="200"/>
        <w:rPr>
          <w:rFonts w:hint="eastAsia" w:ascii="宋体" w:hAnsi="宋体" w:cs="宋体"/>
          <w:snapToGrid w:val="0"/>
          <w:kern w:val="0"/>
          <w:sz w:val="21"/>
          <w:szCs w:val="21"/>
          <w:lang w:val="en-US" w:eastAsia="zh-CN"/>
        </w:rPr>
      </w:pPr>
      <w:r>
        <w:rPr>
          <w:rStyle w:val="53"/>
          <w:color w:val="000000"/>
          <w:szCs w:val="20"/>
        </w:rPr>
        <w:t>（三）付款方式</w:t>
      </w:r>
      <w:r>
        <w:rPr>
          <w:rFonts w:hint="eastAsia" w:ascii="宋体" w:hAnsi="宋体" w:cs="宋体"/>
          <w:snapToGrid w:val="0"/>
          <w:kern w:val="0"/>
          <w:sz w:val="21"/>
          <w:szCs w:val="21"/>
          <w:lang w:val="en-US" w:eastAsia="zh-CN"/>
        </w:rPr>
        <w:t>：</w:t>
      </w:r>
    </w:p>
    <w:p>
      <w:pPr>
        <w:pStyle w:val="45"/>
        <w:widowControl/>
        <w:spacing w:line="360" w:lineRule="auto"/>
        <w:ind w:left="420" w:leftChars="200"/>
        <w:rPr>
          <w:rFonts w:hint="default" w:ascii="宋体" w:hAnsi="宋体" w:eastAsia="宋体" w:cs="宋体"/>
          <w:snapToGrid w:val="0"/>
          <w:kern w:val="0"/>
          <w:sz w:val="21"/>
          <w:szCs w:val="21"/>
          <w:lang w:val="en-US" w:eastAsia="zh-CN"/>
        </w:rPr>
      </w:pPr>
      <w:r>
        <w:rPr>
          <w:rFonts w:hint="eastAsia" w:ascii="宋体" w:hAnsi="宋体" w:cs="宋体"/>
          <w:snapToGrid w:val="0"/>
          <w:kern w:val="0"/>
          <w:sz w:val="21"/>
          <w:szCs w:val="21"/>
          <w:lang w:val="en-US" w:eastAsia="zh-CN"/>
        </w:rPr>
        <w:t>设备到货验收合格后支付合同金额的95%，5%为质保金。质保期满后支付。</w:t>
      </w:r>
    </w:p>
    <w:p>
      <w:pPr>
        <w:pStyle w:val="14"/>
        <w:ind w:left="0" w:leftChars="0"/>
        <w:rPr>
          <w:szCs w:val="21"/>
        </w:rPr>
      </w:pPr>
    </w:p>
    <w:p>
      <w:pPr>
        <w:numPr>
          <w:ilvl w:val="0"/>
          <w:numId w:val="4"/>
        </w:numPr>
        <w:spacing w:after="240"/>
        <w:rPr>
          <w:rFonts w:eastAsia="黑体"/>
          <w:b/>
          <w:sz w:val="28"/>
          <w:szCs w:val="28"/>
        </w:rPr>
      </w:pPr>
      <w:r>
        <w:rPr>
          <w:rFonts w:hint="eastAsia" w:eastAsia="黑体"/>
          <w:b/>
          <w:sz w:val="28"/>
          <w:szCs w:val="28"/>
        </w:rPr>
        <w:t>采购文件</w:t>
      </w:r>
      <w:bookmarkEnd w:id="4"/>
      <w:bookmarkEnd w:id="5"/>
      <w:bookmarkEnd w:id="6"/>
      <w:bookmarkStart w:id="7" w:name="_Toc22149447"/>
    </w:p>
    <w:p>
      <w:pPr>
        <w:spacing w:after="240"/>
        <w:rPr>
          <w:b/>
          <w:bCs/>
        </w:rPr>
      </w:pPr>
      <w:r>
        <w:rPr>
          <w:rFonts w:hint="eastAsia"/>
          <w:b/>
          <w:bCs/>
        </w:rPr>
        <w:t>3.采购文件构成</w:t>
      </w:r>
      <w:bookmarkEnd w:id="7"/>
    </w:p>
    <w:p>
      <w:pPr>
        <w:spacing w:after="240"/>
      </w:pPr>
      <w:r>
        <w:rPr>
          <w:rFonts w:hint="eastAsia"/>
        </w:rPr>
        <w:t>采购文件包括五个部分：邀请函 、报价人须知、合同条款、项目报价文件格式及用户需求书</w:t>
      </w:r>
      <w:bookmarkStart w:id="8" w:name="_Toc22149448"/>
      <w:r>
        <w:rPr>
          <w:rFonts w:hint="eastAsia"/>
        </w:rPr>
        <w:t>。</w:t>
      </w:r>
    </w:p>
    <w:p>
      <w:pPr>
        <w:spacing w:after="240"/>
      </w:pPr>
      <w:r>
        <w:rPr>
          <w:rFonts w:hint="eastAsia"/>
          <w:b/>
          <w:bCs/>
          <w:szCs w:val="22"/>
        </w:rPr>
        <w:t>4.采购文件的澄清</w:t>
      </w:r>
      <w:bookmarkEnd w:id="8"/>
      <w:r>
        <w:rPr>
          <w:rFonts w:hint="eastAsia"/>
          <w:b/>
          <w:bCs/>
          <w:szCs w:val="22"/>
        </w:rPr>
        <w:t>及修改</w:t>
      </w:r>
    </w:p>
    <w:p>
      <w:pPr>
        <w:spacing w:after="240"/>
        <w:rPr>
          <w:rFonts w:ascii="宋体" w:hAnsi="宋体"/>
          <w:color w:val="000000"/>
        </w:rPr>
      </w:pPr>
      <w:r>
        <w:rPr>
          <w:rFonts w:hint="eastAsia"/>
          <w:szCs w:val="22"/>
        </w:rPr>
        <w:t>4.1</w:t>
      </w:r>
      <w:r>
        <w:rPr>
          <w:rFonts w:hint="eastAsia" w:ascii="宋体" w:hAnsi="宋体"/>
          <w:color w:val="000000"/>
        </w:rPr>
        <w:t>采购人可以对已发出的采购文件进行必要的澄清或者修改。</w:t>
      </w:r>
    </w:p>
    <w:p>
      <w:pPr>
        <w:spacing w:after="240"/>
        <w:rPr>
          <w:rFonts w:ascii="宋体" w:hAnsi="宋体"/>
          <w:color w:val="000000"/>
        </w:rPr>
      </w:pPr>
      <w:r>
        <w:rPr>
          <w:rFonts w:hint="eastAsia"/>
          <w:szCs w:val="22"/>
        </w:rPr>
        <w:t xml:space="preserve">4.2 </w:t>
      </w:r>
      <w:r>
        <w:rPr>
          <w:rFonts w:hint="eastAsia"/>
        </w:rPr>
        <w:t>报价人对采购文件有异议的，应当</w:t>
      </w:r>
      <w:r>
        <w:rPr>
          <w:rFonts w:hint="eastAsia"/>
          <w:highlight w:val="none"/>
        </w:rPr>
        <w:t>在</w:t>
      </w:r>
      <w:r>
        <w:rPr>
          <w:rFonts w:hint="eastAsia" w:ascii="宋体" w:hAnsi="宋体"/>
          <w:color w:val="000000"/>
          <w:highlight w:val="none"/>
        </w:rPr>
        <w:t>2021</w:t>
      </w:r>
      <w:r>
        <w:rPr>
          <w:rFonts w:ascii="宋体" w:hAnsi="宋体"/>
          <w:color w:val="000000"/>
          <w:highlight w:val="none"/>
        </w:rPr>
        <w:t>年</w:t>
      </w:r>
      <w:r>
        <w:rPr>
          <w:rFonts w:hint="eastAsia" w:ascii="宋体" w:hAnsi="宋体"/>
          <w:color w:val="000000"/>
          <w:highlight w:val="none"/>
          <w:lang w:val="en-US" w:eastAsia="zh-CN"/>
        </w:rPr>
        <w:t>8</w:t>
      </w:r>
      <w:r>
        <w:rPr>
          <w:rFonts w:ascii="宋体" w:hAnsi="宋体"/>
          <w:color w:val="000000"/>
          <w:highlight w:val="none"/>
        </w:rPr>
        <w:t>月</w:t>
      </w:r>
      <w:r>
        <w:rPr>
          <w:rFonts w:hint="eastAsia" w:ascii="宋体" w:hAnsi="宋体"/>
          <w:color w:val="000000"/>
          <w:highlight w:val="none"/>
          <w:lang w:val="en-US" w:eastAsia="zh-CN"/>
        </w:rPr>
        <w:t>3</w:t>
      </w:r>
      <w:r>
        <w:rPr>
          <w:rFonts w:ascii="宋体" w:hAnsi="宋体"/>
          <w:color w:val="000000"/>
          <w:highlight w:val="none"/>
        </w:rPr>
        <w:t>日</w:t>
      </w:r>
      <w:r>
        <w:rPr>
          <w:rFonts w:hint="eastAsia" w:ascii="宋体" w:hAnsi="宋体"/>
          <w:color w:val="000000"/>
          <w:highlight w:val="none"/>
        </w:rPr>
        <w:t>1</w:t>
      </w:r>
      <w:r>
        <w:rPr>
          <w:rFonts w:hint="eastAsia" w:ascii="宋体" w:hAnsi="宋体"/>
          <w:color w:val="000000"/>
          <w:highlight w:val="none"/>
          <w:lang w:val="en-US" w:eastAsia="zh-CN"/>
        </w:rPr>
        <w:t>1</w:t>
      </w:r>
      <w:r>
        <w:rPr>
          <w:rFonts w:ascii="宋体" w:hAnsi="宋体"/>
          <w:color w:val="000000"/>
          <w:highlight w:val="none"/>
        </w:rPr>
        <w:t>：</w:t>
      </w:r>
      <w:r>
        <w:rPr>
          <w:rFonts w:hint="eastAsia" w:ascii="宋体" w:hAnsi="宋体"/>
          <w:color w:val="000000"/>
          <w:highlight w:val="none"/>
        </w:rPr>
        <w:t>00</w:t>
      </w:r>
      <w:r>
        <w:rPr>
          <w:rFonts w:ascii="宋体" w:hAnsi="宋体"/>
          <w:color w:val="000000"/>
          <w:highlight w:val="none"/>
        </w:rPr>
        <w:t>前</w:t>
      </w:r>
      <w:r>
        <w:rPr>
          <w:rFonts w:hint="eastAsia" w:ascii="宋体" w:hAnsi="宋体"/>
          <w:color w:val="000000"/>
          <w:highlight w:val="none"/>
        </w:rPr>
        <w:t>以书面形式提出，纸</w:t>
      </w:r>
      <w:r>
        <w:rPr>
          <w:rFonts w:hint="eastAsia" w:ascii="宋体" w:hAnsi="宋体"/>
          <w:color w:val="000000"/>
        </w:rPr>
        <w:t>质版加盖公章扫描件以电子邮件方式发送至采购人邮箱；采购人认为确有必要答复的，将于递交报价文件截止时间前以书面形式予以答复</w:t>
      </w:r>
    </w:p>
    <w:p>
      <w:pPr>
        <w:spacing w:after="240"/>
      </w:pPr>
      <w:r>
        <w:rPr>
          <w:rFonts w:hint="eastAsia"/>
          <w:szCs w:val="22"/>
        </w:rPr>
        <w:t>4.3采购项目</w:t>
      </w:r>
      <w:r>
        <w:rPr>
          <w:rFonts w:hint="eastAsia"/>
        </w:rPr>
        <w:t>出现澄清及修改情况时，采购人可顺延报价文件递交截止时间。</w:t>
      </w:r>
      <w:bookmarkStart w:id="9" w:name="_Toc22149451"/>
    </w:p>
    <w:p>
      <w:pPr>
        <w:numPr>
          <w:ilvl w:val="0"/>
          <w:numId w:val="4"/>
        </w:numPr>
        <w:spacing w:after="240"/>
        <w:rPr>
          <w:rFonts w:eastAsia="黑体"/>
          <w:b/>
          <w:sz w:val="28"/>
          <w:szCs w:val="28"/>
        </w:rPr>
      </w:pPr>
      <w:r>
        <w:rPr>
          <w:rFonts w:hint="eastAsia" w:eastAsia="黑体"/>
          <w:b/>
          <w:sz w:val="28"/>
          <w:szCs w:val="28"/>
        </w:rPr>
        <w:t>报价文件的编制</w:t>
      </w:r>
      <w:bookmarkEnd w:id="9"/>
      <w:bookmarkStart w:id="10" w:name="_Toc22149452"/>
    </w:p>
    <w:p>
      <w:pPr>
        <w:spacing w:after="240"/>
        <w:rPr>
          <w:rFonts w:ascii="宋体" w:hAnsi="宋体" w:cs="宋体"/>
          <w:b/>
          <w:bCs/>
          <w:szCs w:val="21"/>
        </w:rPr>
      </w:pPr>
      <w:r>
        <w:rPr>
          <w:rFonts w:hint="eastAsia" w:ascii="宋体" w:hAnsi="宋体" w:cs="宋体"/>
          <w:b/>
          <w:bCs/>
          <w:szCs w:val="21"/>
        </w:rPr>
        <w:t>5. 项目报价文件</w:t>
      </w:r>
      <w:bookmarkEnd w:id="10"/>
    </w:p>
    <w:p>
      <w:pPr>
        <w:tabs>
          <w:tab w:val="left" w:pos="851"/>
        </w:tabs>
        <w:spacing w:after="240"/>
      </w:pPr>
      <w:r>
        <w:rPr>
          <w:rFonts w:hint="eastAsia"/>
        </w:rPr>
        <w:t>5.1  报价文件由商务和技术两部分组成。</w:t>
      </w:r>
    </w:p>
    <w:p>
      <w:pPr>
        <w:tabs>
          <w:tab w:val="left" w:pos="851"/>
        </w:tabs>
        <w:spacing w:after="240"/>
        <w:rPr>
          <w:rFonts w:ascii="宋体" w:hAnsi="宋体"/>
        </w:rPr>
      </w:pPr>
      <w:r>
        <w:rPr>
          <w:rFonts w:hint="eastAsia"/>
          <w:szCs w:val="22"/>
        </w:rPr>
        <w:t xml:space="preserve">5.2  </w:t>
      </w:r>
      <w:r>
        <w:rPr>
          <w:rFonts w:hint="eastAsia" w:ascii="宋体" w:hAnsi="宋体"/>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ascii="宋体" w:hAnsi="宋体"/>
        </w:rPr>
      </w:pPr>
      <w:r>
        <w:rPr>
          <w:rFonts w:hint="eastAsia" w:ascii="宋体" w:hAnsi="宋体"/>
        </w:rPr>
        <w:t>5.3  报价文件包括纸质文件一式3份，纸质版正本1份，封面标注“正本”字样，副本2份，封面标注“副本”字样。正本与副本不符的内容，以正本为准。</w:t>
      </w:r>
    </w:p>
    <w:p>
      <w:pPr>
        <w:tabs>
          <w:tab w:val="left" w:pos="840"/>
        </w:tabs>
        <w:spacing w:after="240"/>
      </w:pPr>
      <w:r>
        <w:rPr>
          <w:rFonts w:hint="eastAsia"/>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11" w:name="_Toc22149453"/>
    </w:p>
    <w:p>
      <w:pPr>
        <w:tabs>
          <w:tab w:val="left" w:pos="840"/>
        </w:tabs>
        <w:spacing w:after="240"/>
        <w:rPr>
          <w:rFonts w:ascii="宋体" w:hAnsi="宋体" w:cs="宋体"/>
          <w:b/>
          <w:bCs/>
        </w:rPr>
      </w:pPr>
      <w:r>
        <w:rPr>
          <w:rFonts w:hint="eastAsia" w:ascii="宋体" w:hAnsi="宋体" w:cs="宋体"/>
          <w:b/>
          <w:bCs/>
        </w:rPr>
        <w:t>6. 商务部分</w:t>
      </w:r>
      <w:bookmarkEnd w:id="11"/>
      <w:r>
        <w:rPr>
          <w:rFonts w:hint="eastAsia" w:ascii="宋体" w:hAnsi="宋体" w:cs="宋体"/>
          <w:b/>
          <w:bCs/>
        </w:rPr>
        <w:t>包含以下内容：</w:t>
      </w:r>
    </w:p>
    <w:p>
      <w:pPr>
        <w:tabs>
          <w:tab w:val="left" w:pos="851"/>
        </w:tabs>
        <w:ind w:left="849"/>
      </w:pPr>
      <w:r>
        <w:rPr>
          <w:rFonts w:hint="eastAsia" w:ascii="宋体" w:hAnsi="宋体"/>
        </w:rPr>
        <w:t>1）目录索引；</w:t>
      </w:r>
    </w:p>
    <w:p>
      <w:pPr>
        <w:tabs>
          <w:tab w:val="left" w:pos="851"/>
        </w:tabs>
        <w:ind w:left="849"/>
      </w:pPr>
      <w:r>
        <w:rPr>
          <w:rFonts w:hint="eastAsia"/>
        </w:rPr>
        <w:t>2）报价函；</w:t>
      </w:r>
    </w:p>
    <w:p>
      <w:pPr>
        <w:pStyle w:val="49"/>
        <w:ind w:left="0" w:firstLine="840" w:firstLineChars="400"/>
      </w:pPr>
      <w:r>
        <w:rPr>
          <w:rFonts w:hint="eastAsia"/>
        </w:rPr>
        <w:t>3）</w:t>
      </w:r>
      <w:r>
        <w:rPr>
          <w:rFonts w:hint="eastAsia"/>
          <w:lang w:val="en-US" w:eastAsia="zh-CN"/>
        </w:rPr>
        <w:t>评分索引</w:t>
      </w:r>
      <w:r>
        <w:rPr>
          <w:rFonts w:hint="eastAsia" w:ascii="宋体" w:hAnsi="宋体"/>
        </w:rPr>
        <w:t>表；</w:t>
      </w:r>
    </w:p>
    <w:p>
      <w:pPr>
        <w:tabs>
          <w:tab w:val="left" w:pos="851"/>
        </w:tabs>
        <w:ind w:left="840"/>
        <w:rPr>
          <w:rFonts w:ascii="宋体" w:hAnsi="宋体"/>
        </w:rPr>
      </w:pPr>
      <w:r>
        <w:rPr>
          <w:rFonts w:hint="eastAsia" w:ascii="宋体" w:hAnsi="宋体"/>
        </w:rPr>
        <w:t>4）企业营业执照复印件；</w:t>
      </w:r>
    </w:p>
    <w:p>
      <w:pPr>
        <w:tabs>
          <w:tab w:val="left" w:pos="851"/>
        </w:tabs>
        <w:ind w:left="840"/>
        <w:rPr>
          <w:rFonts w:ascii="宋体" w:hAnsi="宋体"/>
          <w:szCs w:val="21"/>
        </w:rPr>
      </w:pPr>
      <w:r>
        <w:rPr>
          <w:rFonts w:hint="eastAsia" w:ascii="宋体" w:hAnsi="宋体"/>
          <w:szCs w:val="21"/>
        </w:rPr>
        <w:t>5）法定代表人证明书；</w:t>
      </w:r>
    </w:p>
    <w:p>
      <w:pPr>
        <w:tabs>
          <w:tab w:val="left" w:pos="851"/>
        </w:tabs>
        <w:ind w:left="840"/>
        <w:rPr>
          <w:rFonts w:ascii="宋体" w:hAnsi="宋体"/>
        </w:rPr>
      </w:pPr>
      <w:r>
        <w:rPr>
          <w:rFonts w:hint="eastAsia" w:ascii="宋体" w:hAnsi="宋体"/>
          <w:szCs w:val="21"/>
        </w:rPr>
        <w:t>6）报价文件签署授权委托书；</w:t>
      </w:r>
    </w:p>
    <w:p>
      <w:pPr>
        <w:tabs>
          <w:tab w:val="left" w:pos="851"/>
        </w:tabs>
        <w:ind w:left="840"/>
        <w:rPr>
          <w:rFonts w:ascii="宋体" w:hAnsi="宋体"/>
          <w:szCs w:val="21"/>
        </w:rPr>
      </w:pPr>
      <w:bookmarkStart w:id="12" w:name="_Hlk22040916"/>
      <w:r>
        <w:rPr>
          <w:rFonts w:hint="eastAsia" w:ascii="宋体" w:hAnsi="宋体"/>
          <w:szCs w:val="21"/>
        </w:rPr>
        <w:t>7）诚信承诺函</w:t>
      </w:r>
      <w:bookmarkEnd w:id="12"/>
      <w:r>
        <w:rPr>
          <w:rFonts w:hint="eastAsia" w:ascii="宋体" w:hAnsi="宋体"/>
          <w:szCs w:val="21"/>
        </w:rPr>
        <w:t>（网站截图需清晰显示报价人名称及相应查询信息）；</w:t>
      </w:r>
    </w:p>
    <w:p>
      <w:pPr>
        <w:tabs>
          <w:tab w:val="left" w:pos="851"/>
        </w:tabs>
        <w:ind w:left="840"/>
        <w:rPr>
          <w:rFonts w:hint="eastAsia"/>
        </w:rPr>
      </w:pPr>
      <w:r>
        <w:rPr>
          <w:rFonts w:hint="eastAsia"/>
        </w:rPr>
        <w:t>8）采购文件响应承诺书；</w:t>
      </w:r>
    </w:p>
    <w:p>
      <w:pPr>
        <w:tabs>
          <w:tab w:val="left" w:pos="851"/>
        </w:tabs>
        <w:ind w:left="840"/>
        <w:rPr>
          <w:rFonts w:hint="default" w:eastAsia="宋体"/>
          <w:lang w:val="en-US" w:eastAsia="zh-CN"/>
        </w:rPr>
      </w:pPr>
      <w:r>
        <w:rPr>
          <w:rFonts w:hint="eastAsia"/>
          <w:lang w:val="en-US" w:eastAsia="zh-CN"/>
        </w:rPr>
        <w:t>9）合作商登记表；</w:t>
      </w:r>
    </w:p>
    <w:p>
      <w:pPr>
        <w:tabs>
          <w:tab w:val="left" w:pos="851"/>
        </w:tabs>
        <w:ind w:left="840"/>
        <w:rPr>
          <w:rFonts w:ascii="宋体" w:hAnsi="宋体"/>
          <w:szCs w:val="21"/>
        </w:rPr>
      </w:pPr>
      <w:r>
        <w:rPr>
          <w:rFonts w:hint="eastAsia" w:ascii="宋体" w:hAnsi="宋体"/>
          <w:szCs w:val="21"/>
          <w:lang w:val="en-US" w:eastAsia="zh-CN"/>
        </w:rPr>
        <w:t>10</w:t>
      </w:r>
      <w:r>
        <w:rPr>
          <w:rFonts w:hint="eastAsia" w:ascii="宋体" w:hAnsi="宋体"/>
          <w:szCs w:val="21"/>
        </w:rPr>
        <w:t>）纳税证明及缴纳社会保障资金证明材料。</w:t>
      </w:r>
    </w:p>
    <w:p>
      <w:pPr>
        <w:pStyle w:val="5"/>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1</w:t>
      </w:r>
      <w:r>
        <w:rPr>
          <w:rFonts w:hint="eastAsia" w:ascii="宋体" w:hAnsi="宋体"/>
          <w:szCs w:val="21"/>
          <w:lang w:val="en-US" w:eastAsia="zh-CN"/>
        </w:rPr>
        <w:t>1</w:t>
      </w:r>
      <w:r>
        <w:rPr>
          <w:rFonts w:hint="eastAsia" w:ascii="宋体" w:hAnsi="宋体"/>
          <w:szCs w:val="21"/>
        </w:rPr>
        <w:t>）财务状况</w:t>
      </w:r>
      <w:r>
        <w:rPr>
          <w:rFonts w:hint="eastAsia" w:ascii="宋体" w:hAnsi="宋体"/>
          <w:szCs w:val="21"/>
          <w:lang w:val="en-US" w:eastAsia="zh-CN"/>
        </w:rPr>
        <w:t>文件</w:t>
      </w:r>
    </w:p>
    <w:p>
      <w:pPr>
        <w:pStyle w:val="5"/>
        <w:ind w:firstLine="630" w:firstLineChars="300"/>
        <w:rPr>
          <w:rFonts w:hint="default" w:ascii="宋体" w:hAnsi="宋体"/>
          <w:szCs w:val="21"/>
          <w:lang w:val="en-US" w:eastAsia="zh-CN"/>
        </w:rPr>
      </w:pPr>
    </w:p>
    <w:p>
      <w:pPr>
        <w:pStyle w:val="4"/>
        <w:ind w:left="0" w:firstLine="0"/>
        <w:rPr>
          <w:rFonts w:ascii="Times New Roman" w:hAnsi="Times New Roman" w:eastAsia="宋体"/>
          <w:bCs/>
          <w:sz w:val="21"/>
          <w:szCs w:val="22"/>
        </w:rPr>
      </w:pPr>
      <w:bookmarkStart w:id="13" w:name="_Toc22149454"/>
      <w:r>
        <w:rPr>
          <w:rFonts w:hint="eastAsia" w:ascii="Times New Roman" w:hAnsi="Times New Roman" w:eastAsia="宋体"/>
          <w:bCs/>
          <w:sz w:val="21"/>
          <w:szCs w:val="22"/>
        </w:rPr>
        <w:t>7. 技术文件</w:t>
      </w:r>
      <w:bookmarkEnd w:id="13"/>
      <w:r>
        <w:rPr>
          <w:rFonts w:hint="eastAsia" w:ascii="Times New Roman" w:hAnsi="Times New Roman" w:eastAsia="宋体"/>
          <w:bCs/>
          <w:sz w:val="21"/>
          <w:szCs w:val="22"/>
        </w:rPr>
        <w:t>包含以下内容：</w:t>
      </w:r>
    </w:p>
    <w:p>
      <w:pPr>
        <w:tabs>
          <w:tab w:val="left" w:pos="1276"/>
        </w:tabs>
        <w:ind w:left="839"/>
        <w:rPr>
          <w:rFonts w:ascii="宋体" w:hAnsi="宋体"/>
        </w:rPr>
      </w:pPr>
      <w:r>
        <w:rPr>
          <w:rFonts w:hint="eastAsia" w:ascii="宋体" w:hAnsi="宋体"/>
        </w:rPr>
        <w:t>1）目录索引；</w:t>
      </w:r>
    </w:p>
    <w:p>
      <w:pPr>
        <w:tabs>
          <w:tab w:val="left" w:pos="1276"/>
        </w:tabs>
        <w:ind w:left="839"/>
        <w:rPr>
          <w:rFonts w:ascii="宋体" w:hAnsi="宋体"/>
        </w:rPr>
      </w:pPr>
      <w:r>
        <w:rPr>
          <w:rFonts w:hint="eastAsia" w:ascii="宋体" w:hAnsi="宋体"/>
        </w:rPr>
        <w:t>2）服务方案；</w:t>
      </w:r>
    </w:p>
    <w:p>
      <w:pPr>
        <w:tabs>
          <w:tab w:val="left" w:pos="1276"/>
        </w:tabs>
        <w:ind w:left="839"/>
        <w:rPr>
          <w:rFonts w:ascii="宋体" w:hAnsi="宋体"/>
        </w:rPr>
      </w:pPr>
      <w:r>
        <w:rPr>
          <w:rFonts w:hint="eastAsia" w:ascii="宋体" w:hAnsi="宋体"/>
        </w:rPr>
        <w:t>3）</w:t>
      </w:r>
      <w:r>
        <w:rPr>
          <w:rFonts w:hint="eastAsia" w:ascii="宋体" w:hAnsi="宋体"/>
          <w:lang w:val="en-US" w:eastAsia="zh-CN"/>
        </w:rPr>
        <w:t>供货、培训服务</w:t>
      </w:r>
      <w:r>
        <w:rPr>
          <w:rFonts w:hint="eastAsia" w:ascii="宋体" w:hAnsi="宋体"/>
        </w:rPr>
        <w:t>方案；</w:t>
      </w:r>
    </w:p>
    <w:p>
      <w:pPr>
        <w:tabs>
          <w:tab w:val="left" w:pos="1276"/>
        </w:tabs>
        <w:ind w:left="840"/>
        <w:rPr>
          <w:rFonts w:hint="eastAsia" w:ascii="宋体" w:hAnsi="宋体"/>
          <w:lang w:val="en-US" w:eastAsia="zh-CN"/>
        </w:rPr>
      </w:pPr>
      <w:r>
        <w:rPr>
          <w:rFonts w:hint="eastAsia" w:ascii="宋体" w:hAnsi="宋体"/>
        </w:rPr>
        <w:t>4）</w:t>
      </w:r>
      <w:r>
        <w:rPr>
          <w:rFonts w:hint="eastAsia" w:ascii="宋体" w:hAnsi="宋体"/>
          <w:lang w:val="en-US" w:eastAsia="zh-CN"/>
        </w:rPr>
        <w:t>售后服务方案</w:t>
      </w:r>
    </w:p>
    <w:p>
      <w:pPr>
        <w:tabs>
          <w:tab w:val="left" w:pos="1276"/>
        </w:tabs>
        <w:ind w:left="840"/>
        <w:rPr>
          <w:rFonts w:hint="eastAsia" w:ascii="宋体" w:hAnsi="宋体"/>
        </w:rPr>
      </w:pPr>
      <w:r>
        <w:rPr>
          <w:rFonts w:hint="eastAsia" w:ascii="宋体" w:hAnsi="宋体"/>
          <w:lang w:val="en-US" w:eastAsia="zh-CN"/>
        </w:rPr>
        <w:t>5）</w:t>
      </w:r>
      <w:r>
        <w:rPr>
          <w:rFonts w:hint="eastAsia" w:ascii="宋体" w:hAnsi="宋体"/>
        </w:rPr>
        <w:t>技术偏离表；</w:t>
      </w:r>
    </w:p>
    <w:p>
      <w:pPr>
        <w:pStyle w:val="14"/>
        <w:ind w:left="420"/>
      </w:pPr>
      <w:bookmarkStart w:id="14" w:name="_Toc22149458"/>
    </w:p>
    <w:p>
      <w:pPr>
        <w:tabs>
          <w:tab w:val="left" w:pos="1276"/>
        </w:tabs>
        <w:spacing w:after="240"/>
        <w:rPr>
          <w:b/>
          <w:bCs/>
          <w:szCs w:val="22"/>
        </w:rPr>
      </w:pPr>
      <w:r>
        <w:rPr>
          <w:rFonts w:hint="eastAsia"/>
          <w:b/>
          <w:bCs/>
          <w:szCs w:val="22"/>
        </w:rPr>
        <w:t>8. 报价文件有效期</w:t>
      </w:r>
      <w:bookmarkEnd w:id="14"/>
    </w:p>
    <w:p>
      <w:pPr>
        <w:tabs>
          <w:tab w:val="left" w:pos="840"/>
        </w:tabs>
        <w:spacing w:after="240"/>
      </w:pPr>
      <w:r>
        <w:rPr>
          <w:rFonts w:hint="eastAsia"/>
        </w:rPr>
        <w:t>★项目报价文件应在邀请函规定的报价日后的90天有效期内保持有效。</w:t>
      </w:r>
    </w:p>
    <w:p>
      <w:pPr>
        <w:pStyle w:val="14"/>
        <w:ind w:left="420"/>
      </w:pPr>
    </w:p>
    <w:p>
      <w:pPr>
        <w:tabs>
          <w:tab w:val="left" w:pos="840"/>
        </w:tabs>
        <w:spacing w:after="240"/>
        <w:rPr>
          <w:rFonts w:eastAsia="黑体"/>
          <w:b/>
          <w:sz w:val="28"/>
          <w:szCs w:val="28"/>
        </w:rPr>
      </w:pPr>
      <w:bookmarkStart w:id="15" w:name="_Toc472608695"/>
      <w:bookmarkStart w:id="16" w:name="_Toc22149460"/>
      <w:bookmarkStart w:id="17" w:name="_Toc520146454"/>
      <w:r>
        <w:rPr>
          <w:rFonts w:hint="eastAsia" w:eastAsia="黑体"/>
          <w:b/>
          <w:sz w:val="28"/>
          <w:szCs w:val="28"/>
        </w:rPr>
        <w:t>四、报价文件的递交</w:t>
      </w:r>
      <w:bookmarkEnd w:id="15"/>
      <w:bookmarkEnd w:id="16"/>
      <w:bookmarkEnd w:id="17"/>
      <w:bookmarkStart w:id="18" w:name="_Toc22149461"/>
    </w:p>
    <w:p>
      <w:pPr>
        <w:tabs>
          <w:tab w:val="left" w:pos="840"/>
        </w:tabs>
        <w:spacing w:after="240"/>
        <w:rPr>
          <w:b/>
          <w:bCs/>
          <w:szCs w:val="22"/>
        </w:rPr>
      </w:pPr>
      <w:r>
        <w:rPr>
          <w:rFonts w:hint="eastAsia"/>
          <w:b/>
          <w:bCs/>
          <w:szCs w:val="22"/>
        </w:rPr>
        <w:t>9.报价文件的密封和标记</w:t>
      </w:r>
      <w:bookmarkEnd w:id="18"/>
    </w:p>
    <w:p>
      <w:pPr>
        <w:tabs>
          <w:tab w:val="left" w:pos="840"/>
        </w:tabs>
        <w:spacing w:after="240"/>
      </w:pPr>
      <w:r>
        <w:rPr>
          <w:rFonts w:hint="eastAsia"/>
        </w:rPr>
        <w:t>9.1 报价人应将报价文件密封和标记，所有封套外应清楚标明以下内容：项目名称、项目编号、报价人名称并加盖公章、报价人地址、报价人联系方式、报价文件提交地点、“在  （填写投标截止时间）  前不得启封”的字样。</w:t>
      </w:r>
    </w:p>
    <w:p>
      <w:pPr>
        <w:tabs>
          <w:tab w:val="left" w:pos="840"/>
        </w:tabs>
        <w:spacing w:after="240"/>
      </w:pPr>
      <w:r>
        <w:rPr>
          <w:rFonts w:hint="eastAsia"/>
        </w:rPr>
        <w:t>9.2如果报价人递交的报价文件未按要求密封，采购人将拒绝接受其报价文件。</w:t>
      </w:r>
    </w:p>
    <w:p>
      <w:pPr>
        <w:tabs>
          <w:tab w:val="left" w:pos="840"/>
        </w:tabs>
        <w:spacing w:after="240"/>
      </w:pPr>
      <w:r>
        <w:rPr>
          <w:rFonts w:hint="eastAsia"/>
        </w:rPr>
        <w:t>9.3如果因密封不严，标记不清而造成报价文件过早启封、失密等情况，采购人概不负责。</w:t>
      </w:r>
      <w:bookmarkStart w:id="19" w:name="_Toc22149462"/>
    </w:p>
    <w:bookmarkEnd w:id="19"/>
    <w:p>
      <w:pPr>
        <w:numPr>
          <w:ilvl w:val="0"/>
          <w:numId w:val="5"/>
        </w:numPr>
        <w:tabs>
          <w:tab w:val="left" w:pos="840"/>
        </w:tabs>
        <w:spacing w:after="240"/>
        <w:rPr>
          <w:b/>
          <w:bCs/>
          <w:szCs w:val="22"/>
        </w:rPr>
      </w:pPr>
      <w:r>
        <w:rPr>
          <w:rFonts w:hint="eastAsia"/>
          <w:b/>
          <w:bCs/>
          <w:szCs w:val="22"/>
        </w:rPr>
        <w:t>报价文件的递交</w:t>
      </w:r>
    </w:p>
    <w:p>
      <w:pPr>
        <w:pStyle w:val="14"/>
        <w:ind w:left="0" w:leftChars="0"/>
        <w:rPr>
          <w:szCs w:val="22"/>
        </w:rPr>
      </w:pPr>
      <w:r>
        <w:rPr>
          <w:rFonts w:hint="eastAsia"/>
          <w:szCs w:val="22"/>
        </w:rPr>
        <w:t>参照第一部分第4条</w:t>
      </w:r>
      <w:bookmarkStart w:id="20" w:name="_Toc22149464"/>
    </w:p>
    <w:p>
      <w:pPr>
        <w:pStyle w:val="14"/>
        <w:ind w:left="0" w:leftChars="0"/>
        <w:rPr>
          <w:rFonts w:eastAsia="黑体"/>
          <w:b/>
          <w:bCs/>
          <w:sz w:val="28"/>
          <w:szCs w:val="28"/>
        </w:rPr>
      </w:pPr>
    </w:p>
    <w:p>
      <w:pPr>
        <w:pStyle w:val="14"/>
        <w:ind w:left="0" w:leftChars="0"/>
        <w:rPr>
          <w:rFonts w:eastAsia="黑体"/>
          <w:b/>
          <w:bCs/>
          <w:sz w:val="28"/>
          <w:szCs w:val="28"/>
        </w:rPr>
      </w:pPr>
      <w:r>
        <w:rPr>
          <w:rFonts w:hint="eastAsia" w:eastAsia="黑体"/>
          <w:b/>
          <w:bCs/>
          <w:sz w:val="28"/>
          <w:szCs w:val="28"/>
        </w:rPr>
        <w:t>五、综合评审过程</w:t>
      </w:r>
      <w:bookmarkEnd w:id="20"/>
    </w:p>
    <w:p>
      <w:pPr>
        <w:pStyle w:val="4"/>
        <w:spacing w:line="240" w:lineRule="auto"/>
        <w:ind w:left="0" w:firstLine="0"/>
        <w:rPr>
          <w:rFonts w:ascii="宋体" w:hAnsi="宋体" w:eastAsia="宋体" w:cs="宋体"/>
          <w:bCs/>
          <w:sz w:val="21"/>
          <w:szCs w:val="22"/>
        </w:rPr>
      </w:pPr>
      <w:bookmarkStart w:id="21" w:name="_Toc488318871"/>
      <w:bookmarkStart w:id="22" w:name="_Toc22149466"/>
      <w:r>
        <w:rPr>
          <w:rFonts w:hint="eastAsia" w:ascii="宋体" w:hAnsi="宋体" w:eastAsia="宋体" w:cs="宋体"/>
          <w:bCs/>
          <w:sz w:val="21"/>
          <w:szCs w:val="22"/>
        </w:rPr>
        <w:t>11. 总则</w:t>
      </w:r>
      <w:bookmarkEnd w:id="21"/>
      <w:bookmarkEnd w:id="22"/>
    </w:p>
    <w:p>
      <w:pPr>
        <w:tabs>
          <w:tab w:val="left" w:pos="840"/>
        </w:tabs>
        <w:spacing w:after="240"/>
      </w:pPr>
      <w:r>
        <w:rPr>
          <w:rFonts w:hint="eastAsia"/>
        </w:rPr>
        <w:t>11.1本次采用综合评分法进行评审。</w:t>
      </w:r>
    </w:p>
    <w:p>
      <w:pPr>
        <w:tabs>
          <w:tab w:val="left" w:pos="840"/>
        </w:tabs>
        <w:spacing w:after="240"/>
        <w:rPr>
          <w:highlight w:val="none"/>
        </w:rPr>
      </w:pPr>
      <w:r>
        <w:rPr>
          <w:rFonts w:hint="eastAsia"/>
        </w:rPr>
        <w:t>11.2本项目的评审工作由采购人内部组成评审小组完成。评审小组由经济技术类共3名以上单数成员组成。</w:t>
      </w:r>
    </w:p>
    <w:p>
      <w:pPr>
        <w:tabs>
          <w:tab w:val="left" w:pos="851"/>
        </w:tabs>
        <w:rPr>
          <w:szCs w:val="22"/>
        </w:rPr>
      </w:pPr>
      <w:r>
        <w:rPr>
          <w:rFonts w:hint="eastAsia"/>
          <w:highlight w:val="none"/>
        </w:rPr>
        <w:t xml:space="preserve">11.3 </w:t>
      </w:r>
      <w:r>
        <w:rPr>
          <w:rFonts w:hint="eastAsia" w:ascii="宋体" w:hAnsi="宋体"/>
          <w:szCs w:val="21"/>
          <w:highlight w:val="none"/>
        </w:rPr>
        <w:t>本</w:t>
      </w:r>
      <w:r>
        <w:rPr>
          <w:rFonts w:hint="eastAsia"/>
          <w:szCs w:val="22"/>
          <w:highlight w:val="none"/>
        </w:rPr>
        <w:t>次评标权重分配为：价格得分占60  ％，商务技术得分占40  ％。本</w:t>
      </w:r>
      <w:r>
        <w:rPr>
          <w:rFonts w:hint="eastAsia"/>
          <w:szCs w:val="22"/>
        </w:rPr>
        <w:t>次评标是以采购文件为依据，按公正、科学、客观、平等竞争的要求，选择技术先进、报价合理、经验丰富、信誉良好及综合实力强的报价人。</w:t>
      </w:r>
    </w:p>
    <w:p>
      <w:pPr>
        <w:pStyle w:val="14"/>
        <w:ind w:left="0" w:leftChars="0"/>
        <w:rPr>
          <w:rFonts w:ascii="宋体" w:hAnsi="宋体"/>
          <w:szCs w:val="21"/>
        </w:rPr>
      </w:pPr>
    </w:p>
    <w:p>
      <w:pPr>
        <w:rPr>
          <w:rFonts w:ascii="宋体" w:hAnsi="宋体"/>
          <w:b/>
          <w:bCs/>
          <w:szCs w:val="21"/>
        </w:rPr>
      </w:pPr>
      <w:r>
        <w:rPr>
          <w:rFonts w:hint="eastAsia" w:ascii="宋体" w:hAnsi="宋体"/>
          <w:b/>
          <w:bCs/>
          <w:szCs w:val="21"/>
        </w:rPr>
        <w:t>12. 评审过程及评审办法</w:t>
      </w:r>
    </w:p>
    <w:p>
      <w:pPr>
        <w:tabs>
          <w:tab w:val="left" w:pos="360"/>
        </w:tabs>
        <w:spacing w:line="360" w:lineRule="auto"/>
        <w:rPr>
          <w:rFonts w:ascii="宋体" w:hAnsi="宋体"/>
          <w:szCs w:val="21"/>
        </w:rPr>
      </w:pPr>
      <w:r>
        <w:rPr>
          <w:rFonts w:hint="eastAsia"/>
          <w:szCs w:val="22"/>
        </w:rPr>
        <w:t>12.1评审步骤</w:t>
      </w:r>
      <w:r>
        <w:rPr>
          <w:rFonts w:hint="eastAsia" w:ascii="宋体" w:hAnsi="宋体"/>
          <w:szCs w:val="21"/>
        </w:rPr>
        <w:t>：</w:t>
      </w:r>
    </w:p>
    <w:p>
      <w:pPr>
        <w:pStyle w:val="23"/>
        <w:spacing w:line="360" w:lineRule="auto"/>
        <w:ind w:left="0"/>
        <w:rPr>
          <w:rFonts w:ascii="宋体" w:hAnsi="宋体"/>
          <w:szCs w:val="21"/>
        </w:rPr>
      </w:pPr>
      <w:r>
        <w:rPr>
          <w:rFonts w:hint="eastAsia" w:ascii="宋体" w:hAnsi="宋体"/>
          <w:szCs w:val="21"/>
        </w:rPr>
        <w:t>（1）对报价文件进行符合性审查；</w:t>
      </w:r>
    </w:p>
    <w:p>
      <w:pPr>
        <w:pStyle w:val="23"/>
        <w:spacing w:line="360" w:lineRule="auto"/>
        <w:ind w:left="0"/>
        <w:rPr>
          <w:rFonts w:ascii="宋体" w:hAnsi="宋体"/>
          <w:szCs w:val="21"/>
        </w:rPr>
      </w:pPr>
      <w:r>
        <w:rPr>
          <w:rFonts w:hint="eastAsia" w:ascii="宋体" w:hAnsi="宋体"/>
          <w:szCs w:val="21"/>
        </w:rPr>
        <w:t>（2）对报价文件进行商务评审、技术评审；</w:t>
      </w:r>
    </w:p>
    <w:p>
      <w:pPr>
        <w:pStyle w:val="23"/>
        <w:spacing w:line="360" w:lineRule="auto"/>
        <w:ind w:left="0"/>
        <w:rPr>
          <w:rFonts w:ascii="宋体" w:hAnsi="宋体"/>
          <w:szCs w:val="21"/>
        </w:rPr>
      </w:pPr>
      <w:r>
        <w:rPr>
          <w:rFonts w:hint="eastAsia" w:ascii="宋体" w:hAnsi="宋体"/>
          <w:szCs w:val="21"/>
        </w:rPr>
        <w:t>（3）价格评审；</w:t>
      </w:r>
    </w:p>
    <w:p>
      <w:pPr>
        <w:pStyle w:val="23"/>
        <w:spacing w:line="360" w:lineRule="auto"/>
        <w:ind w:left="0"/>
        <w:rPr>
          <w:rFonts w:ascii="宋体" w:hAnsi="宋体"/>
          <w:szCs w:val="21"/>
        </w:rPr>
      </w:pPr>
      <w:r>
        <w:rPr>
          <w:rFonts w:hint="eastAsia" w:ascii="宋体" w:hAnsi="宋体"/>
          <w:szCs w:val="21"/>
        </w:rPr>
        <w:t>（4）计算总分；</w:t>
      </w:r>
    </w:p>
    <w:p>
      <w:pPr>
        <w:pStyle w:val="23"/>
        <w:spacing w:line="360" w:lineRule="auto"/>
        <w:ind w:left="0"/>
        <w:rPr>
          <w:rFonts w:ascii="宋体" w:hAnsi="宋体"/>
          <w:szCs w:val="21"/>
        </w:rPr>
      </w:pPr>
      <w:r>
        <w:rPr>
          <w:rFonts w:hint="eastAsia" w:ascii="宋体" w:hAnsi="宋体"/>
          <w:szCs w:val="21"/>
        </w:rPr>
        <w:t>（5）推荐成交候选人；</w:t>
      </w:r>
    </w:p>
    <w:p>
      <w:pPr>
        <w:pStyle w:val="23"/>
        <w:spacing w:line="360" w:lineRule="auto"/>
        <w:ind w:left="0"/>
        <w:rPr>
          <w:rFonts w:ascii="宋体" w:hAnsi="宋体"/>
          <w:szCs w:val="21"/>
        </w:rPr>
      </w:pPr>
      <w:r>
        <w:rPr>
          <w:rFonts w:hint="eastAsia"/>
          <w:szCs w:val="22"/>
        </w:rPr>
        <w:t xml:space="preserve">12.2 </w:t>
      </w:r>
      <w:r>
        <w:rPr>
          <w:rFonts w:hint="eastAsia" w:ascii="宋体" w:hAnsi="宋体"/>
          <w:szCs w:val="21"/>
        </w:rPr>
        <w:t>投标文件的澄清</w:t>
      </w:r>
    </w:p>
    <w:p>
      <w:pPr>
        <w:pStyle w:val="23"/>
        <w:spacing w:line="360" w:lineRule="auto"/>
        <w:ind w:left="0" w:firstLine="420" w:firstLineChars="200"/>
        <w:rPr>
          <w:rFonts w:ascii="宋体" w:hAnsi="宋体"/>
          <w:szCs w:val="21"/>
        </w:rPr>
      </w:pPr>
      <w:r>
        <w:rPr>
          <w:rFonts w:hint="eastAsia" w:ascii="宋体" w:hAnsi="宋体"/>
          <w:szCs w:val="21"/>
        </w:rPr>
        <w:t>为有助于报价文件的审查、评价和比较，评标委员会可以要求报价人对报价文件含义不明确的内容作必要的澄清或说明，但不得超出投标文件的范围或改变投标文件的实质性内容。</w:t>
      </w:r>
    </w:p>
    <w:p>
      <w:pPr>
        <w:pStyle w:val="14"/>
        <w:spacing w:line="360" w:lineRule="auto"/>
        <w:ind w:left="0" w:leftChars="0"/>
        <w:rPr>
          <w:szCs w:val="22"/>
        </w:rPr>
      </w:pPr>
      <w:r>
        <w:rPr>
          <w:rFonts w:hint="eastAsia"/>
          <w:szCs w:val="22"/>
        </w:rPr>
        <w:t>12.3 评审</w:t>
      </w:r>
    </w:p>
    <w:p>
      <w:pPr>
        <w:spacing w:line="360" w:lineRule="auto"/>
      </w:pPr>
      <w:r>
        <w:rPr>
          <w:rFonts w:hint="eastAsia"/>
        </w:rPr>
        <w:t>1）  符合性审查</w:t>
      </w:r>
    </w:p>
    <w:p>
      <w:pPr>
        <w:pStyle w:val="14"/>
        <w:spacing w:line="360" w:lineRule="auto"/>
        <w:ind w:left="420"/>
      </w:pPr>
      <w:r>
        <w:rPr>
          <w:rFonts w:hint="eastAsia"/>
        </w:rPr>
        <w:t>评审小组根据《符合性审查表》（附件6）内容逐条对报价文件进行审查，；不满足《符合</w:t>
      </w:r>
    </w:p>
    <w:p>
      <w:pPr>
        <w:pStyle w:val="14"/>
        <w:spacing w:line="360" w:lineRule="auto"/>
        <w:ind w:left="0" w:leftChars="0"/>
        <w:rPr>
          <w:highlight w:val="none"/>
        </w:rPr>
      </w:pPr>
      <w:r>
        <w:rPr>
          <w:rFonts w:hint="eastAsia"/>
        </w:rPr>
        <w:t>性审查表》所列各项要求任何一项的，将被认定为无效报价。通过符合性审查的供应商可进入下一环节评审</w:t>
      </w:r>
      <w:r>
        <w:rPr>
          <w:rFonts w:hint="eastAsia"/>
          <w:highlight w:val="none"/>
        </w:rPr>
        <w:t>；</w:t>
      </w:r>
      <w:r>
        <w:rPr>
          <w:rFonts w:hint="eastAsia" w:ascii="宋体" w:hAnsi="宋体"/>
          <w:szCs w:val="21"/>
          <w:highlight w:val="none"/>
        </w:rPr>
        <w:t>对于《符合性审查表》中的每一项审查项目实行少数服从多数的原则。</w:t>
      </w:r>
    </w:p>
    <w:p>
      <w:pPr>
        <w:pStyle w:val="14"/>
        <w:numPr>
          <w:ilvl w:val="0"/>
          <w:numId w:val="6"/>
        </w:numPr>
        <w:spacing w:line="360" w:lineRule="auto"/>
        <w:ind w:left="0" w:leftChars="0"/>
        <w:rPr>
          <w:highlight w:val="none"/>
        </w:rPr>
      </w:pPr>
      <w:r>
        <w:rPr>
          <w:rFonts w:hint="eastAsia"/>
          <w:highlight w:val="none"/>
        </w:rPr>
        <w:t xml:space="preserve"> 商务技术评审及得分计算</w:t>
      </w:r>
    </w:p>
    <w:p>
      <w:pPr>
        <w:pStyle w:val="14"/>
        <w:spacing w:line="360" w:lineRule="auto"/>
        <w:ind w:left="420"/>
        <w:rPr>
          <w:highlight w:val="none"/>
        </w:rPr>
      </w:pPr>
      <w:r>
        <w:rPr>
          <w:rFonts w:hint="eastAsia" w:ascii="宋体" w:hAnsi="宋体"/>
          <w:szCs w:val="21"/>
          <w:highlight w:val="none"/>
        </w:rPr>
        <w:t>a.技术商务分占 40分，</w:t>
      </w:r>
      <w:r>
        <w:rPr>
          <w:rFonts w:hint="eastAsia"/>
          <w:highlight w:val="none"/>
        </w:rPr>
        <w:t>由评委打分，评审细则详见附件7《商务技术表》）；</w:t>
      </w:r>
    </w:p>
    <w:p>
      <w:pPr>
        <w:pStyle w:val="14"/>
        <w:spacing w:line="360" w:lineRule="auto"/>
        <w:ind w:left="420"/>
        <w:rPr>
          <w:highlight w:val="none"/>
        </w:rPr>
      </w:pPr>
      <w:r>
        <w:rPr>
          <w:rFonts w:hint="eastAsia" w:ascii="宋体" w:hAnsi="宋体"/>
          <w:szCs w:val="21"/>
          <w:highlight w:val="none"/>
        </w:rPr>
        <w:t>b.对评委的的评分结果，以每个评委对所打出的商务、技术总分为基准，进行算术平均后得出各报价人的商务技术得分。（小数点后保留两位有效数，四舍五入）。</w:t>
      </w:r>
    </w:p>
    <w:p>
      <w:pPr>
        <w:pStyle w:val="14"/>
        <w:spacing w:line="360" w:lineRule="auto"/>
        <w:ind w:left="0" w:leftChars="0"/>
        <w:rPr>
          <w:highlight w:val="none"/>
        </w:rPr>
      </w:pPr>
      <w:r>
        <w:rPr>
          <w:rFonts w:hint="eastAsia"/>
          <w:highlight w:val="none"/>
        </w:rPr>
        <w:t>3）  价格评审及得分计算</w:t>
      </w:r>
    </w:p>
    <w:p>
      <w:pPr>
        <w:pStyle w:val="14"/>
        <w:spacing w:line="360" w:lineRule="auto"/>
        <w:ind w:left="420"/>
        <w:rPr>
          <w:rFonts w:ascii="宋体" w:hAnsi="宋体"/>
          <w:szCs w:val="21"/>
          <w:highlight w:val="none"/>
        </w:rPr>
      </w:pPr>
      <w:r>
        <w:rPr>
          <w:rFonts w:hint="eastAsia" w:ascii="宋体" w:hAnsi="宋体"/>
          <w:szCs w:val="21"/>
          <w:highlight w:val="none"/>
        </w:rPr>
        <w:t>a.价格分占60 分,按如下公式计算：</w:t>
      </w:r>
    </w:p>
    <w:p>
      <w:pPr>
        <w:pStyle w:val="14"/>
        <w:spacing w:line="360" w:lineRule="auto"/>
        <w:ind w:left="420"/>
      </w:pPr>
      <w:r>
        <w:rPr>
          <w:rFonts w:hint="eastAsia"/>
        </w:rPr>
        <w:t>投标价每高于基准价1%扣  1分，最多扣60分，每低于基准价1%扣  0.5分，最多扣60分不足1％的部分按内插法计算。</w:t>
      </w:r>
    </w:p>
    <w:p>
      <w:pPr>
        <w:spacing w:line="360" w:lineRule="auto"/>
        <w:ind w:left="427"/>
      </w:pPr>
      <w:r>
        <w:rPr>
          <w:rFonts w:hint="eastAsia" w:ascii="宋体" w:hAnsi="宋体"/>
          <w:szCs w:val="21"/>
        </w:rPr>
        <w:t>b.价格算术错误更正方法：如果数字表示的金额和用文字表示的金额不一致时，应以文字</w:t>
      </w:r>
    </w:p>
    <w:p>
      <w:pPr>
        <w:spacing w:line="360" w:lineRule="auto"/>
      </w:pPr>
      <w:r>
        <w:rPr>
          <w:rFonts w:hint="eastAsia" w:ascii="宋体" w:hAnsi="宋体"/>
          <w:szCs w:val="21"/>
        </w:rPr>
        <w:t>表示的金额为准。当单价与数量的乘积与合价不一致时，以单价为准，除非评标委员会认为单价有明显的小数点错误，此时应以标出的合价为准，并修改单价。</w:t>
      </w:r>
    </w:p>
    <w:p>
      <w:pPr>
        <w:pStyle w:val="14"/>
        <w:spacing w:line="360" w:lineRule="auto"/>
        <w:ind w:left="0" w:leftChars="0" w:firstLine="420" w:firstLineChars="200"/>
      </w:pPr>
      <w:r>
        <w:rPr>
          <w:rFonts w:hint="eastAsia" w:ascii="宋体" w:hAnsi="宋体"/>
          <w:szCs w:val="21"/>
        </w:rPr>
        <w:t>c.</w:t>
      </w:r>
      <w:r>
        <w:rPr>
          <w:rFonts w:hint="eastAsia" w:ascii="宋体" w:hAnsi="宋体"/>
          <w:b/>
          <w:bCs/>
          <w:szCs w:val="21"/>
        </w:rPr>
        <w:t>基准价：</w:t>
      </w:r>
      <w:r>
        <w:rPr>
          <w:rFonts w:hint="eastAsia"/>
          <w:b/>
          <w:bCs/>
          <w:szCs w:val="21"/>
        </w:rPr>
        <w:t>取所有通过初步评审的报价人报价的算术平均值作为基准价</w:t>
      </w:r>
      <w:r>
        <w:rPr>
          <w:rFonts w:hint="eastAsia"/>
          <w:b/>
          <w:bCs/>
        </w:rPr>
        <w:t>。</w:t>
      </w:r>
    </w:p>
    <w:p>
      <w:pPr>
        <w:rPr>
          <w:szCs w:val="21"/>
        </w:rPr>
      </w:pPr>
      <w:r>
        <w:rPr>
          <w:rFonts w:hint="eastAsia"/>
        </w:rPr>
        <w:t xml:space="preserve">        </w:t>
      </w:r>
      <w:r>
        <w:rPr>
          <w:rFonts w:hint="eastAsia" w:ascii="宋体" w:hAnsi="宋体"/>
          <w:szCs w:val="21"/>
        </w:rPr>
        <w:t>d</w:t>
      </w:r>
      <w:r>
        <w:rPr>
          <w:rFonts w:hint="eastAsia"/>
        </w:rPr>
        <w:t>.</w:t>
      </w:r>
      <w:r>
        <w:rPr>
          <w:rFonts w:hint="eastAsia"/>
          <w:szCs w:val="21"/>
        </w:rPr>
        <w:t>按上述方法计算的结果保存两位小数，第三位四舍五入。</w:t>
      </w:r>
    </w:p>
    <w:p>
      <w:pPr>
        <w:pStyle w:val="14"/>
        <w:spacing w:line="360" w:lineRule="auto"/>
        <w:ind w:left="0" w:leftChars="0"/>
      </w:pPr>
      <w:r>
        <w:rPr>
          <w:rFonts w:hint="eastAsia"/>
        </w:rPr>
        <w:t>4）总分计算</w:t>
      </w:r>
    </w:p>
    <w:p>
      <w:pPr>
        <w:pStyle w:val="14"/>
        <w:spacing w:line="360" w:lineRule="auto"/>
        <w:ind w:left="420"/>
      </w:pPr>
      <w:r>
        <w:rPr>
          <w:rFonts w:hint="eastAsia"/>
        </w:rPr>
        <w:t>报价人总得分＝商务技术得分+价格得分</w:t>
      </w:r>
    </w:p>
    <w:p>
      <w:pPr>
        <w:ind w:firstLine="420" w:firstLineChars="200"/>
      </w:pPr>
      <w:r>
        <w:rPr>
          <w:rFonts w:hint="eastAsia" w:ascii="宋体" w:hAnsi="宋体"/>
          <w:szCs w:val="21"/>
        </w:rPr>
        <w:t>全体评委对各评审表校核无误后在评审表上签名确认。</w:t>
      </w:r>
    </w:p>
    <w:p>
      <w:pPr>
        <w:pStyle w:val="14"/>
        <w:ind w:left="420"/>
      </w:pPr>
    </w:p>
    <w:p>
      <w:pPr>
        <w:pStyle w:val="14"/>
        <w:numPr>
          <w:ilvl w:val="0"/>
          <w:numId w:val="7"/>
        </w:numPr>
        <w:spacing w:line="360" w:lineRule="auto"/>
        <w:ind w:left="0" w:leftChars="0"/>
        <w:rPr>
          <w:b/>
          <w:bCs/>
        </w:rPr>
      </w:pPr>
      <w:r>
        <w:rPr>
          <w:rFonts w:hint="eastAsia"/>
          <w:b/>
          <w:bCs/>
        </w:rPr>
        <w:t xml:space="preserve"> 推荐成交候选人</w:t>
      </w:r>
    </w:p>
    <w:p>
      <w:pPr>
        <w:pStyle w:val="14"/>
        <w:spacing w:line="360" w:lineRule="auto"/>
        <w:ind w:left="0" w:leftChars="0" w:firstLine="420" w:firstLineChars="200"/>
      </w:pPr>
      <w:r>
        <w:rPr>
          <w:rFonts w:hint="eastAsia"/>
        </w:rPr>
        <w:t>采购人员依据评审情况编写《评审报告》，按总分由高到低对报价人进行排序，总得分最高者为第一成交候选人，次高者为第二中标候选人，依此类推，评审小组将推荐总得分前3名的报价人（出现并列时，选其报价低的报价人；若报价人的投价格相同，则由评审小组投票少数服从多数决定排名先后）为成交候选人。</w:t>
      </w:r>
    </w:p>
    <w:p/>
    <w:p>
      <w:pPr>
        <w:numPr>
          <w:ilvl w:val="0"/>
          <w:numId w:val="7"/>
        </w:numPr>
        <w:tabs>
          <w:tab w:val="left" w:pos="840"/>
        </w:tabs>
        <w:spacing w:line="360" w:lineRule="auto"/>
        <w:rPr>
          <w:b/>
          <w:bCs/>
          <w:szCs w:val="21"/>
        </w:rPr>
      </w:pPr>
      <w:r>
        <w:rPr>
          <w:rFonts w:hint="eastAsia"/>
          <w:b/>
          <w:bCs/>
          <w:szCs w:val="21"/>
        </w:rPr>
        <w:t xml:space="preserve"> 合同的授予</w:t>
      </w:r>
      <w:bookmarkStart w:id="23" w:name="_Toc353536747"/>
      <w:bookmarkEnd w:id="23"/>
      <w:bookmarkStart w:id="24" w:name="_Toc353536744"/>
      <w:bookmarkEnd w:id="24"/>
      <w:bookmarkStart w:id="25" w:name="_Toc353536745"/>
      <w:bookmarkEnd w:id="25"/>
      <w:bookmarkStart w:id="26" w:name="_Toc353536748"/>
      <w:bookmarkEnd w:id="26"/>
      <w:bookmarkStart w:id="27" w:name="_Toc353536746"/>
      <w:bookmarkEnd w:id="27"/>
      <w:bookmarkStart w:id="28" w:name="_Toc22149474"/>
    </w:p>
    <w:p>
      <w:pPr>
        <w:tabs>
          <w:tab w:val="left" w:pos="840"/>
        </w:tabs>
        <w:spacing w:line="360" w:lineRule="auto"/>
        <w:rPr>
          <w:szCs w:val="21"/>
        </w:rPr>
      </w:pPr>
      <w:r>
        <w:rPr>
          <w:rFonts w:hint="eastAsia"/>
          <w:szCs w:val="21"/>
        </w:rPr>
        <w:t>14.1 合同授予标准</w:t>
      </w:r>
      <w:bookmarkEnd w:id="28"/>
      <w:r>
        <w:rPr>
          <w:rFonts w:hint="eastAsia"/>
          <w:szCs w:val="21"/>
        </w:rPr>
        <w:t>：采购人将把合同授予被确定为实质上响应采购文件的要求并具有履行合同能力的符合采购需求、综合得分最高的报价人。</w:t>
      </w:r>
    </w:p>
    <w:p>
      <w:pPr>
        <w:tabs>
          <w:tab w:val="left" w:pos="840"/>
        </w:tabs>
        <w:spacing w:line="360" w:lineRule="auto"/>
        <w:rPr>
          <w:szCs w:val="21"/>
        </w:rPr>
      </w:pPr>
      <w:bookmarkStart w:id="29" w:name="_Toc22149475"/>
      <w:r>
        <w:rPr>
          <w:rFonts w:hint="eastAsia"/>
          <w:szCs w:val="21"/>
        </w:rPr>
        <w:t>14.2</w:t>
      </w:r>
      <w:bookmarkEnd w:id="29"/>
      <w:r>
        <w:rPr>
          <w:rFonts w:hint="eastAsia"/>
          <w:szCs w:val="21"/>
        </w:rPr>
        <w:t>采购人在授予合同时有权在一定的幅度内对报价表中规定的服务数量予以增加或减少，但不得对单价或其它的条款和条件做任何实质改变</w:t>
      </w:r>
      <w:bookmarkStart w:id="30" w:name="_Toc22149476"/>
      <w:r>
        <w:rPr>
          <w:rFonts w:hint="eastAsia"/>
          <w:szCs w:val="21"/>
        </w:rPr>
        <w:t>。</w:t>
      </w:r>
      <w:bookmarkEnd w:id="30"/>
      <w:bookmarkStart w:id="31" w:name="_Toc22149477"/>
    </w:p>
    <w:p>
      <w:pPr>
        <w:tabs>
          <w:tab w:val="left" w:pos="840"/>
        </w:tabs>
        <w:spacing w:line="360" w:lineRule="auto"/>
        <w:rPr>
          <w:szCs w:val="21"/>
        </w:rPr>
      </w:pPr>
      <w:r>
        <w:rPr>
          <w:rFonts w:hint="eastAsia"/>
          <w:szCs w:val="21"/>
        </w:rPr>
        <w:t>14.3成交通知书</w:t>
      </w:r>
      <w:bookmarkEnd w:id="31"/>
    </w:p>
    <w:p>
      <w:pPr>
        <w:tabs>
          <w:tab w:val="left" w:pos="840"/>
        </w:tabs>
        <w:spacing w:line="360" w:lineRule="auto"/>
        <w:ind w:firstLine="420" w:firstLineChars="200"/>
        <w:rPr>
          <w:szCs w:val="21"/>
        </w:rPr>
      </w:pPr>
      <w:r>
        <w:rPr>
          <w:rFonts w:hint="eastAsia"/>
          <w:szCs w:val="21"/>
        </w:rPr>
        <w:t>采购人确定成交报价人后，向成交报价人发出《成交通知书》。</w:t>
      </w:r>
    </w:p>
    <w:p>
      <w:pPr>
        <w:tabs>
          <w:tab w:val="left" w:pos="840"/>
        </w:tabs>
        <w:spacing w:line="360" w:lineRule="auto"/>
        <w:rPr>
          <w:szCs w:val="21"/>
        </w:rPr>
      </w:pPr>
      <w:bookmarkStart w:id="32" w:name="_Toc22149478"/>
      <w:r>
        <w:rPr>
          <w:rFonts w:hint="eastAsia"/>
          <w:szCs w:val="21"/>
        </w:rPr>
        <w:t>14.4签订合同</w:t>
      </w:r>
      <w:bookmarkEnd w:id="32"/>
    </w:p>
    <w:p>
      <w:pPr>
        <w:tabs>
          <w:tab w:val="left" w:pos="840"/>
        </w:tabs>
        <w:spacing w:line="360" w:lineRule="auto"/>
        <w:ind w:firstLine="420" w:firstLineChars="200"/>
        <w:rPr>
          <w:szCs w:val="21"/>
        </w:rPr>
      </w:pPr>
      <w:r>
        <w:rPr>
          <w:rFonts w:hint="eastAsia"/>
          <w:szCs w:val="21"/>
        </w:rPr>
        <w:t>成交报价人在收到成交通知书后10天内与采购人签署合同。按照采购文件和成交报价人的报价文件及其他相关文件订立书面合同；</w:t>
      </w:r>
    </w:p>
    <w:p>
      <w:pPr>
        <w:tabs>
          <w:tab w:val="left" w:pos="840"/>
        </w:tabs>
        <w:spacing w:line="360" w:lineRule="auto"/>
        <w:ind w:firstLine="420" w:firstLineChars="200"/>
        <w:rPr>
          <w:szCs w:val="21"/>
        </w:rPr>
      </w:pPr>
      <w:r>
        <w:rPr>
          <w:rFonts w:hint="eastAsia"/>
          <w:szCs w:val="21"/>
        </w:rPr>
        <w:t>如果成交报价人没有按照上述第规定执行，采购人将有充分理由取消该成交决定。在此情况下，采购人可将合同授予其他满足采购要求的报价人，或重新组织采购。</w:t>
      </w:r>
    </w:p>
    <w:p>
      <w:pPr>
        <w:pStyle w:val="5"/>
      </w:pPr>
    </w:p>
    <w:p>
      <w:pPr>
        <w:widowControl/>
        <w:tabs>
          <w:tab w:val="left" w:pos="567"/>
        </w:tabs>
        <w:autoSpaceDE w:val="0"/>
        <w:autoSpaceDN w:val="0"/>
        <w:textAlignment w:val="bottom"/>
        <w:rPr>
          <w:b/>
          <w:sz w:val="32"/>
          <w:szCs w:val="32"/>
        </w:rPr>
      </w:pPr>
    </w:p>
    <w:p>
      <w:pPr>
        <w:widowControl/>
        <w:numPr>
          <w:ilvl w:val="0"/>
          <w:numId w:val="2"/>
        </w:numPr>
        <w:tabs>
          <w:tab w:val="left" w:pos="567"/>
        </w:tabs>
        <w:autoSpaceDE w:val="0"/>
        <w:autoSpaceDN w:val="0"/>
        <w:jc w:val="center"/>
        <w:textAlignment w:val="bottom"/>
        <w:rPr>
          <w:b/>
          <w:sz w:val="32"/>
          <w:szCs w:val="32"/>
        </w:rPr>
      </w:pPr>
      <w:r>
        <w:rPr>
          <w:rFonts w:hint="eastAsia"/>
          <w:b/>
          <w:sz w:val="32"/>
          <w:szCs w:val="32"/>
        </w:rPr>
        <w:t xml:space="preserve"> 合同条款</w:t>
      </w:r>
    </w:p>
    <w:p>
      <w:pPr>
        <w:pStyle w:val="5"/>
        <w:ind w:firstLine="0"/>
        <w:rPr>
          <w:rFonts w:ascii="宋体" w:hAnsi="宋体" w:cs="宋体"/>
          <w:sz w:val="24"/>
          <w:szCs w:val="24"/>
        </w:rPr>
      </w:pPr>
      <w:r>
        <w:rPr>
          <w:rFonts w:ascii="宋体" w:hAnsi="宋体" w:cs="宋体"/>
          <w:sz w:val="24"/>
          <w:szCs w:val="24"/>
        </w:rPr>
        <w:t>注释:</w:t>
      </w:r>
      <w:r>
        <w:rPr>
          <w:rFonts w:ascii="宋体" w:hAnsi="宋体" w:cs="宋体"/>
          <w:sz w:val="24"/>
          <w:szCs w:val="24"/>
        </w:rPr>
        <w:br w:type="textWrapping"/>
      </w:r>
      <w:r>
        <w:rPr>
          <w:rFonts w:ascii="宋体" w:hAnsi="宋体" w:cs="宋体"/>
          <w:sz w:val="24"/>
          <w:szCs w:val="24"/>
        </w:rPr>
        <w:t>    本合同格式条款仅作为双方签订合同的参考，为阐明各方的权利和义务，经协商可增加新的条款，但不得与招标文件、投标文件的实质性内容相背离，本项目采购合同须送壹份至采购代理机构备案，具有同等效力。</w:t>
      </w:r>
    </w:p>
    <w:p>
      <w:pPr>
        <w:pStyle w:val="5"/>
        <w:ind w:firstLine="0"/>
        <w:rPr>
          <w:rFonts w:ascii="宋体" w:hAnsi="宋体" w:cs="宋体"/>
          <w:sz w:val="24"/>
          <w:szCs w:val="24"/>
        </w:rPr>
      </w:pPr>
    </w:p>
    <w:p>
      <w:pPr>
        <w:pStyle w:val="5"/>
        <w:ind w:firstLine="0"/>
        <w:rPr>
          <w:rFonts w:ascii="宋体" w:hAnsi="宋体" w:cs="宋体"/>
          <w:sz w:val="24"/>
          <w:szCs w:val="24"/>
        </w:rPr>
      </w:pPr>
    </w:p>
    <w:p>
      <w:pPr>
        <w:tabs>
          <w:tab w:val="left" w:pos="1065"/>
        </w:tabs>
        <w:rPr>
          <w:color w:val="000000"/>
        </w:rPr>
      </w:pPr>
      <w:r>
        <w:rPr>
          <w:rFonts w:hint="eastAsia"/>
          <w:color w:val="000000"/>
        </w:rPr>
        <w:t xml:space="preserve"> </w:t>
      </w:r>
      <w:r>
        <w:rPr>
          <w:color w:val="000000"/>
        </w:rPr>
        <w:t xml:space="preserve">  </w:t>
      </w:r>
    </w:p>
    <w:p>
      <w:pPr>
        <w:tabs>
          <w:tab w:val="left" w:pos="1065"/>
        </w:tabs>
        <w:rPr>
          <w:color w:val="000000"/>
        </w:rPr>
      </w:pPr>
    </w:p>
    <w:p>
      <w:pPr>
        <w:tabs>
          <w:tab w:val="left" w:pos="1065"/>
        </w:tabs>
        <w:rPr>
          <w:color w:val="000000"/>
        </w:rPr>
      </w:pPr>
    </w:p>
    <w:p>
      <w:pPr>
        <w:spacing w:line="720" w:lineRule="auto"/>
        <w:jc w:val="center"/>
        <w:rPr>
          <w:rFonts w:ascii="宋体" w:hAnsi="宋体" w:cs="华文楷体"/>
          <w:b/>
          <w:sz w:val="44"/>
          <w:szCs w:val="44"/>
        </w:rPr>
      </w:pPr>
      <w:r>
        <w:rPr>
          <w:rFonts w:ascii="宋体" w:hAnsi="宋体" w:cs="华文楷体"/>
          <w:b/>
          <w:sz w:val="44"/>
          <w:szCs w:val="44"/>
          <w:u w:val="single"/>
        </w:rPr>
        <w:t xml:space="preserve">                 </w:t>
      </w:r>
      <w:r>
        <w:rPr>
          <w:rFonts w:ascii="宋体" w:hAnsi="宋体" w:cs="华文楷体"/>
          <w:b/>
          <w:sz w:val="44"/>
          <w:szCs w:val="44"/>
        </w:rPr>
        <w:t xml:space="preserve"> </w:t>
      </w:r>
      <w:r>
        <w:rPr>
          <w:rFonts w:hint="eastAsia" w:ascii="宋体" w:hAnsi="宋体" w:cs="华文楷体"/>
          <w:b/>
          <w:sz w:val="44"/>
          <w:szCs w:val="44"/>
        </w:rPr>
        <w:t>采购合同模板</w:t>
      </w:r>
    </w:p>
    <w:p>
      <w:pPr>
        <w:tabs>
          <w:tab w:val="left" w:pos="1065"/>
        </w:tabs>
        <w:rPr>
          <w:color w:val="000000"/>
        </w:rPr>
      </w:pPr>
    </w:p>
    <w:p>
      <w:pPr>
        <w:tabs>
          <w:tab w:val="left" w:pos="1065"/>
        </w:tabs>
        <w:rPr>
          <w:rFonts w:hint="eastAsia"/>
          <w:color w:val="000000"/>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rFonts w:hint="eastAsia"/>
          <w:b/>
          <w:color w:val="000000"/>
          <w:sz w:val="28"/>
          <w:szCs w:val="28"/>
        </w:rPr>
      </w:pPr>
    </w:p>
    <w:p>
      <w:pPr>
        <w:tabs>
          <w:tab w:val="left" w:pos="1065"/>
        </w:tabs>
        <w:rPr>
          <w:rFonts w:hint="default" w:eastAsia="宋体"/>
          <w:b/>
          <w:color w:val="000000"/>
          <w:sz w:val="28"/>
          <w:szCs w:val="28"/>
          <w:lang w:val="en-US" w:eastAsia="zh-CN"/>
        </w:rPr>
      </w:pPr>
      <w:r>
        <w:rPr>
          <w:rFonts w:hint="eastAsia"/>
          <w:b/>
          <w:color w:val="000000"/>
          <w:sz w:val="28"/>
          <w:szCs w:val="28"/>
        </w:rPr>
        <w:t>项目名称：</w:t>
      </w:r>
    </w:p>
    <w:p>
      <w:pPr>
        <w:tabs>
          <w:tab w:val="left" w:pos="1065"/>
        </w:tabs>
        <w:rPr>
          <w:rFonts w:hint="default" w:eastAsia="宋体"/>
          <w:b/>
          <w:color w:val="000000"/>
          <w:sz w:val="28"/>
          <w:szCs w:val="28"/>
          <w:lang w:val="en-US" w:eastAsia="zh-CN"/>
        </w:rPr>
      </w:pPr>
      <w:r>
        <w:rPr>
          <w:rFonts w:hint="eastAsia"/>
          <w:b/>
          <w:color w:val="000000"/>
          <w:sz w:val="28"/>
          <w:szCs w:val="28"/>
        </w:rPr>
        <w:t>项目编号：</w:t>
      </w:r>
    </w:p>
    <w:p>
      <w:pPr>
        <w:tabs>
          <w:tab w:val="left" w:pos="1065"/>
        </w:tabs>
        <w:rPr>
          <w:rFonts w:hint="default" w:eastAsia="宋体"/>
          <w:b/>
          <w:color w:val="000000"/>
          <w:sz w:val="28"/>
          <w:szCs w:val="28"/>
          <w:lang w:val="en-US" w:eastAsia="zh-CN"/>
        </w:rPr>
      </w:pPr>
      <w:r>
        <w:rPr>
          <w:rFonts w:hint="eastAsia"/>
          <w:b/>
          <w:color w:val="000000"/>
          <w:sz w:val="28"/>
          <w:szCs w:val="28"/>
        </w:rPr>
        <w:t>合同期限：</w:t>
      </w:r>
    </w:p>
    <w:p>
      <w:pPr>
        <w:tabs>
          <w:tab w:val="left" w:pos="1065"/>
        </w:tabs>
        <w:rPr>
          <w:rFonts w:hint="eastAsia"/>
          <w:b/>
          <w:color w:val="000000"/>
          <w:sz w:val="28"/>
          <w:szCs w:val="28"/>
        </w:rPr>
      </w:pPr>
      <w:r>
        <w:rPr>
          <w:rFonts w:hint="eastAsia"/>
          <w:b/>
          <w:color w:val="000000"/>
          <w:sz w:val="28"/>
          <w:szCs w:val="28"/>
        </w:rPr>
        <w:t>签订地：广州</w:t>
      </w:r>
    </w:p>
    <w:p>
      <w:pPr>
        <w:spacing w:line="360" w:lineRule="auto"/>
        <w:rPr>
          <w:rFonts w:hint="eastAsia"/>
          <w:b/>
          <w:color w:val="000000"/>
          <w:sz w:val="28"/>
          <w:szCs w:val="28"/>
        </w:rPr>
      </w:pPr>
      <w:r>
        <w:rPr>
          <w:rFonts w:hint="eastAsia"/>
          <w:b/>
          <w:color w:val="000000"/>
          <w:sz w:val="28"/>
          <w:szCs w:val="28"/>
        </w:rPr>
        <w:t>甲方（买方）：广东机场白云信息科技有限公司</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法定代表人：关 华</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rPr>
      </w:pPr>
      <w:r>
        <w:rPr>
          <w:rFonts w:hint="eastAsia" w:ascii="宋体" w:hAnsi="宋体" w:eastAsia="宋体" w:cs="宋体"/>
          <w:b w:val="0"/>
          <w:bCs/>
          <w:color w:val="000000"/>
          <w:sz w:val="28"/>
          <w:szCs w:val="28"/>
        </w:rPr>
        <w:t>住  所：广州市白云区新白云国际机场A4地块二级公司业务楼北楼</w:t>
      </w:r>
    </w:p>
    <w:p>
      <w:pPr>
        <w:tabs>
          <w:tab w:val="left" w:pos="1065"/>
        </w:tabs>
        <w:rPr>
          <w:rFonts w:hint="eastAsia"/>
          <w:b/>
          <w:color w:val="000000"/>
          <w:sz w:val="28"/>
          <w:szCs w:val="28"/>
        </w:rPr>
      </w:pPr>
      <w:r>
        <w:rPr>
          <w:rFonts w:hint="eastAsia"/>
          <w:b/>
          <w:color w:val="000000"/>
          <w:sz w:val="28"/>
          <w:szCs w:val="28"/>
        </w:rPr>
        <w:t>乙方（卖方）：</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住  所：</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广东机场白云信息科技有限公司（以下简称甲方）与</w:t>
      </w:r>
      <w:r>
        <w:rPr>
          <w:rFonts w:hint="eastAsia" w:ascii="仿宋" w:hAnsi="仿宋" w:eastAsia="仿宋" w:cs="仿宋"/>
          <w:szCs w:val="21"/>
          <w:u w:val="single"/>
        </w:rPr>
        <w:t xml:space="preserve">          </w:t>
      </w:r>
      <w:r>
        <w:rPr>
          <w:rFonts w:hint="eastAsia" w:ascii="仿宋" w:hAnsi="仿宋" w:eastAsia="仿宋"/>
          <w:szCs w:val="21"/>
        </w:rPr>
        <w:t>（以下简称乙方）</w:t>
      </w:r>
      <w:r>
        <w:rPr>
          <w:rFonts w:hint="eastAsia" w:ascii="仿宋" w:hAnsi="仿宋" w:eastAsia="仿宋" w:cs="仿宋"/>
          <w:szCs w:val="21"/>
        </w:rPr>
        <w:t>就甲方向乙方采购</w:t>
      </w:r>
      <w:r>
        <w:rPr>
          <w:rFonts w:hint="eastAsia" w:ascii="仿宋" w:hAnsi="仿宋" w:eastAsia="仿宋" w:cs="仿宋"/>
          <w:szCs w:val="21"/>
          <w:u w:val="single"/>
        </w:rPr>
        <w:t xml:space="preserve">        </w:t>
      </w:r>
      <w:r>
        <w:rPr>
          <w:rFonts w:ascii="仿宋" w:hAnsi="仿宋" w:eastAsia="仿宋" w:cs="仿宋"/>
          <w:szCs w:val="21"/>
          <w:u w:val="single"/>
        </w:rPr>
        <w:t xml:space="preserve">                           </w:t>
      </w:r>
      <w:r>
        <w:rPr>
          <w:rFonts w:hint="eastAsia" w:ascii="仿宋" w:hAnsi="仿宋" w:eastAsia="仿宋" w:cs="仿宋"/>
          <w:szCs w:val="21"/>
        </w:rPr>
        <w:t>货物事宜，根据《中华人民共和国民法典》及有关规定，为明确双方权利、义务和经济责任，经双方协商同意签订本合同。</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仿宋"/>
          <w:b/>
          <w:bCs/>
          <w:sz w:val="24"/>
          <w:szCs w:val="24"/>
        </w:rPr>
      </w:pPr>
      <w:r>
        <w:rPr>
          <w:rFonts w:hint="eastAsia" w:ascii="仿宋" w:hAnsi="仿宋" w:eastAsia="仿宋" w:cs="仿宋"/>
          <w:b/>
          <w:bCs/>
          <w:sz w:val="24"/>
          <w:szCs w:val="24"/>
        </w:rPr>
        <w:t>1.合同标的及价格</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 xml:space="preserve">.1 </w:t>
      </w:r>
      <w:r>
        <w:rPr>
          <w:rFonts w:hint="eastAsia" w:ascii="仿宋" w:hAnsi="仿宋" w:eastAsia="仿宋" w:cs="仿宋"/>
          <w:bCs/>
          <w:szCs w:val="21"/>
        </w:rPr>
        <w:t>货物清单：</w:t>
      </w:r>
    </w:p>
    <w:tbl>
      <w:tblPr>
        <w:tblStyle w:val="50"/>
        <w:tblW w:w="0" w:type="auto"/>
        <w:tblInd w:w="93" w:type="dxa"/>
        <w:tblLayout w:type="fixed"/>
        <w:tblCellMar>
          <w:top w:w="0" w:type="dxa"/>
          <w:left w:w="108" w:type="dxa"/>
          <w:bottom w:w="0" w:type="dxa"/>
          <w:right w:w="108" w:type="dxa"/>
        </w:tblCellMar>
      </w:tblPr>
      <w:tblGrid>
        <w:gridCol w:w="596"/>
        <w:gridCol w:w="1385"/>
        <w:gridCol w:w="1140"/>
        <w:gridCol w:w="1533"/>
        <w:gridCol w:w="773"/>
        <w:gridCol w:w="547"/>
        <w:gridCol w:w="1031"/>
        <w:gridCol w:w="1031"/>
        <w:gridCol w:w="1022"/>
      </w:tblGrid>
      <w:tr>
        <w:trPr>
          <w:trHeight w:val="717" w:hRule="atLeast"/>
        </w:trPr>
        <w:tc>
          <w:tcPr>
            <w:tcW w:w="5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bCs/>
                <w:color w:val="000000"/>
                <w:kern w:val="0"/>
                <w:szCs w:val="21"/>
                <w:highlight w:val="none"/>
              </w:rPr>
            </w:pPr>
            <w:r>
              <w:rPr>
                <w:rFonts w:hint="eastAsia" w:ascii="仿宋" w:hAnsi="仿宋" w:eastAsia="仿宋" w:cs="宋体"/>
                <w:bCs/>
                <w:color w:val="000000"/>
                <w:kern w:val="0"/>
                <w:szCs w:val="21"/>
                <w:highlight w:val="none"/>
              </w:rPr>
              <w:t>序号</w:t>
            </w:r>
          </w:p>
        </w:tc>
        <w:tc>
          <w:tcPr>
            <w:tcW w:w="13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bCs/>
                <w:color w:val="000000"/>
                <w:kern w:val="0"/>
                <w:szCs w:val="21"/>
                <w:highlight w:val="none"/>
              </w:rPr>
            </w:pPr>
            <w:r>
              <w:rPr>
                <w:rFonts w:hint="eastAsia" w:ascii="仿宋" w:hAnsi="仿宋" w:eastAsia="仿宋" w:cs="宋体"/>
                <w:bCs/>
                <w:color w:val="000000"/>
                <w:kern w:val="0"/>
                <w:szCs w:val="21"/>
                <w:highlight w:val="none"/>
              </w:rPr>
              <w:t>产品名称</w:t>
            </w:r>
          </w:p>
        </w:tc>
        <w:tc>
          <w:tcPr>
            <w:tcW w:w="11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bCs/>
                <w:color w:val="000000"/>
                <w:kern w:val="0"/>
                <w:szCs w:val="21"/>
                <w:highlight w:val="none"/>
              </w:rPr>
            </w:pPr>
            <w:r>
              <w:rPr>
                <w:rFonts w:hint="eastAsia" w:ascii="仿宋" w:hAnsi="仿宋" w:eastAsia="仿宋" w:cs="宋体"/>
                <w:bCs/>
                <w:color w:val="000000"/>
                <w:kern w:val="0"/>
                <w:szCs w:val="21"/>
                <w:highlight w:val="none"/>
              </w:rPr>
              <w:t>品牌</w:t>
            </w:r>
          </w:p>
        </w:tc>
        <w:tc>
          <w:tcPr>
            <w:tcW w:w="153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bCs/>
                <w:color w:val="000000"/>
                <w:kern w:val="0"/>
                <w:szCs w:val="21"/>
                <w:highlight w:val="none"/>
              </w:rPr>
            </w:pPr>
            <w:r>
              <w:rPr>
                <w:rFonts w:hint="eastAsia" w:ascii="仿宋" w:hAnsi="仿宋" w:eastAsia="仿宋" w:cs="宋体"/>
                <w:bCs/>
                <w:color w:val="000000"/>
                <w:kern w:val="0"/>
                <w:szCs w:val="21"/>
                <w:highlight w:val="none"/>
              </w:rPr>
              <w:t>规格型号</w:t>
            </w:r>
          </w:p>
        </w:tc>
        <w:tc>
          <w:tcPr>
            <w:tcW w:w="7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bCs/>
                <w:color w:val="000000"/>
                <w:kern w:val="0"/>
                <w:szCs w:val="21"/>
                <w:highlight w:val="none"/>
              </w:rPr>
            </w:pPr>
            <w:r>
              <w:rPr>
                <w:rFonts w:hint="eastAsia" w:ascii="仿宋" w:hAnsi="仿宋" w:eastAsia="仿宋" w:cs="宋体"/>
                <w:bCs/>
                <w:color w:val="000000"/>
                <w:kern w:val="0"/>
                <w:szCs w:val="21"/>
                <w:highlight w:val="none"/>
              </w:rPr>
              <w:t>单位</w:t>
            </w:r>
          </w:p>
        </w:tc>
        <w:tc>
          <w:tcPr>
            <w:tcW w:w="54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bCs/>
                <w:color w:val="000000"/>
                <w:kern w:val="0"/>
                <w:szCs w:val="21"/>
                <w:highlight w:val="none"/>
              </w:rPr>
            </w:pPr>
            <w:r>
              <w:rPr>
                <w:rFonts w:hint="eastAsia" w:ascii="仿宋" w:hAnsi="仿宋" w:eastAsia="仿宋" w:cs="宋体"/>
                <w:bCs/>
                <w:color w:val="000000"/>
                <w:kern w:val="0"/>
                <w:szCs w:val="21"/>
                <w:highlight w:val="none"/>
              </w:rPr>
              <w:t>数量</w:t>
            </w:r>
          </w:p>
        </w:tc>
        <w:tc>
          <w:tcPr>
            <w:tcW w:w="103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bCs/>
                <w:color w:val="000000"/>
                <w:kern w:val="0"/>
                <w:szCs w:val="21"/>
                <w:highlight w:val="none"/>
              </w:rPr>
            </w:pPr>
            <w:r>
              <w:rPr>
                <w:rFonts w:hint="eastAsia" w:ascii="仿宋" w:hAnsi="仿宋" w:eastAsia="仿宋" w:cs="宋体"/>
                <w:bCs/>
                <w:color w:val="000000"/>
                <w:kern w:val="0"/>
                <w:szCs w:val="21"/>
                <w:highlight w:val="none"/>
              </w:rPr>
              <w:t>单价(</w:t>
            </w:r>
            <w:r>
              <w:rPr>
                <w:rFonts w:ascii="Calibri" w:hAnsi="Calibri" w:eastAsia="仿宋" w:cs="Calibri"/>
                <w:bCs/>
                <w:color w:val="000000"/>
                <w:kern w:val="0"/>
                <w:szCs w:val="21"/>
                <w:highlight w:val="none"/>
              </w:rPr>
              <w:t>¥</w:t>
            </w:r>
            <w:r>
              <w:rPr>
                <w:rFonts w:hint="eastAsia" w:ascii="仿宋" w:hAnsi="仿宋" w:eastAsia="仿宋" w:cs="宋体"/>
                <w:bCs/>
                <w:color w:val="000000"/>
                <w:kern w:val="0"/>
                <w:szCs w:val="21"/>
                <w:highlight w:val="none"/>
              </w:rPr>
              <w:t>)</w:t>
            </w:r>
          </w:p>
        </w:tc>
        <w:tc>
          <w:tcPr>
            <w:tcW w:w="103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宋体"/>
                <w:bCs/>
                <w:color w:val="000000"/>
                <w:kern w:val="0"/>
                <w:szCs w:val="21"/>
                <w:highlight w:val="none"/>
                <w:lang w:val="en-US" w:eastAsia="zh-CN"/>
              </w:rPr>
            </w:pPr>
            <w:r>
              <w:rPr>
                <w:rFonts w:hint="eastAsia" w:ascii="仿宋" w:hAnsi="仿宋" w:eastAsia="仿宋" w:cs="宋体"/>
                <w:bCs/>
                <w:color w:val="000000"/>
                <w:kern w:val="0"/>
                <w:szCs w:val="21"/>
                <w:highlight w:val="none"/>
                <w:lang w:val="en-US" w:eastAsia="zh-CN"/>
              </w:rPr>
              <w:t>总价</w:t>
            </w:r>
          </w:p>
        </w:tc>
        <w:tc>
          <w:tcPr>
            <w:tcW w:w="102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宋体"/>
                <w:bCs/>
                <w:color w:val="000000"/>
                <w:kern w:val="0"/>
                <w:szCs w:val="21"/>
                <w:highlight w:val="none"/>
              </w:rPr>
            </w:pPr>
            <w:r>
              <w:rPr>
                <w:rFonts w:hint="eastAsia" w:ascii="仿宋" w:hAnsi="仿宋" w:eastAsia="仿宋" w:cs="宋体"/>
                <w:bCs/>
                <w:color w:val="000000"/>
                <w:kern w:val="0"/>
                <w:szCs w:val="21"/>
                <w:highlight w:val="none"/>
              </w:rPr>
              <w:t>备注</w:t>
            </w:r>
          </w:p>
        </w:tc>
      </w:tr>
      <w:tr>
        <w:tblPrEx>
          <w:tblCellMar>
            <w:top w:w="0" w:type="dxa"/>
            <w:left w:w="108" w:type="dxa"/>
            <w:bottom w:w="0" w:type="dxa"/>
            <w:right w:w="108" w:type="dxa"/>
          </w:tblCellMar>
        </w:tblPrEx>
        <w:trPr>
          <w:trHeight w:val="430"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kern w:val="0"/>
                <w:szCs w:val="21"/>
                <w:highlight w:val="none"/>
              </w:rPr>
            </w:pPr>
            <w:r>
              <w:rPr>
                <w:rFonts w:hint="eastAsia" w:ascii="仿宋" w:hAnsi="仿宋" w:eastAsia="仿宋" w:cs="宋体"/>
                <w:kern w:val="0"/>
                <w:szCs w:val="21"/>
                <w:highlight w:val="none"/>
              </w:rPr>
              <w:t>1</w:t>
            </w:r>
          </w:p>
        </w:tc>
        <w:tc>
          <w:tcPr>
            <w:tcW w:w="13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5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77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54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c>
          <w:tcPr>
            <w:tcW w:w="103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c>
          <w:tcPr>
            <w:tcW w:w="1022"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r>
      <w:tr>
        <w:tblPrEx>
          <w:tblCellMar>
            <w:top w:w="0" w:type="dxa"/>
            <w:left w:w="108" w:type="dxa"/>
            <w:bottom w:w="0" w:type="dxa"/>
            <w:right w:w="108" w:type="dxa"/>
          </w:tblCellMar>
        </w:tblPrEx>
        <w:trPr>
          <w:trHeight w:val="430"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kern w:val="0"/>
                <w:szCs w:val="21"/>
                <w:highlight w:val="none"/>
              </w:rPr>
            </w:pPr>
            <w:r>
              <w:rPr>
                <w:rFonts w:hint="eastAsia" w:ascii="仿宋" w:hAnsi="仿宋" w:eastAsia="仿宋" w:cs="宋体"/>
                <w:kern w:val="0"/>
                <w:szCs w:val="21"/>
                <w:highlight w:val="none"/>
              </w:rPr>
              <w:t>2</w:t>
            </w:r>
          </w:p>
        </w:tc>
        <w:tc>
          <w:tcPr>
            <w:tcW w:w="13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5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77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54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c>
          <w:tcPr>
            <w:tcW w:w="103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c>
          <w:tcPr>
            <w:tcW w:w="1022"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r>
      <w:tr>
        <w:tblPrEx>
          <w:tblCellMar>
            <w:top w:w="0" w:type="dxa"/>
            <w:left w:w="108" w:type="dxa"/>
            <w:bottom w:w="0" w:type="dxa"/>
            <w:right w:w="108" w:type="dxa"/>
          </w:tblCellMar>
        </w:tblPrEx>
        <w:trPr>
          <w:trHeight w:val="430"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kern w:val="0"/>
                <w:szCs w:val="21"/>
                <w:highlight w:val="none"/>
              </w:rPr>
            </w:pPr>
            <w:r>
              <w:rPr>
                <w:rFonts w:hint="eastAsia" w:ascii="仿宋" w:hAnsi="仿宋" w:eastAsia="仿宋" w:cs="宋体"/>
                <w:kern w:val="0"/>
                <w:szCs w:val="21"/>
                <w:highlight w:val="none"/>
              </w:rPr>
              <w:t>3</w:t>
            </w:r>
          </w:p>
        </w:tc>
        <w:tc>
          <w:tcPr>
            <w:tcW w:w="13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5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77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szCs w:val="21"/>
                <w:highlight w:val="none"/>
              </w:rPr>
            </w:pPr>
          </w:p>
        </w:tc>
        <w:tc>
          <w:tcPr>
            <w:tcW w:w="54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c>
          <w:tcPr>
            <w:tcW w:w="103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c>
          <w:tcPr>
            <w:tcW w:w="1022"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宋体"/>
                <w:color w:val="000000"/>
                <w:szCs w:val="21"/>
                <w:highlight w:val="none"/>
              </w:rPr>
            </w:pPr>
          </w:p>
        </w:tc>
      </w:tr>
      <w:tr>
        <w:tblPrEx>
          <w:tblCellMar>
            <w:top w:w="0" w:type="dxa"/>
            <w:left w:w="108" w:type="dxa"/>
            <w:bottom w:w="0" w:type="dxa"/>
            <w:right w:w="108" w:type="dxa"/>
          </w:tblCellMar>
        </w:tblPrEx>
        <w:trPr>
          <w:trHeight w:val="672"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 w:hAnsi="仿宋" w:eastAsia="仿宋" w:cs="宋体"/>
                <w:kern w:val="0"/>
                <w:szCs w:val="21"/>
                <w:highlight w:val="none"/>
              </w:rPr>
            </w:pPr>
          </w:p>
        </w:tc>
        <w:tc>
          <w:tcPr>
            <w:tcW w:w="13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5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77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54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szCs w:val="21"/>
                <w:highlight w:val="none"/>
              </w:rPr>
            </w:pPr>
          </w:p>
        </w:tc>
        <w:tc>
          <w:tcPr>
            <w:tcW w:w="103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color w:val="000000"/>
                <w:szCs w:val="21"/>
                <w:highlight w:val="none"/>
              </w:rPr>
            </w:pPr>
          </w:p>
        </w:tc>
        <w:tc>
          <w:tcPr>
            <w:tcW w:w="103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color w:val="000000"/>
                <w:szCs w:val="21"/>
                <w:highlight w:val="none"/>
              </w:rPr>
            </w:pPr>
          </w:p>
        </w:tc>
        <w:tc>
          <w:tcPr>
            <w:tcW w:w="1022"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 w:hAnsi="仿宋" w:eastAsia="仿宋" w:cs="宋体"/>
                <w:color w:val="000000"/>
                <w:szCs w:val="21"/>
                <w:highlight w:val="none"/>
              </w:rPr>
            </w:pPr>
          </w:p>
        </w:tc>
      </w:tr>
    </w:tbl>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bCs/>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 xml:space="preserve">.2 </w:t>
      </w:r>
      <w:r>
        <w:rPr>
          <w:rFonts w:hint="eastAsia" w:ascii="仿宋" w:hAnsi="仿宋" w:eastAsia="仿宋" w:cs="仿宋"/>
          <w:szCs w:val="21"/>
          <w:highlight w:val="none"/>
        </w:rPr>
        <w:t>合同总价为</w:t>
      </w:r>
      <w:r>
        <w:rPr>
          <w:rFonts w:hint="eastAsia" w:ascii="仿宋" w:hAnsi="仿宋" w:eastAsia="仿宋" w:cs="仿宋"/>
          <w:szCs w:val="21"/>
          <w:highlight w:val="none"/>
          <w:u w:val="single"/>
        </w:rPr>
        <w:t>：</w:t>
      </w:r>
      <w:r>
        <w:rPr>
          <w:rFonts w:ascii="Calibri" w:hAnsi="Calibri" w:eastAsia="仿宋" w:cs="Calibri"/>
          <w:b/>
          <w:bCs/>
          <w:szCs w:val="21"/>
          <w:highlight w:val="none"/>
        </w:rPr>
        <w:t>¥</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bCs/>
          <w:szCs w:val="21"/>
          <w:highlight w:val="none"/>
        </w:rPr>
        <w:t>(大写：</w:t>
      </w:r>
      <w:r>
        <w:rPr>
          <w:rFonts w:hint="eastAsia" w:ascii="仿宋" w:hAnsi="仿宋" w:eastAsia="仿宋"/>
          <w:szCs w:val="21"/>
          <w:highlight w:val="none"/>
        </w:rPr>
        <w:t>人民币</w:t>
      </w:r>
      <w:r>
        <w:rPr>
          <w:rFonts w:hint="eastAsia" w:ascii="仿宋" w:hAnsi="仿宋" w:eastAsia="仿宋"/>
          <w:szCs w:val="21"/>
          <w:highlight w:val="none"/>
          <w:u w:val="single"/>
        </w:rPr>
        <w:t xml:space="preserve"> </w:t>
      </w:r>
      <w:r>
        <w:rPr>
          <w:rFonts w:ascii="仿宋" w:hAnsi="仿宋" w:eastAsia="仿宋"/>
          <w:szCs w:val="21"/>
          <w:highlight w:val="none"/>
          <w:u w:val="single"/>
        </w:rPr>
        <w:t xml:space="preserve">       </w:t>
      </w:r>
      <w:r>
        <w:rPr>
          <w:rFonts w:hint="eastAsia" w:ascii="仿宋" w:hAnsi="仿宋" w:eastAsia="仿宋"/>
          <w:bCs/>
          <w:szCs w:val="21"/>
          <w:highlight w:val="none"/>
          <w:u w:val="single"/>
        </w:rPr>
        <w:t>元整)</w:t>
      </w:r>
      <w:r>
        <w:rPr>
          <w:rFonts w:hint="eastAsia" w:ascii="仿宋" w:hAnsi="仿宋" w:eastAsia="仿宋"/>
          <w:bCs/>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cs="仿宋"/>
          <w:szCs w:val="21"/>
          <w:highlight w:val="none"/>
        </w:rPr>
      </w:pPr>
      <w:r>
        <w:rPr>
          <w:rFonts w:hint="eastAsia" w:ascii="仿宋" w:hAnsi="仿宋" w:eastAsia="仿宋" w:cs="仿宋"/>
          <w:szCs w:val="21"/>
          <w:highlight w:val="none"/>
        </w:rPr>
        <w:t>其中：（1）设备/物料类总价：</w:t>
      </w:r>
      <w:r>
        <w:rPr>
          <w:rFonts w:ascii="Calibri" w:hAnsi="Calibri" w:eastAsia="仿宋" w:cs="Calibri"/>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lang w:eastAsia="zh-CN"/>
        </w:rPr>
        <w:t>：</w:t>
      </w:r>
      <w:r>
        <w:rPr>
          <w:rFonts w:hint="eastAsia" w:ascii="仿宋" w:hAnsi="仿宋" w:eastAsia="仿宋" w:cs="仿宋"/>
          <w:szCs w:val="21"/>
          <w:highlight w:val="none"/>
        </w:rPr>
        <w:t xml:space="preserve"> 人民币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元整</w:t>
      </w:r>
      <w:r>
        <w:rPr>
          <w:rFonts w:hint="eastAsia" w:ascii="仿宋" w:hAnsi="仿宋" w:eastAsia="仿宋" w:cs="仿宋"/>
          <w:szCs w:val="21"/>
          <w:highlight w:val="none"/>
          <w:lang w:eastAsia="zh-CN"/>
        </w:rPr>
        <w:t>）</w:t>
      </w:r>
      <w:r>
        <w:rPr>
          <w:rFonts w:hint="eastAsia" w:ascii="仿宋" w:hAnsi="仿宋" w:eastAsia="仿宋" w:cs="仿宋"/>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1050" w:firstLineChars="500"/>
        <w:jc w:val="left"/>
        <w:textAlignment w:val="auto"/>
        <w:outlineLvl w:val="9"/>
        <w:rPr>
          <w:rFonts w:ascii="仿宋" w:hAnsi="仿宋" w:eastAsia="仿宋" w:cs="仿宋"/>
          <w:szCs w:val="21"/>
          <w:highlight w:val="none"/>
        </w:rPr>
      </w:pPr>
      <w:r>
        <w:rPr>
          <w:rFonts w:hint="eastAsia" w:ascii="仿宋" w:hAnsi="仿宋" w:eastAsia="仿宋" w:cs="仿宋"/>
          <w:szCs w:val="21"/>
          <w:highlight w:val="none"/>
        </w:rPr>
        <w:t>（2）相关服务：</w:t>
      </w:r>
      <w:r>
        <w:rPr>
          <w:rFonts w:ascii="Calibri" w:hAnsi="Calibri" w:eastAsia="仿宋" w:cs="Calibri"/>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lang w:eastAsia="zh-CN"/>
        </w:rPr>
        <w:t>：</w:t>
      </w:r>
      <w:r>
        <w:rPr>
          <w:rFonts w:hint="eastAsia" w:ascii="仿宋" w:hAnsi="仿宋" w:eastAsia="仿宋" w:cs="仿宋"/>
          <w:szCs w:val="21"/>
          <w:highlight w:val="none"/>
        </w:rPr>
        <w:t>人民币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元整</w:t>
      </w:r>
      <w:r>
        <w:rPr>
          <w:rFonts w:hint="eastAsia" w:ascii="仿宋" w:hAnsi="仿宋" w:eastAsia="仿宋" w:cs="仿宋"/>
          <w:szCs w:val="21"/>
          <w:highlight w:val="none"/>
          <w:lang w:eastAsia="zh-CN"/>
        </w:rPr>
        <w:t>）</w:t>
      </w:r>
      <w:r>
        <w:rPr>
          <w:rFonts w:hint="eastAsia" w:ascii="仿宋" w:hAnsi="仿宋" w:eastAsia="仿宋" w:cs="仿宋"/>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cs="仿宋"/>
          <w:szCs w:val="21"/>
        </w:rPr>
      </w:pPr>
      <w:r>
        <w:rPr>
          <w:rFonts w:hint="eastAsia" w:ascii="仿宋" w:hAnsi="仿宋" w:eastAsia="仿宋"/>
          <w:bCs/>
          <w:szCs w:val="21"/>
        </w:rPr>
        <w:t>该</w:t>
      </w:r>
      <w:r>
        <w:rPr>
          <w:rFonts w:hint="eastAsia" w:ascii="仿宋" w:hAnsi="仿宋" w:eastAsia="仿宋" w:cs="仿宋"/>
          <w:szCs w:val="21"/>
        </w:rPr>
        <w:t>总价包括原材料费、制作加工费、货物价款、包装费、运输费、保险费、装卸费、安装调试费、文件费、检测费、技术服务费、税费、售后服务费等。除合同另有规定外，甲方不再支付乙方其他费用。</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 xml:space="preserve">.3 </w:t>
      </w:r>
      <w:r>
        <w:rPr>
          <w:rFonts w:hint="eastAsia" w:ascii="仿宋" w:hAnsi="仿宋" w:eastAsia="仿宋" w:cs="仿宋"/>
          <w:szCs w:val="21"/>
        </w:rPr>
        <w:t>乙方应向甲方提供标的物相关服务：指导安装、调试、试运行、售后服务、保期保障等相关服务。</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 xml:space="preserve">.4 </w:t>
      </w:r>
      <w:r>
        <w:rPr>
          <w:rFonts w:hint="eastAsia" w:ascii="仿宋" w:hAnsi="仿宋" w:eastAsia="仿宋" w:cs="仿宋"/>
          <w:szCs w:val="21"/>
        </w:rPr>
        <w:t>乙方同意甲方在本合同签订后，有权根据自身需要增减相关货物，最终根据甲方实际采购量结算。</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rPr>
        <w:t>2.交货期限、交货地点</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    2.1 交货地点：除甲方特别指定地点外，交货地为：广州白云国际机场。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ascii="仿宋" w:hAnsi="仿宋" w:eastAsia="仿宋" w:cs="仿宋"/>
          <w:szCs w:val="21"/>
          <w:highlight w:val="none"/>
        </w:rPr>
      </w:pPr>
      <w:r>
        <w:rPr>
          <w:rFonts w:hint="eastAsia" w:ascii="仿宋" w:hAnsi="仿宋" w:eastAsia="仿宋" w:cs="仿宋"/>
          <w:szCs w:val="21"/>
          <w:highlight w:val="none"/>
        </w:rPr>
        <w:t>2.2</w:t>
      </w:r>
      <w:r>
        <w:rPr>
          <w:rFonts w:ascii="仿宋" w:hAnsi="仿宋" w:eastAsia="仿宋" w:cs="仿宋"/>
          <w:szCs w:val="21"/>
          <w:highlight w:val="none"/>
        </w:rPr>
        <w:t xml:space="preserve"> </w:t>
      </w:r>
      <w:r>
        <w:rPr>
          <w:rFonts w:hint="eastAsia" w:ascii="仿宋" w:hAnsi="仿宋" w:eastAsia="仿宋" w:cs="仿宋"/>
          <w:szCs w:val="21"/>
          <w:highlight w:val="none"/>
        </w:rPr>
        <w:t>到货方式及时间：双方协商一致，按照以下</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方式交货：</w:t>
      </w:r>
    </w:p>
    <w:p>
      <w:pPr>
        <w:keepNext w:val="0"/>
        <w:keepLines w:val="0"/>
        <w:pageBreakBefore w:val="0"/>
        <w:kinsoku/>
        <w:wordWrap/>
        <w:overflowPunct/>
        <w:topLinePunct w:val="0"/>
        <w:autoSpaceDE/>
        <w:autoSpaceDN/>
        <w:bidi w:val="0"/>
        <w:adjustRightInd/>
        <w:snapToGrid/>
        <w:spacing w:line="440" w:lineRule="exact"/>
        <w:ind w:firstLine="840" w:firstLineChars="400"/>
        <w:textAlignment w:val="auto"/>
        <w:outlineLvl w:val="9"/>
        <w:rPr>
          <w:rFonts w:ascii="仿宋" w:hAnsi="仿宋" w:eastAsia="仿宋" w:cs="仿宋"/>
          <w:szCs w:val="21"/>
          <w:highlight w:val="none"/>
        </w:rPr>
      </w:pPr>
      <w:r>
        <w:rPr>
          <w:rFonts w:hint="eastAsia" w:ascii="仿宋" w:hAnsi="仿宋" w:eastAsia="仿宋" w:cs="仿宋"/>
          <w:szCs w:val="21"/>
          <w:highlight w:val="none"/>
        </w:rPr>
        <w:t>2</w:t>
      </w:r>
      <w:r>
        <w:rPr>
          <w:rFonts w:ascii="仿宋" w:hAnsi="仿宋" w:eastAsia="仿宋" w:cs="仿宋"/>
          <w:szCs w:val="21"/>
          <w:highlight w:val="none"/>
        </w:rPr>
        <w:t>.2</w:t>
      </w:r>
      <w:r>
        <w:rPr>
          <w:rFonts w:hint="eastAsia" w:ascii="仿宋" w:hAnsi="仿宋" w:eastAsia="仿宋" w:cs="仿宋"/>
          <w:szCs w:val="21"/>
          <w:highlight w:val="none"/>
        </w:rPr>
        <w:t>.</w:t>
      </w:r>
      <w:r>
        <w:rPr>
          <w:rFonts w:ascii="仿宋" w:hAnsi="仿宋" w:eastAsia="仿宋" w:cs="仿宋"/>
          <w:szCs w:val="21"/>
          <w:highlight w:val="none"/>
        </w:rPr>
        <w:t xml:space="preserve">1 </w:t>
      </w:r>
      <w:r>
        <w:rPr>
          <w:rFonts w:hint="eastAsia" w:ascii="仿宋" w:hAnsi="仿宋" w:eastAsia="仿宋" w:cs="仿宋"/>
          <w:szCs w:val="21"/>
          <w:highlight w:val="none"/>
        </w:rPr>
        <w:t xml:space="preserve">一次性全部到货：合同签订后 </w:t>
      </w:r>
      <w:r>
        <w:rPr>
          <w:rFonts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30</w:t>
      </w:r>
      <w:r>
        <w:rPr>
          <w:rFonts w:ascii="仿宋" w:hAnsi="仿宋" w:eastAsia="仿宋" w:cs="仿宋"/>
          <w:szCs w:val="21"/>
          <w:highlight w:val="none"/>
          <w:u w:val="single"/>
        </w:rPr>
        <w:t xml:space="preserve"> </w:t>
      </w:r>
      <w:r>
        <w:rPr>
          <w:rFonts w:hint="eastAsia" w:ascii="仿宋" w:hAnsi="仿宋" w:eastAsia="仿宋" w:cs="仿宋"/>
          <w:szCs w:val="21"/>
          <w:highlight w:val="none"/>
        </w:rPr>
        <w:t xml:space="preserve"> 日内到货；</w:t>
      </w:r>
    </w:p>
    <w:p>
      <w:pPr>
        <w:keepNext w:val="0"/>
        <w:keepLines w:val="0"/>
        <w:pageBreakBefore w:val="0"/>
        <w:kinsoku/>
        <w:wordWrap/>
        <w:overflowPunct/>
        <w:topLinePunct w:val="0"/>
        <w:autoSpaceDE/>
        <w:autoSpaceDN/>
        <w:bidi w:val="0"/>
        <w:adjustRightInd/>
        <w:snapToGrid/>
        <w:spacing w:line="440" w:lineRule="exact"/>
        <w:ind w:firstLine="840" w:firstLineChars="400"/>
        <w:textAlignment w:val="auto"/>
        <w:outlineLvl w:val="9"/>
        <w:rPr>
          <w:rFonts w:hint="eastAsia" w:ascii="仿宋" w:hAnsi="仿宋" w:eastAsia="仿宋" w:cs="仿宋"/>
          <w:szCs w:val="21"/>
          <w:highlight w:val="none"/>
        </w:rPr>
      </w:pPr>
      <w:r>
        <w:rPr>
          <w:rFonts w:hint="eastAsia" w:ascii="仿宋" w:hAnsi="仿宋" w:eastAsia="仿宋" w:cs="仿宋"/>
          <w:szCs w:val="21"/>
        </w:rPr>
        <w:t>2</w:t>
      </w:r>
      <w:r>
        <w:rPr>
          <w:rFonts w:ascii="仿宋" w:hAnsi="仿宋" w:eastAsia="仿宋" w:cs="仿宋"/>
          <w:szCs w:val="21"/>
        </w:rPr>
        <w:t xml:space="preserve">.2.2 </w:t>
      </w:r>
      <w:r>
        <w:rPr>
          <w:rFonts w:hint="eastAsia" w:ascii="仿宋" w:hAnsi="仿宋" w:eastAsia="仿宋" w:cs="仿宋"/>
          <w:szCs w:val="21"/>
        </w:rPr>
        <w:t>分批交货：具体交货时间、数量依甲方另行指</w:t>
      </w:r>
      <w:r>
        <w:rPr>
          <w:rFonts w:hint="eastAsia" w:ascii="仿宋" w:hAnsi="仿宋" w:eastAsia="仿宋" w:cs="仿宋"/>
          <w:szCs w:val="21"/>
          <w:highlight w:val="none"/>
        </w:rPr>
        <w:t>令。</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ascii="仿宋" w:hAnsi="仿宋" w:eastAsia="仿宋" w:cs="仿宋"/>
          <w:szCs w:val="21"/>
          <w:highlight w:val="none"/>
        </w:rPr>
        <w:t xml:space="preserve">2.3 </w:t>
      </w:r>
      <w:r>
        <w:rPr>
          <w:rFonts w:hint="eastAsia" w:ascii="仿宋" w:hAnsi="仿宋" w:eastAsia="仿宋" w:cs="仿宋"/>
          <w:szCs w:val="21"/>
          <w:highlight w:val="none"/>
        </w:rPr>
        <w:t>甲方货物签收人及联系方式</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u w:val="single"/>
        </w:rPr>
        <w:t>（乙</w:t>
      </w:r>
      <w:r>
        <w:rPr>
          <w:rFonts w:hint="eastAsia" w:ascii="仿宋" w:hAnsi="仿宋" w:eastAsia="仿宋" w:cs="仿宋"/>
          <w:szCs w:val="21"/>
        </w:rPr>
        <w:t>方发货前请务必与该货物签收人确认是否发货，未提前确认收货条件的，甲方有权拒收）。甲方货物签收人的签收仅视为数量无异议及外观无缺损，不视为验收合格，也不视为乙方交货的货物质量合格。</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3.包装、装运和运输</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3.1包装必须与运输方式相适应，包装方式的确定及包装费用均由乙方负责；由于不适当的包装而造成货物在运输过程中损坏的由乙方负责。</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3.2包装应足以承受整个过程中的运输、转运、装卸、储存等，充分考虑到运输途中的各种情况（如暴露于恶劣气候等）和广州地区气候特点，以及露天存放的需要。</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3.3 因乙方或乙方相关人员在运输、装卸货物的过程中受到损害或致人损害的，乙方应承担相应的责任，与甲方无关。</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rPr>
      </w:pPr>
      <w:r>
        <w:rPr>
          <w:rFonts w:hint="eastAsia" w:ascii="仿宋" w:hAnsi="仿宋" w:eastAsia="仿宋" w:cs="仿宋"/>
          <w:b/>
          <w:bCs/>
          <w:sz w:val="24"/>
        </w:rPr>
        <w:t>4.验收</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4.1货物运抵交付现场后</w:t>
      </w:r>
      <w:r>
        <w:rPr>
          <w:rFonts w:ascii="仿宋" w:hAnsi="仿宋" w:eastAsia="仿宋" w:cs="仿宋"/>
          <w:szCs w:val="21"/>
          <w:highlight w:val="none"/>
        </w:rPr>
        <w:t>5</w:t>
      </w:r>
      <w:r>
        <w:rPr>
          <w:rFonts w:hint="eastAsia" w:ascii="仿宋" w:hAnsi="仿宋" w:eastAsia="仿宋" w:cs="仿宋"/>
          <w:szCs w:val="21"/>
          <w:highlight w:val="none"/>
        </w:rPr>
        <w:t>个工作日内，甲方需对设备的型号、规格、数量进行清点，清点结果满足合同要求后，甲方签署《物</w:t>
      </w:r>
      <w:r>
        <w:rPr>
          <w:rFonts w:hint="eastAsia" w:ascii="仿宋" w:hAnsi="仿宋" w:eastAsia="仿宋" w:cs="仿宋"/>
          <w:szCs w:val="21"/>
          <w:highlight w:val="none"/>
          <w:lang w:eastAsia="zh-CN"/>
        </w:rPr>
        <w:t>资</w:t>
      </w:r>
      <w:r>
        <w:rPr>
          <w:rFonts w:hint="eastAsia" w:ascii="仿宋" w:hAnsi="仿宋" w:eastAsia="仿宋" w:cs="仿宋"/>
          <w:szCs w:val="21"/>
          <w:highlight w:val="none"/>
        </w:rPr>
        <w:t>入库验收单》，清点结果不满足合同要求，双方对不符之处进行记载，不符合要求的货物，甲方有权当场退回或者要求乙方在5个工作日内进行更换。如不符合要求的货物达到该笔订单总数三分之一的，甲方有权拒绝接收全部货物，因此导致甲方延迟使用的，甲方有权按延期交货索赔。</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4.2 《物</w:t>
      </w:r>
      <w:r>
        <w:rPr>
          <w:rFonts w:hint="eastAsia" w:ascii="仿宋" w:hAnsi="仿宋" w:eastAsia="仿宋" w:cs="仿宋"/>
          <w:szCs w:val="21"/>
          <w:highlight w:val="none"/>
          <w:lang w:eastAsia="zh-CN"/>
        </w:rPr>
        <w:t>资</w:t>
      </w:r>
      <w:r>
        <w:rPr>
          <w:rFonts w:hint="eastAsia" w:ascii="仿宋" w:hAnsi="仿宋" w:eastAsia="仿宋" w:cs="仿宋"/>
          <w:szCs w:val="21"/>
          <w:highlight w:val="none"/>
        </w:rPr>
        <w:t>入库验收单》仅限于对设备数量、外观、初步检测的验收，不对在短时间较难发现的质量问题进行验收。对于较难发现的属于固有质量瑕疵的货物，甲方在使用过程中发现的，可退货或要求乙方进行更换、免费维修。</w:t>
      </w:r>
      <w:r>
        <w:rPr>
          <w:rFonts w:ascii="仿宋" w:hAnsi="仿宋" w:eastAsia="仿宋" w:cs="仿宋"/>
          <w:szCs w:val="21"/>
          <w:highlight w:val="none"/>
        </w:rPr>
        <w:t>设备类货物</w:t>
      </w:r>
      <w:r>
        <w:rPr>
          <w:rFonts w:hint="eastAsia" w:ascii="仿宋" w:hAnsi="仿宋" w:eastAsia="仿宋" w:cs="仿宋"/>
          <w:szCs w:val="21"/>
          <w:highlight w:val="none"/>
        </w:rPr>
        <w:t>需</w:t>
      </w:r>
      <w:r>
        <w:rPr>
          <w:rFonts w:ascii="仿宋" w:hAnsi="仿宋" w:eastAsia="仿宋" w:cs="仿宋"/>
          <w:szCs w:val="21"/>
          <w:highlight w:val="none"/>
        </w:rPr>
        <w:t>安装</w:t>
      </w:r>
      <w:r>
        <w:rPr>
          <w:rFonts w:hint="eastAsia" w:ascii="仿宋" w:hAnsi="仿宋" w:eastAsia="仿宋" w:cs="仿宋"/>
          <w:szCs w:val="21"/>
          <w:highlight w:val="none"/>
        </w:rPr>
        <w:t>调试</w:t>
      </w:r>
      <w:r>
        <w:rPr>
          <w:rFonts w:ascii="仿宋" w:hAnsi="仿宋" w:eastAsia="仿宋" w:cs="仿宋"/>
          <w:szCs w:val="21"/>
          <w:highlight w:val="none"/>
        </w:rPr>
        <w:t>的，乙方</w:t>
      </w:r>
      <w:r>
        <w:rPr>
          <w:rFonts w:hint="eastAsia" w:ascii="仿宋" w:hAnsi="仿宋" w:eastAsia="仿宋" w:cs="仿宋"/>
          <w:szCs w:val="21"/>
          <w:highlight w:val="none"/>
        </w:rPr>
        <w:t>完工</w:t>
      </w:r>
      <w:r>
        <w:rPr>
          <w:rFonts w:ascii="仿宋" w:hAnsi="仿宋" w:eastAsia="仿宋" w:cs="仿宋"/>
          <w:szCs w:val="21"/>
          <w:highlight w:val="none"/>
        </w:rPr>
        <w:t>后提交验收申请，甲方</w:t>
      </w:r>
      <w:r>
        <w:rPr>
          <w:rFonts w:hint="eastAsia" w:ascii="仿宋" w:hAnsi="仿宋" w:eastAsia="仿宋" w:cs="仿宋"/>
          <w:szCs w:val="21"/>
          <w:highlight w:val="none"/>
        </w:rPr>
        <w:t>应</w:t>
      </w:r>
      <w:r>
        <w:rPr>
          <w:rFonts w:ascii="仿宋" w:hAnsi="仿宋" w:eastAsia="仿宋" w:cs="仿宋"/>
          <w:szCs w:val="21"/>
          <w:highlight w:val="none"/>
        </w:rPr>
        <w:t>及时进行验收，</w:t>
      </w:r>
      <w:r>
        <w:rPr>
          <w:rFonts w:hint="eastAsia" w:ascii="仿宋" w:hAnsi="仿宋" w:eastAsia="仿宋" w:cs="仿宋"/>
          <w:szCs w:val="21"/>
          <w:highlight w:val="none"/>
        </w:rPr>
        <w:t>验收</w:t>
      </w:r>
      <w:r>
        <w:rPr>
          <w:rFonts w:ascii="仿宋" w:hAnsi="仿宋" w:eastAsia="仿宋" w:cs="仿宋"/>
          <w:szCs w:val="21"/>
          <w:highlight w:val="none"/>
        </w:rPr>
        <w:t>合格的</w:t>
      </w:r>
      <w:r>
        <w:rPr>
          <w:rFonts w:hint="eastAsia" w:ascii="仿宋" w:hAnsi="仿宋" w:eastAsia="仿宋" w:cs="仿宋"/>
          <w:szCs w:val="21"/>
          <w:highlight w:val="none"/>
        </w:rPr>
        <w:t>出具</w:t>
      </w:r>
      <w:r>
        <w:rPr>
          <w:rFonts w:ascii="仿宋" w:hAnsi="仿宋" w:eastAsia="仿宋" w:cs="仿宋"/>
          <w:szCs w:val="21"/>
          <w:highlight w:val="none"/>
        </w:rPr>
        <w:t>《</w:t>
      </w:r>
      <w:r>
        <w:rPr>
          <w:rFonts w:hint="eastAsia" w:ascii="仿宋" w:hAnsi="仿宋" w:eastAsia="仿宋" w:cs="仿宋"/>
          <w:szCs w:val="21"/>
          <w:highlight w:val="none"/>
        </w:rPr>
        <w:t>验收报告</w:t>
      </w:r>
      <w:r>
        <w:rPr>
          <w:rFonts w:ascii="仿宋" w:hAnsi="仿宋" w:eastAsia="仿宋" w:cs="仿宋"/>
          <w:szCs w:val="21"/>
          <w:highlight w:val="none"/>
        </w:rPr>
        <w:t>》</w:t>
      </w:r>
      <w:r>
        <w:rPr>
          <w:rFonts w:hint="eastAsia" w:ascii="仿宋" w:hAnsi="仿宋" w:eastAsia="仿宋" w:cs="仿宋"/>
          <w:szCs w:val="21"/>
          <w:highlight w:val="none"/>
        </w:rPr>
        <w:t>，该报告经甲方签字盖章后生效，</w:t>
      </w:r>
      <w:r>
        <w:rPr>
          <w:rFonts w:ascii="仿宋" w:hAnsi="仿宋" w:eastAsia="仿宋" w:cs="仿宋"/>
          <w:szCs w:val="21"/>
          <w:highlight w:val="none"/>
        </w:rPr>
        <w:t>为验收</w:t>
      </w:r>
      <w:r>
        <w:rPr>
          <w:rFonts w:hint="eastAsia" w:ascii="仿宋" w:hAnsi="仿宋" w:eastAsia="仿宋" w:cs="仿宋"/>
          <w:szCs w:val="21"/>
          <w:highlight w:val="none"/>
        </w:rPr>
        <w:t>合格</w:t>
      </w:r>
      <w:r>
        <w:rPr>
          <w:rFonts w:ascii="仿宋" w:hAnsi="仿宋" w:eastAsia="仿宋" w:cs="仿宋"/>
          <w:szCs w:val="21"/>
          <w:highlight w:val="none"/>
        </w:rPr>
        <w:t>的唯一凭证</w:t>
      </w:r>
      <w:r>
        <w:rPr>
          <w:rFonts w:hint="eastAsia" w:ascii="仿宋" w:hAnsi="仿宋" w:eastAsia="仿宋" w:cs="仿宋"/>
          <w:szCs w:val="21"/>
          <w:highlight w:val="none"/>
        </w:rPr>
        <w:t>。</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cs="仿宋"/>
          <w:szCs w:val="21"/>
          <w:highlight w:val="none"/>
        </w:rPr>
      </w:pPr>
      <w:r>
        <w:rPr>
          <w:rFonts w:hint="eastAsia" w:ascii="仿宋" w:hAnsi="仿宋" w:eastAsia="仿宋" w:cs="仿宋"/>
          <w:szCs w:val="21"/>
          <w:highlight w:val="none"/>
        </w:rPr>
        <w:t>4.3</w:t>
      </w:r>
      <w:r>
        <w:rPr>
          <w:rFonts w:hint="eastAsia" w:ascii="仿宋" w:hAnsi="仿宋" w:eastAsia="仿宋"/>
          <w:szCs w:val="21"/>
          <w:highlight w:val="none"/>
        </w:rPr>
        <w:t>验收由甲方负责组织，乙方负责协助。用户对验收的程序和标准有要求的以用户的要求为准，验收结论以用户的结论为准；用户对验收的程序和标准没有要求的，以甲方的要求为准。甲方组织用户或上级主管部门进行三方验收。</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4.4货物为设备的，由乙方负责安装调试，乙方需保障设备运行正常。否则甲方有权延迟付款或要求乙方返还相当于合同总价款10%的安装调试费用。</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rPr>
      </w:pPr>
      <w:r>
        <w:rPr>
          <w:rFonts w:hint="eastAsia" w:ascii="仿宋" w:hAnsi="仿宋" w:eastAsia="仿宋" w:cs="仿宋"/>
          <w:szCs w:val="21"/>
        </w:rPr>
        <w:t>4</w:t>
      </w:r>
      <w:r>
        <w:rPr>
          <w:rFonts w:ascii="仿宋" w:hAnsi="仿宋" w:eastAsia="仿宋" w:cs="仿宋"/>
          <w:szCs w:val="21"/>
        </w:rPr>
        <w:t xml:space="preserve">.5 </w:t>
      </w:r>
      <w:r>
        <w:rPr>
          <w:rFonts w:hint="eastAsia" w:ascii="仿宋" w:hAnsi="仿宋" w:eastAsia="仿宋" w:cs="仿宋"/>
          <w:szCs w:val="21"/>
        </w:rPr>
        <w:t>在甲方提出要求的情况下，乙方应为甲方或甲方指定的第三方提供必要的技术培训服务，以使甲方或第三方能够正常使用相关货物。</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5.结算及付款方式</w:t>
      </w:r>
    </w:p>
    <w:p>
      <w:pPr>
        <w:keepNext w:val="0"/>
        <w:keepLines w:val="0"/>
        <w:pageBreakBefore w:val="0"/>
        <w:kinsoku/>
        <w:wordWrap/>
        <w:overflowPunct/>
        <w:topLinePunct w:val="0"/>
        <w:autoSpaceDE/>
        <w:autoSpaceDN/>
        <w:bidi w:val="0"/>
        <w:adjustRightInd/>
        <w:snapToGrid/>
        <w:spacing w:line="440" w:lineRule="exact"/>
        <w:ind w:left="105" w:leftChars="50" w:firstLine="420" w:firstLineChars="200"/>
        <w:jc w:val="left"/>
        <w:textAlignment w:val="auto"/>
        <w:outlineLvl w:val="9"/>
        <w:rPr>
          <w:rFonts w:ascii="仿宋" w:hAnsi="仿宋" w:eastAsia="仿宋" w:cs="仿宋"/>
          <w:szCs w:val="21"/>
          <w:highlight w:val="none"/>
        </w:rPr>
      </w:pPr>
      <w:r>
        <w:rPr>
          <w:rFonts w:hint="eastAsia" w:ascii="仿宋" w:hAnsi="仿宋" w:eastAsia="仿宋" w:cs="仿宋"/>
          <w:szCs w:val="21"/>
        </w:rPr>
        <w:t>5.1甲乙双方协商一致，按照以</w:t>
      </w:r>
      <w:r>
        <w:rPr>
          <w:rFonts w:hint="eastAsia" w:ascii="仿宋" w:hAnsi="仿宋" w:eastAsia="仿宋" w:cs="仿宋"/>
          <w:szCs w:val="21"/>
          <w:highlight w:val="none"/>
        </w:rPr>
        <w:t>下第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5.1.1</w:t>
      </w:r>
      <w:r>
        <w:rPr>
          <w:rFonts w:ascii="仿宋" w:hAnsi="仿宋" w:eastAsia="仿宋" w:cs="仿宋"/>
          <w:szCs w:val="21"/>
          <w:highlight w:val="none"/>
          <w:u w:val="single"/>
        </w:rPr>
        <w:t xml:space="preserve">    </w:t>
      </w:r>
      <w:r>
        <w:rPr>
          <w:rFonts w:hint="eastAsia" w:ascii="仿宋" w:hAnsi="仿宋" w:eastAsia="仿宋" w:cs="仿宋"/>
          <w:szCs w:val="21"/>
          <w:highlight w:val="none"/>
        </w:rPr>
        <w:t>方式付款：</w:t>
      </w:r>
    </w:p>
    <w:p>
      <w:pPr>
        <w:keepNext w:val="0"/>
        <w:keepLines w:val="0"/>
        <w:pageBreakBefore w:val="0"/>
        <w:kinsoku/>
        <w:wordWrap/>
        <w:overflowPunct/>
        <w:topLinePunct w:val="0"/>
        <w:autoSpaceDE/>
        <w:autoSpaceDN/>
        <w:bidi w:val="0"/>
        <w:adjustRightInd/>
        <w:snapToGrid/>
        <w:spacing w:line="440" w:lineRule="exact"/>
        <w:ind w:left="105" w:leftChars="50" w:firstLine="840" w:firstLineChars="400"/>
        <w:jc w:val="left"/>
        <w:textAlignment w:val="auto"/>
        <w:outlineLvl w:val="9"/>
        <w:rPr>
          <w:rFonts w:ascii="仿宋" w:hAnsi="仿宋" w:eastAsia="仿宋" w:cs="仿宋"/>
          <w:szCs w:val="21"/>
          <w:highlight w:val="none"/>
        </w:rPr>
      </w:pPr>
      <w:r>
        <w:rPr>
          <w:rFonts w:hint="eastAsia" w:ascii="仿宋" w:hAnsi="仿宋" w:eastAsia="仿宋" w:cs="仿宋"/>
          <w:szCs w:val="21"/>
          <w:highlight w:val="none"/>
        </w:rPr>
        <w:t>5</w:t>
      </w:r>
      <w:r>
        <w:rPr>
          <w:rFonts w:ascii="仿宋" w:hAnsi="仿宋" w:eastAsia="仿宋" w:cs="仿宋"/>
          <w:szCs w:val="21"/>
          <w:highlight w:val="none"/>
        </w:rPr>
        <w:t>.1.1</w:t>
      </w:r>
      <w:r>
        <w:rPr>
          <w:rFonts w:hint="eastAsia" w:ascii="仿宋" w:hAnsi="仿宋" w:eastAsia="仿宋" w:cs="仿宋"/>
          <w:szCs w:val="21"/>
          <w:highlight w:val="none"/>
        </w:rPr>
        <w:t>货到付款。货物全部到货且甲方验收合格后甲方签署《物资验收单》，且在收到乙方开具</w:t>
      </w:r>
      <w:r>
        <w:rPr>
          <w:rFonts w:hint="eastAsia" w:ascii="仿宋" w:hAnsi="仿宋" w:eastAsia="仿宋" w:cs="仿宋"/>
          <w:szCs w:val="21"/>
          <w:highlight w:val="none"/>
          <w:lang w:val="en-US" w:eastAsia="zh-CN"/>
        </w:rPr>
        <w:t>全额</w:t>
      </w:r>
      <w:r>
        <w:rPr>
          <w:rFonts w:hint="eastAsia" w:ascii="仿宋" w:hAnsi="仿宋" w:eastAsia="仿宋" w:cs="仿宋"/>
          <w:szCs w:val="21"/>
          <w:highlight w:val="none"/>
        </w:rPr>
        <w:t>增值税专用发票后</w:t>
      </w:r>
      <w:r>
        <w:rPr>
          <w:rFonts w:ascii="仿宋" w:hAnsi="仿宋" w:eastAsia="仿宋" w:cs="仿宋"/>
          <w:szCs w:val="21"/>
          <w:highlight w:val="none"/>
          <w:u w:val="single"/>
        </w:rPr>
        <w:t>30</w:t>
      </w:r>
      <w:r>
        <w:rPr>
          <w:rFonts w:hint="eastAsia" w:ascii="仿宋" w:hAnsi="仿宋" w:eastAsia="仿宋" w:cs="仿宋"/>
          <w:szCs w:val="21"/>
          <w:highlight w:val="none"/>
        </w:rPr>
        <w:t>个工作日内，甲方向乙方支付总货款</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95</w:t>
      </w:r>
      <w:r>
        <w:rPr>
          <w:rFonts w:ascii="仿宋" w:hAnsi="仿宋" w:eastAsia="仿宋" w:cs="仿宋"/>
          <w:szCs w:val="21"/>
          <w:highlight w:val="none"/>
          <w:u w:val="single"/>
        </w:rPr>
        <w:t xml:space="preserve"> </w:t>
      </w:r>
      <w:r>
        <w:rPr>
          <w:rFonts w:hint="eastAsia" w:ascii="仿宋" w:hAnsi="仿宋" w:eastAsia="仿宋" w:cs="仿宋"/>
          <w:szCs w:val="21"/>
          <w:highlight w:val="none"/>
        </w:rPr>
        <w:t>%，即</w:t>
      </w:r>
      <w:r>
        <w:rPr>
          <w:rFonts w:ascii="Calibri" w:hAnsi="Calibri" w:eastAsia="仿宋" w:cs="Calibri"/>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lang w:eastAsia="zh-CN"/>
        </w:rPr>
        <w:t>：</w:t>
      </w:r>
      <w:r>
        <w:rPr>
          <w:rFonts w:hint="eastAsia" w:ascii="仿宋" w:hAnsi="仿宋" w:eastAsia="仿宋" w:cs="仿宋"/>
          <w:szCs w:val="21"/>
          <w:highlight w:val="none"/>
        </w:rPr>
        <w:t xml:space="preserve"> 人民币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元整</w:t>
      </w:r>
      <w:r>
        <w:rPr>
          <w:rFonts w:hint="eastAsia" w:ascii="仿宋" w:hAnsi="仿宋" w:eastAsia="仿宋" w:cs="仿宋"/>
          <w:szCs w:val="21"/>
          <w:highlight w:val="none"/>
          <w:lang w:eastAsia="zh-CN"/>
        </w:rPr>
        <w:t>）</w:t>
      </w:r>
      <w:r>
        <w:rPr>
          <w:rFonts w:hint="eastAsia" w:ascii="仿宋" w:hAnsi="仿宋" w:eastAsia="仿宋" w:cs="仿宋"/>
          <w:szCs w:val="21"/>
          <w:highlight w:val="none"/>
        </w:rPr>
        <w:t>；剩余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5</w:t>
      </w:r>
      <w:r>
        <w:rPr>
          <w:rFonts w:ascii="仿宋" w:hAnsi="仿宋" w:eastAsia="仿宋" w:cs="仿宋"/>
          <w:szCs w:val="21"/>
          <w:highlight w:val="none"/>
          <w:u w:val="single"/>
        </w:rPr>
        <w:t xml:space="preserve">  </w:t>
      </w:r>
      <w:r>
        <w:rPr>
          <w:rFonts w:hint="eastAsia" w:ascii="仿宋" w:hAnsi="仿宋" w:eastAsia="仿宋" w:cs="仿宋"/>
          <w:szCs w:val="21"/>
          <w:highlight w:val="none"/>
        </w:rPr>
        <w:t>%作为质保金，</w:t>
      </w:r>
      <w:r>
        <w:rPr>
          <w:rFonts w:hint="eastAsia" w:ascii="仿宋" w:hAnsi="仿宋" w:eastAsia="仿宋" w:cs="仿宋"/>
          <w:szCs w:val="21"/>
          <w:highlight w:val="none"/>
          <w:lang w:val="en-US" w:eastAsia="zh-CN"/>
        </w:rPr>
        <w:t>即</w:t>
      </w:r>
      <w:r>
        <w:rPr>
          <w:rFonts w:ascii="Calibri" w:hAnsi="Calibri" w:eastAsia="仿宋" w:cs="Calibri"/>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lang w:eastAsia="zh-CN"/>
        </w:rPr>
        <w:t>：</w:t>
      </w:r>
      <w:r>
        <w:rPr>
          <w:rFonts w:hint="eastAsia" w:ascii="仿宋" w:hAnsi="仿宋" w:eastAsia="仿宋" w:cs="仿宋"/>
          <w:szCs w:val="21"/>
          <w:highlight w:val="none"/>
        </w:rPr>
        <w:t xml:space="preserve"> 人民币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元整</w:t>
      </w:r>
      <w:r>
        <w:rPr>
          <w:rFonts w:hint="eastAsia" w:ascii="仿宋" w:hAnsi="仿宋" w:eastAsia="仿宋" w:cs="仿宋"/>
          <w:szCs w:val="21"/>
          <w:highlight w:val="none"/>
          <w:lang w:eastAsia="zh-CN"/>
        </w:rPr>
        <w:t>）</w:t>
      </w:r>
      <w:r>
        <w:rPr>
          <w:rFonts w:hint="eastAsia" w:ascii="仿宋" w:hAnsi="仿宋" w:eastAsia="仿宋" w:cs="仿宋"/>
          <w:szCs w:val="21"/>
          <w:highlight w:val="none"/>
        </w:rPr>
        <w:t>甲方在质保期届满后货物无任何质量问题且乙方无任何违约行为的情况下，</w:t>
      </w:r>
      <w:r>
        <w:rPr>
          <w:rFonts w:ascii="仿宋" w:hAnsi="仿宋" w:eastAsia="仿宋" w:cs="仿宋"/>
          <w:szCs w:val="21"/>
          <w:highlight w:val="none"/>
        </w:rPr>
        <w:t>15</w:t>
      </w:r>
      <w:r>
        <w:rPr>
          <w:rFonts w:hint="eastAsia" w:ascii="仿宋" w:hAnsi="仿宋" w:eastAsia="仿宋" w:cs="仿宋"/>
          <w:szCs w:val="21"/>
          <w:highlight w:val="none"/>
        </w:rPr>
        <w:t>个工作日内一次性无息退还。如有部分货物退回的，按实际收货金额结算。</w:t>
      </w:r>
    </w:p>
    <w:p>
      <w:pPr>
        <w:keepNext w:val="0"/>
        <w:keepLines w:val="0"/>
        <w:pageBreakBefore w:val="0"/>
        <w:kinsoku/>
        <w:wordWrap/>
        <w:overflowPunct/>
        <w:topLinePunct w:val="0"/>
        <w:autoSpaceDE/>
        <w:autoSpaceDN/>
        <w:bidi w:val="0"/>
        <w:adjustRightInd/>
        <w:snapToGrid/>
        <w:spacing w:line="440" w:lineRule="exact"/>
        <w:ind w:left="105" w:leftChars="50" w:firstLine="840" w:firstLineChars="400"/>
        <w:jc w:val="left"/>
        <w:textAlignment w:val="auto"/>
        <w:outlineLvl w:val="9"/>
        <w:rPr>
          <w:rFonts w:ascii="仿宋" w:hAnsi="仿宋" w:eastAsia="仿宋" w:cs="仿宋"/>
          <w:szCs w:val="21"/>
          <w:highlight w:val="none"/>
        </w:rPr>
      </w:pPr>
      <w:r>
        <w:rPr>
          <w:rFonts w:hint="eastAsia" w:ascii="仿宋" w:hAnsi="仿宋" w:eastAsia="仿宋" w:cs="仿宋"/>
          <w:szCs w:val="21"/>
          <w:highlight w:val="none"/>
        </w:rPr>
        <w:t>5</w:t>
      </w:r>
      <w:r>
        <w:rPr>
          <w:rFonts w:ascii="仿宋" w:hAnsi="仿宋" w:eastAsia="仿宋" w:cs="仿宋"/>
          <w:szCs w:val="21"/>
          <w:highlight w:val="none"/>
        </w:rPr>
        <w:t xml:space="preserve">.1.2 </w:t>
      </w:r>
      <w:r>
        <w:rPr>
          <w:rFonts w:hint="eastAsia" w:ascii="仿宋" w:hAnsi="仿宋" w:eastAsia="仿宋" w:cs="仿宋"/>
          <w:szCs w:val="21"/>
          <w:highlight w:val="none"/>
        </w:rPr>
        <w:t>甲方采购的货物需要乙方现场技术指导及安装调试、试运行的，甲方在合同生效后</w:t>
      </w:r>
      <w:r>
        <w:rPr>
          <w:rFonts w:hint="eastAsia" w:ascii="仿宋" w:hAnsi="仿宋" w:eastAsia="仿宋" w:cs="仿宋"/>
          <w:szCs w:val="21"/>
          <w:highlight w:val="none"/>
          <w:u w:val="single"/>
        </w:rPr>
        <w:t>1</w:t>
      </w:r>
      <w:r>
        <w:rPr>
          <w:rFonts w:ascii="仿宋" w:hAnsi="仿宋" w:eastAsia="仿宋" w:cs="仿宋"/>
          <w:szCs w:val="21"/>
          <w:highlight w:val="none"/>
          <w:u w:val="single"/>
        </w:rPr>
        <w:t>5</w:t>
      </w:r>
      <w:r>
        <w:rPr>
          <w:rFonts w:hint="eastAsia" w:ascii="仿宋" w:hAnsi="仿宋" w:eastAsia="仿宋" w:cs="仿宋"/>
          <w:szCs w:val="21"/>
          <w:highlight w:val="none"/>
        </w:rPr>
        <w:t>个工作日内支付合同总货款</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%，即</w:t>
      </w:r>
      <w:r>
        <w:rPr>
          <w:rFonts w:ascii="Calibri" w:hAnsi="Calibri" w:eastAsia="仿宋" w:cs="Calibri"/>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lang w:eastAsia="zh-CN"/>
        </w:rPr>
        <w:t>：</w:t>
      </w:r>
      <w:r>
        <w:rPr>
          <w:rFonts w:hint="eastAsia" w:ascii="仿宋" w:hAnsi="仿宋" w:eastAsia="仿宋" w:cs="仿宋"/>
          <w:szCs w:val="21"/>
          <w:highlight w:val="none"/>
        </w:rPr>
        <w:t xml:space="preserve"> 人民币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元整</w:t>
      </w:r>
      <w:r>
        <w:rPr>
          <w:rFonts w:hint="eastAsia" w:ascii="仿宋" w:hAnsi="仿宋" w:eastAsia="仿宋" w:cs="仿宋"/>
          <w:szCs w:val="21"/>
          <w:highlight w:val="none"/>
          <w:lang w:eastAsia="zh-CN"/>
        </w:rPr>
        <w:t>）</w:t>
      </w:r>
      <w:r>
        <w:rPr>
          <w:rFonts w:hint="eastAsia" w:ascii="仿宋" w:hAnsi="仿宋" w:eastAsia="仿宋" w:cs="仿宋"/>
          <w:szCs w:val="21"/>
          <w:highlight w:val="none"/>
        </w:rPr>
        <w:t>；乙方全部到货安装、调试及指导且甲方出具《验收报告》后</w:t>
      </w:r>
      <w:r>
        <w:rPr>
          <w:rFonts w:ascii="仿宋" w:hAnsi="仿宋" w:eastAsia="仿宋" w:cs="仿宋"/>
          <w:szCs w:val="21"/>
          <w:highlight w:val="none"/>
          <w:u w:val="single"/>
        </w:rPr>
        <w:t>30</w:t>
      </w:r>
      <w:r>
        <w:rPr>
          <w:rFonts w:hint="eastAsia" w:ascii="仿宋" w:hAnsi="仿宋" w:eastAsia="仿宋" w:cs="仿宋"/>
          <w:szCs w:val="21"/>
          <w:highlight w:val="none"/>
        </w:rPr>
        <w:t>个工作日内支付总货款</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%，即</w:t>
      </w:r>
      <w:r>
        <w:rPr>
          <w:rFonts w:ascii="Calibri" w:hAnsi="Calibri" w:eastAsia="仿宋" w:cs="Calibri"/>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lang w:eastAsia="zh-CN"/>
        </w:rPr>
        <w:t>：</w:t>
      </w:r>
      <w:r>
        <w:rPr>
          <w:rFonts w:hint="eastAsia" w:ascii="仿宋" w:hAnsi="仿宋" w:eastAsia="仿宋" w:cs="仿宋"/>
          <w:szCs w:val="21"/>
          <w:highlight w:val="none"/>
        </w:rPr>
        <w:t xml:space="preserve"> 人民币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元整</w:t>
      </w:r>
      <w:r>
        <w:rPr>
          <w:rFonts w:hint="eastAsia" w:ascii="仿宋" w:hAnsi="仿宋" w:eastAsia="仿宋" w:cs="仿宋"/>
          <w:szCs w:val="21"/>
          <w:highlight w:val="none"/>
          <w:lang w:eastAsia="zh-CN"/>
        </w:rPr>
        <w:t>）</w:t>
      </w:r>
      <w:r>
        <w:rPr>
          <w:rFonts w:hint="eastAsia" w:ascii="仿宋" w:hAnsi="仿宋" w:eastAsia="仿宋" w:cs="仿宋"/>
          <w:szCs w:val="21"/>
          <w:highlight w:val="none"/>
        </w:rPr>
        <w:t>；剩余</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%作为质保金，即</w:t>
      </w:r>
      <w:r>
        <w:rPr>
          <w:rFonts w:ascii="Calibri" w:hAnsi="Calibri" w:eastAsia="仿宋" w:cs="Calibri"/>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lang w:eastAsia="zh-CN"/>
        </w:rPr>
        <w:t>：</w:t>
      </w:r>
      <w:r>
        <w:rPr>
          <w:rFonts w:hint="eastAsia" w:ascii="仿宋" w:hAnsi="仿宋" w:eastAsia="仿宋" w:cs="仿宋"/>
          <w:szCs w:val="21"/>
          <w:highlight w:val="none"/>
        </w:rPr>
        <w:t xml:space="preserve"> 人民币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元整</w:t>
      </w:r>
      <w:r>
        <w:rPr>
          <w:rFonts w:hint="eastAsia" w:ascii="仿宋" w:hAnsi="仿宋" w:eastAsia="仿宋" w:cs="仿宋"/>
          <w:szCs w:val="21"/>
          <w:highlight w:val="none"/>
          <w:lang w:eastAsia="zh-CN"/>
        </w:rPr>
        <w:t>）。</w:t>
      </w:r>
      <w:r>
        <w:rPr>
          <w:rFonts w:hint="eastAsia" w:ascii="仿宋" w:hAnsi="仿宋" w:eastAsia="仿宋" w:cs="仿宋"/>
          <w:szCs w:val="21"/>
          <w:highlight w:val="none"/>
        </w:rPr>
        <w:t>甲方在质保期届满后货物无任何质量问题且乙方无任何违约行为的情况下，</w:t>
      </w:r>
      <w:r>
        <w:rPr>
          <w:rFonts w:ascii="仿宋" w:hAnsi="仿宋" w:eastAsia="仿宋" w:cs="仿宋"/>
          <w:szCs w:val="21"/>
          <w:highlight w:val="none"/>
        </w:rPr>
        <w:t>30</w:t>
      </w:r>
      <w:r>
        <w:rPr>
          <w:rFonts w:hint="eastAsia" w:ascii="仿宋" w:hAnsi="仿宋" w:eastAsia="仿宋" w:cs="仿宋"/>
          <w:szCs w:val="21"/>
          <w:highlight w:val="none"/>
        </w:rPr>
        <w:t>个工作日内一次性无息退还。如有部分货物退回的，按实际收货金额结算。</w:t>
      </w:r>
    </w:p>
    <w:p>
      <w:pPr>
        <w:keepNext w:val="0"/>
        <w:keepLines w:val="0"/>
        <w:pageBreakBefore w:val="0"/>
        <w:kinsoku/>
        <w:wordWrap/>
        <w:overflowPunct/>
        <w:topLinePunct w:val="0"/>
        <w:autoSpaceDE/>
        <w:autoSpaceDN/>
        <w:bidi w:val="0"/>
        <w:adjustRightInd/>
        <w:snapToGrid/>
        <w:spacing w:line="440" w:lineRule="exact"/>
        <w:ind w:left="105" w:leftChars="50" w:firstLine="840" w:firstLineChars="400"/>
        <w:jc w:val="left"/>
        <w:textAlignment w:val="auto"/>
        <w:outlineLvl w:val="9"/>
        <w:rPr>
          <w:rFonts w:hint="eastAsia" w:ascii="仿宋" w:hAnsi="仿宋" w:eastAsia="仿宋" w:cs="仿宋"/>
          <w:szCs w:val="21"/>
          <w:highlight w:val="none"/>
          <w:u w:val="single"/>
        </w:rPr>
      </w:pPr>
      <w:r>
        <w:rPr>
          <w:rFonts w:ascii="仿宋" w:hAnsi="仿宋" w:eastAsia="仿宋" w:cs="仿宋"/>
          <w:szCs w:val="21"/>
          <w:highlight w:val="none"/>
        </w:rPr>
        <w:t xml:space="preserve">5.1.3 </w:t>
      </w:r>
      <w:r>
        <w:rPr>
          <w:rFonts w:hint="eastAsia" w:ascii="仿宋" w:hAnsi="仿宋" w:eastAsia="仿宋" w:cs="仿宋"/>
          <w:szCs w:val="21"/>
          <w:highlight w:val="none"/>
        </w:rPr>
        <w:t>其他付款方式：</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ind w:left="105" w:leftChars="50" w:firstLine="420" w:firstLineChars="200"/>
        <w:jc w:val="left"/>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5.2</w:t>
      </w:r>
      <w:r>
        <w:rPr>
          <w:rFonts w:ascii="仿宋" w:hAnsi="仿宋" w:eastAsia="仿宋" w:cs="仿宋"/>
          <w:szCs w:val="21"/>
          <w:highlight w:val="none"/>
        </w:rPr>
        <w:t xml:space="preserve"> </w:t>
      </w:r>
      <w:r>
        <w:rPr>
          <w:rFonts w:hint="eastAsia" w:ascii="仿宋" w:hAnsi="仿宋" w:eastAsia="仿宋" w:cs="仿宋"/>
          <w:szCs w:val="21"/>
          <w:highlight w:val="none"/>
        </w:rPr>
        <w:t>以上付款时，乙方应当开具相应发票</w:t>
      </w:r>
      <w:r>
        <w:rPr>
          <w:rFonts w:ascii="Verdana" w:hAnsi="Verdana" w:eastAsia="宋体" w:cs="Verdana"/>
          <w:i w:val="0"/>
          <w:caps w:val="0"/>
          <w:color w:val="000000"/>
          <w:spacing w:val="75"/>
          <w:sz w:val="30"/>
          <w:szCs w:val="30"/>
          <w:highlight w:val="none"/>
          <w:shd w:val="clear" w:color="auto" w:fill="FFFFFF"/>
        </w:rPr>
        <w:t>☐</w:t>
      </w:r>
      <w:r>
        <w:rPr>
          <w:rFonts w:ascii="仿宋" w:hAnsi="仿宋" w:eastAsia="仿宋" w:cs="仿宋"/>
          <w:szCs w:val="21"/>
          <w:highlight w:val="none"/>
          <w:u w:val="single"/>
          <w:shd w:val="clear" w:color="auto" w:fill="auto"/>
        </w:rPr>
        <w:t xml:space="preserve"> </w:t>
      </w:r>
      <w:r>
        <w:rPr>
          <w:rFonts w:hint="eastAsia" w:ascii="仿宋" w:hAnsi="仿宋" w:eastAsia="仿宋" w:cs="仿宋"/>
          <w:szCs w:val="21"/>
          <w:highlight w:val="none"/>
          <w:u w:val="single"/>
          <w:shd w:val="clear" w:color="auto" w:fill="auto"/>
          <w:lang w:val="en-US" w:eastAsia="zh-CN"/>
        </w:rPr>
        <w:t xml:space="preserve"> 13  </w:t>
      </w:r>
      <w:r>
        <w:rPr>
          <w:rFonts w:ascii="仿宋" w:hAnsi="仿宋" w:eastAsia="仿宋" w:cs="仿宋"/>
          <w:szCs w:val="21"/>
          <w:highlight w:val="none"/>
          <w:u w:val="single"/>
          <w:shd w:val="clear" w:color="auto" w:fill="auto"/>
        </w:rPr>
        <w:t xml:space="preserve">  </w:t>
      </w:r>
      <w:r>
        <w:rPr>
          <w:rFonts w:hint="eastAsia" w:ascii="仿宋" w:hAnsi="仿宋" w:eastAsia="仿宋" w:cs="仿宋"/>
          <w:szCs w:val="21"/>
          <w:highlight w:val="none"/>
          <w:shd w:val="clear" w:color="auto" w:fill="auto"/>
        </w:rPr>
        <w:t>%</w:t>
      </w:r>
      <w:r>
        <w:rPr>
          <w:rFonts w:hint="eastAsia" w:ascii="仿宋" w:hAnsi="仿宋" w:eastAsia="仿宋" w:cs="仿宋"/>
          <w:szCs w:val="21"/>
          <w:highlight w:val="none"/>
        </w:rPr>
        <w:t>增值税专用发票</w:t>
      </w:r>
      <w:r>
        <w:rPr>
          <w:rFonts w:hint="eastAsia" w:ascii="仿宋" w:hAnsi="仿宋" w:eastAsia="仿宋" w:cs="仿宋"/>
          <w:szCs w:val="21"/>
          <w:highlight w:val="none"/>
          <w:lang w:val="en-US" w:eastAsia="zh-CN"/>
        </w:rPr>
        <w:t>;</w:t>
      </w:r>
      <w:r>
        <w:rPr>
          <w:rFonts w:ascii="Verdana" w:hAnsi="Verdana" w:eastAsia="宋体" w:cs="Verdana"/>
          <w:i w:val="0"/>
          <w:caps w:val="0"/>
          <w:color w:val="000000"/>
          <w:spacing w:val="75"/>
          <w:sz w:val="30"/>
          <w:szCs w:val="30"/>
          <w:highlight w:val="none"/>
          <w:shd w:val="clear" w:color="auto" w:fill="FFFFFF"/>
        </w:rPr>
        <w:t>☐</w:t>
      </w:r>
      <w:r>
        <w:rPr>
          <w:rFonts w:hint="eastAsia" w:ascii="仿宋" w:hAnsi="仿宋" w:eastAsia="仿宋" w:cs="仿宋"/>
          <w:szCs w:val="21"/>
          <w:highlight w:val="none"/>
        </w:rPr>
        <w:t>其他类型票据：</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给甲方，付款时间以甲方验收合格且收到乙方发票后起算，乙方未开具发票的，甲方有权拒付货款并不视为买方违约，乙方应按照约定继续履行义务。国家税</w:t>
      </w:r>
      <w:r>
        <w:rPr>
          <w:rFonts w:hint="eastAsia" w:ascii="仿宋" w:hAnsi="仿宋" w:eastAsia="仿宋" w:cs="仿宋"/>
          <w:szCs w:val="21"/>
          <w:highlight w:val="none"/>
          <w:lang w:eastAsia="zh-CN"/>
        </w:rPr>
        <w:t>率</w:t>
      </w:r>
      <w:r>
        <w:rPr>
          <w:rFonts w:hint="eastAsia" w:ascii="仿宋" w:hAnsi="仿宋" w:eastAsia="仿宋" w:cs="仿宋"/>
          <w:szCs w:val="21"/>
          <w:highlight w:val="none"/>
        </w:rPr>
        <w:t>政策变动的，总价应相应调整。</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 xml:space="preserve">.3 </w:t>
      </w:r>
      <w:r>
        <w:rPr>
          <w:rFonts w:hint="eastAsia" w:ascii="仿宋" w:hAnsi="仿宋" w:eastAsia="仿宋" w:cs="仿宋"/>
          <w:szCs w:val="21"/>
        </w:rPr>
        <w:t>付款方式：银行转帐，乙方银行账户</w:t>
      </w:r>
      <w:r>
        <w:rPr>
          <w:rFonts w:hint="eastAsia" w:ascii="仿宋" w:hAnsi="仿宋" w:eastAsia="仿宋" w:cs="仿宋"/>
          <w:szCs w:val="21"/>
          <w:lang w:val="en-US" w:eastAsia="zh-CN"/>
        </w:rPr>
        <w:t>等</w:t>
      </w:r>
      <w:r>
        <w:rPr>
          <w:rFonts w:hint="eastAsia" w:ascii="仿宋" w:hAnsi="仿宋" w:eastAsia="仿宋" w:cs="仿宋"/>
          <w:szCs w:val="21"/>
        </w:rPr>
        <w:t>信息如下：</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b/>
          <w:bCs/>
          <w:szCs w:val="21"/>
          <w:u w:val="single"/>
        </w:rPr>
      </w:pPr>
      <w:r>
        <w:rPr>
          <w:rFonts w:hint="eastAsia" w:ascii="仿宋" w:hAnsi="仿宋" w:eastAsia="仿宋" w:cs="仿宋"/>
          <w:szCs w:val="21"/>
          <w:lang w:val="en-US" w:eastAsia="zh-CN"/>
        </w:rPr>
        <w:t>乙方</w:t>
      </w:r>
      <w:r>
        <w:rPr>
          <w:rFonts w:hint="eastAsia" w:ascii="仿宋" w:hAnsi="仿宋" w:eastAsia="仿宋" w:cs="仿宋"/>
          <w:szCs w:val="21"/>
        </w:rPr>
        <w:t>户名：</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b/>
          <w:bCs/>
          <w:szCs w:val="21"/>
          <w:u w:val="single"/>
        </w:rPr>
      </w:pPr>
      <w:r>
        <w:rPr>
          <w:rFonts w:hint="eastAsia" w:ascii="仿宋" w:hAnsi="仿宋" w:eastAsia="仿宋" w:cs="仿宋"/>
          <w:szCs w:val="21"/>
        </w:rPr>
        <w:t>开户行：</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szCs w:val="21"/>
        </w:rPr>
        <w:t xml:space="preserve">账 </w:t>
      </w:r>
      <w:r>
        <w:rPr>
          <w:rFonts w:hint="eastAsia" w:ascii="仿宋" w:hAnsi="仿宋" w:eastAsia="仿宋" w:cs="仿宋"/>
          <w:szCs w:val="21"/>
          <w:lang w:val="en-US" w:eastAsia="zh-CN"/>
        </w:rPr>
        <w:t xml:space="preserve"> </w:t>
      </w:r>
      <w:r>
        <w:rPr>
          <w:rFonts w:hint="eastAsia" w:ascii="仿宋" w:hAnsi="仿宋" w:eastAsia="仿宋" w:cs="仿宋"/>
          <w:szCs w:val="21"/>
        </w:rPr>
        <w:t>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纳税人识别号：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通讯地址：</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联系人：</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联系电话：</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Cs w:val="21"/>
        </w:rPr>
      </w:pPr>
      <w:r>
        <w:rPr>
          <w:rFonts w:hint="eastAsia" w:ascii="仿宋" w:hAnsi="仿宋" w:eastAsia="仿宋" w:cs="仿宋"/>
          <w:color w:val="000000"/>
          <w:kern w:val="0"/>
          <w:sz w:val="21"/>
          <w:szCs w:val="21"/>
          <w:shd w:val="clear" w:color="auto" w:fill="FFFFFF"/>
          <w:lang w:val="en-US" w:eastAsia="zh-CN" w:bidi="ar"/>
        </w:rPr>
        <w:t>电子邮箱：</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6.质量保证及售后服务</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6.1乙方保证所提供的产品为甲方所规定之全新产品，质量符合相应的国家和行业标准。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6.2乙方保证所供货物无任何权利瑕疵或质量瑕疵，所有货物均未侵犯他人知识产权等权益，所有货物均属原生产厂商在中国大陆区域内合法销售、使用的货物，且甲方将该等货物出售给其他任何第三方不存在任何限制。否则，甲方有权退货，乙方应退还甲方已支付的一切款项，由此给甲方、实际使用人或其他第三方造成的一切法律责任和经济损失概由乙方承担。甲方因问题货物支付赔偿款后有权向乙方追偿。</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rPr>
        <w:t>6.3</w:t>
      </w:r>
      <w:r>
        <w:rPr>
          <w:rStyle w:val="308"/>
          <w:rFonts w:hint="eastAsia" w:ascii="仿宋" w:hAnsi="仿宋" w:eastAsia="仿宋" w:cs="仿宋"/>
          <w:sz w:val="21"/>
          <w:szCs w:val="21"/>
        </w:rPr>
        <w:t>当甲方正常</w:t>
      </w:r>
      <w:r>
        <w:rPr>
          <w:rStyle w:val="308"/>
          <w:rFonts w:hint="eastAsia" w:ascii="仿宋" w:hAnsi="仿宋" w:eastAsia="仿宋" w:cs="仿宋"/>
          <w:sz w:val="21"/>
          <w:szCs w:val="21"/>
          <w:highlight w:val="none"/>
        </w:rPr>
        <w:t>使用本合同内的设备而发生故障时，经技术人员检测后，确定要更换备件时，乙方免费为甲方提供备件（不包括易耗件）现场更换，在不超过</w:t>
      </w:r>
      <w:r>
        <w:rPr>
          <w:rStyle w:val="308"/>
          <w:rFonts w:ascii="仿宋" w:hAnsi="仿宋" w:eastAsia="仿宋" w:cs="仿宋"/>
          <w:sz w:val="21"/>
          <w:szCs w:val="21"/>
          <w:highlight w:val="none"/>
          <w:u w:val="single"/>
        </w:rPr>
        <w:t>8</w:t>
      </w:r>
      <w:r>
        <w:rPr>
          <w:rStyle w:val="308"/>
          <w:rFonts w:hint="eastAsia" w:ascii="仿宋" w:hAnsi="仿宋" w:eastAsia="仿宋" w:cs="仿宋"/>
          <w:sz w:val="21"/>
          <w:szCs w:val="21"/>
          <w:highlight w:val="none"/>
        </w:rPr>
        <w:t>小时内恢复设备。</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Style w:val="308"/>
          <w:rFonts w:hint="eastAsia" w:ascii="仿宋" w:hAnsi="仿宋" w:eastAsia="仿宋" w:cs="仿宋"/>
          <w:sz w:val="21"/>
          <w:szCs w:val="21"/>
          <w:highlight w:val="none"/>
        </w:rPr>
        <w:t>6.4</w:t>
      </w:r>
      <w:r>
        <w:rPr>
          <w:rFonts w:hint="eastAsia" w:ascii="仿宋" w:hAnsi="仿宋" w:eastAsia="仿宋" w:cs="仿宋"/>
          <w:szCs w:val="21"/>
          <w:highlight w:val="none"/>
        </w:rPr>
        <w:t xml:space="preserve">乙方向甲方提供为期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个月的原厂保修服务。保修期自验收合格之日开始计算，对于更换的货物保修期自实际更换之日起计算。需安装调试</w:t>
      </w:r>
      <w:r>
        <w:rPr>
          <w:rFonts w:ascii="仿宋" w:hAnsi="仿宋" w:eastAsia="仿宋" w:cs="仿宋"/>
          <w:szCs w:val="21"/>
          <w:highlight w:val="none"/>
        </w:rPr>
        <w:t>的以甲方出具《</w:t>
      </w:r>
      <w:r>
        <w:rPr>
          <w:rFonts w:hint="eastAsia" w:ascii="仿宋" w:hAnsi="仿宋" w:eastAsia="仿宋" w:cs="仿宋"/>
          <w:szCs w:val="21"/>
          <w:highlight w:val="none"/>
        </w:rPr>
        <w:t>验收报告</w:t>
      </w:r>
      <w:r>
        <w:rPr>
          <w:rFonts w:ascii="仿宋" w:hAnsi="仿宋" w:eastAsia="仿宋" w:cs="仿宋"/>
          <w:szCs w:val="21"/>
          <w:highlight w:val="none"/>
        </w:rPr>
        <w:t>》</w:t>
      </w:r>
      <w:r>
        <w:rPr>
          <w:rFonts w:hint="eastAsia" w:ascii="仿宋" w:hAnsi="仿宋" w:eastAsia="仿宋" w:cs="仿宋"/>
          <w:szCs w:val="21"/>
          <w:highlight w:val="none"/>
        </w:rPr>
        <w:t>之日</w:t>
      </w:r>
      <w:r>
        <w:rPr>
          <w:rFonts w:ascii="仿宋" w:hAnsi="仿宋" w:eastAsia="仿宋" w:cs="仿宋"/>
          <w:szCs w:val="21"/>
          <w:highlight w:val="none"/>
        </w:rPr>
        <w:t>计算</w:t>
      </w:r>
      <w:r>
        <w:rPr>
          <w:rFonts w:hint="eastAsia" w:ascii="仿宋" w:hAnsi="仿宋" w:eastAsia="仿宋" w:cs="仿宋"/>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6.5保修期内，乙方应当向甲方提供免费售后服务（免维修人工费、免零部件费等一切费用）。如乙方未能向甲方提供及时有效售后服务，或在甲方通知其货物发生故障后</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个小时内仍</w:t>
      </w:r>
      <w:r>
        <w:rPr>
          <w:rFonts w:hint="eastAsia" w:ascii="仿宋" w:hAnsi="仿宋" w:eastAsia="仿宋" w:cs="仿宋"/>
          <w:szCs w:val="21"/>
        </w:rPr>
        <w:t>未完成修复工作，</w:t>
      </w:r>
      <w:r>
        <w:rPr>
          <w:rFonts w:hint="eastAsia" w:ascii="仿宋" w:hAnsi="仿宋" w:eastAsia="仿宋" w:cs="仿宋"/>
          <w:szCs w:val="21"/>
          <w:highlight w:val="none"/>
        </w:rPr>
        <w:t>使得甲方无法正常使用该货物的，甲方有权委托第三方维修该货物，由此产生的费用和损失全部由乙方承担。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6.6保修期内，非因甲方原因导致货物因同一原因返修超过两次的，甲方有权选择更换或退货。甲方选择更换的，乙方应在接到甲方书面更换要求之日起五个工作日内完成更换；甲方选择退货的，乙方应于收到退货通知之日起五个工作日内退还甲方相应的款项。因机器故障给甲方造成损失的，乙方应赔偿甲方因此遭受的全部损失。</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w:t>
      </w:r>
      <w:r>
        <w:rPr>
          <w:rFonts w:ascii="仿宋" w:hAnsi="仿宋" w:eastAsia="仿宋" w:cs="仿宋"/>
          <w:szCs w:val="21"/>
          <w:highlight w:val="none"/>
        </w:rPr>
        <w:t>7</w:t>
      </w:r>
      <w:r>
        <w:rPr>
          <w:rFonts w:hint="eastAsia" w:ascii="仿宋" w:hAnsi="仿宋" w:eastAsia="仿宋" w:cs="仿宋"/>
          <w:szCs w:val="21"/>
          <w:highlight w:val="none"/>
        </w:rPr>
        <w:t xml:space="preserve"> 保修期内，非因甲方原因，出现质量问题的货物数量累计超过货物总数五分之四的，即可认为整批货物为劣质产品。甲方有权退回全部货物，并要求乙方退回已收取的款项。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6.8保修期满后，甲方可与乙方签订货物续保合同。如甲方放弃与乙方签订该续保合同，在此情况下如遇货物故障或受损，甲方要求乙方给予维修或调换，乙方将按实际费用向甲方收费，但应给予甲方一定的优惠。</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7.保险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Cs w:val="21"/>
        </w:rPr>
      </w:pPr>
      <w:r>
        <w:rPr>
          <w:rFonts w:hint="eastAsia" w:ascii="仿宋" w:hAnsi="仿宋" w:eastAsia="仿宋" w:cs="仿宋"/>
          <w:szCs w:val="21"/>
        </w:rPr>
        <w:t>货物交付给甲方之前的所有保险费用（按货物总价的110%价值投保）和派往甲方进行服务的人员投保人身险和其他有关险种，由乙方负责。</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rPr>
      </w:pPr>
      <w:r>
        <w:rPr>
          <w:rFonts w:hint="eastAsia" w:ascii="仿宋" w:hAnsi="仿宋" w:eastAsia="仿宋" w:cs="仿宋"/>
          <w:b/>
          <w:bCs/>
          <w:sz w:val="24"/>
        </w:rPr>
        <w:t>8.产权与风险转移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8.1货物毁损、灭失的风险在签署《物</w:t>
      </w:r>
      <w:r>
        <w:rPr>
          <w:rFonts w:hint="eastAsia" w:ascii="仿宋" w:hAnsi="仿宋" w:eastAsia="仿宋" w:cs="仿宋"/>
          <w:szCs w:val="21"/>
          <w:lang w:eastAsia="zh-CN"/>
        </w:rPr>
        <w:t>资</w:t>
      </w:r>
      <w:r>
        <w:rPr>
          <w:rFonts w:hint="eastAsia" w:ascii="仿宋" w:hAnsi="仿宋" w:eastAsia="仿宋" w:cs="仿宋"/>
          <w:szCs w:val="21"/>
        </w:rPr>
        <w:t>入库验收单》后，由乙方转移至甲方。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8.2在甲方按本合同的约定拒收货物或者解除合同的情况下，货物毁损、灭失的风险由乙方承担。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Cs w:val="21"/>
          <w:u w:val="single"/>
        </w:rPr>
      </w:pPr>
      <w:r>
        <w:rPr>
          <w:rFonts w:hint="eastAsia" w:ascii="仿宋" w:hAnsi="仿宋" w:eastAsia="仿宋" w:cs="仿宋"/>
          <w:szCs w:val="21"/>
        </w:rPr>
        <w:t>8.3产权和风险的转移，不影响因乙方履行义务不符合约定，甲方要求其承担违约责任的权利。</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rPr>
      </w:pPr>
      <w:r>
        <w:rPr>
          <w:rFonts w:hint="eastAsia" w:ascii="仿宋" w:hAnsi="仿宋" w:eastAsia="仿宋" w:cs="仿宋"/>
          <w:b/>
          <w:bCs/>
          <w:sz w:val="24"/>
        </w:rPr>
        <w:t>9.知识产权</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9.1乙方应保证，甲方在中华人民共和国使用该货物或货物的任何一部分时，免受第三方提出的侵犯其专利权、商标权或其他知识产权的起诉。如发生此类纠纷，由乙方承担一切责任。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kern w:val="24"/>
          <w:szCs w:val="21"/>
        </w:rPr>
      </w:pPr>
      <w:r>
        <w:rPr>
          <w:rFonts w:hint="eastAsia" w:ascii="仿宋" w:hAnsi="仿宋" w:eastAsia="仿宋" w:cs="仿宋"/>
          <w:szCs w:val="21"/>
        </w:rPr>
        <w:t>9.2甲方享有乙方为执行本合同而提供的技术资料的使用权，技术资料的著作权仍属于乙方所有。</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kern w:val="24"/>
          <w:szCs w:val="21"/>
        </w:rPr>
        <w:t>9.3</w:t>
      </w:r>
      <w:r>
        <w:rPr>
          <w:rFonts w:hint="eastAsia" w:ascii="仿宋" w:hAnsi="仿宋" w:eastAsia="仿宋" w:cs="仿宋"/>
          <w:szCs w:val="21"/>
        </w:rPr>
        <w:t>除了双方为执行合同所需人员外，在未经对方同意的情况下，任何一方不得将合同、合同中的规定、有关规格、计划、图纸、式样、样本或对方为上述内容向本方提供的资料透露给任何人。双方须在对外保密的前提下，对其雇用人员提供有关情况，所提供的情况仅限于执行合同必不可少的范围内。</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 w:val="24"/>
        </w:rPr>
      </w:pPr>
      <w:r>
        <w:rPr>
          <w:rFonts w:hint="eastAsia" w:ascii="仿宋" w:hAnsi="仿宋" w:eastAsia="仿宋" w:cs="仿宋"/>
          <w:szCs w:val="21"/>
        </w:rPr>
        <w:t>9.4除非执行合同需要，在事先未得到对方同意的情况下，任何一方不得使用上款中所列的任何文件和资料。</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rPr>
      </w:pPr>
      <w:r>
        <w:rPr>
          <w:rFonts w:hint="eastAsia" w:ascii="仿宋" w:hAnsi="仿宋" w:eastAsia="仿宋" w:cs="仿宋"/>
          <w:b/>
          <w:bCs/>
          <w:sz w:val="24"/>
        </w:rPr>
        <w:t>10.技术文件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r>
        <w:rPr>
          <w:rFonts w:hint="eastAsia" w:ascii="仿宋" w:hAnsi="仿宋" w:eastAsia="仿宋" w:cs="仿宋"/>
          <w:szCs w:val="21"/>
        </w:rPr>
        <w:t>.1</w:t>
      </w:r>
      <w:r>
        <w:rPr>
          <w:rFonts w:ascii="仿宋" w:hAnsi="仿宋" w:eastAsia="仿宋" w:cs="仿宋"/>
          <w:szCs w:val="21"/>
        </w:rPr>
        <w:t xml:space="preserve"> </w:t>
      </w:r>
      <w:r>
        <w:rPr>
          <w:rFonts w:hint="eastAsia" w:ascii="仿宋" w:hAnsi="仿宋" w:eastAsia="仿宋" w:cs="仿宋"/>
          <w:szCs w:val="21"/>
        </w:rPr>
        <w:t>乙方应向甲方提供包含保证甲方能够正确进行操作、检查、维修、维护、测试、验收和运作所需要的所有内容的技术文件（含电子文档）一式三套。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r>
        <w:rPr>
          <w:rFonts w:hint="eastAsia" w:ascii="仿宋" w:hAnsi="仿宋" w:eastAsia="仿宋" w:cs="仿宋"/>
          <w:szCs w:val="21"/>
        </w:rPr>
        <w:t>.2甲方完全按照乙方提供的技术文件指导所进行的任何操作、检查维修、维护、测试、验收所引起的系统、设备或其部件的损坏由乙方承担责任。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r>
        <w:rPr>
          <w:rFonts w:hint="eastAsia" w:ascii="仿宋" w:hAnsi="仿宋" w:eastAsia="仿宋" w:cs="仿宋"/>
          <w:szCs w:val="21"/>
        </w:rPr>
        <w:t>.3乙方未提供合同规定的技术文件，甲方可以推迟付款，直至乙方补齐有关技术文件。、</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11.违约责任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11.1乙方如不能按时按量交货的须支付违约金给甲方，逾期一日的按合同总金额</w:t>
      </w:r>
      <w:r>
        <w:rPr>
          <w:rFonts w:hint="eastAsia" w:ascii="仿宋" w:hAnsi="仿宋" w:eastAsia="仿宋" w:cs="仿宋"/>
          <w:szCs w:val="21"/>
          <w:highlight w:val="none"/>
          <w:u w:val="single"/>
        </w:rPr>
        <w:t xml:space="preserve">  万分之五</w:t>
      </w:r>
      <w:r>
        <w:rPr>
          <w:rFonts w:hint="eastAsia" w:ascii="仿宋" w:hAnsi="仿宋" w:eastAsia="仿宋" w:cs="仿宋"/>
          <w:szCs w:val="21"/>
          <w:highlight w:val="none"/>
        </w:rPr>
        <w:t>计算。如超过合同规定交货期限三十日乙方仍不能交货的，则甲方有权解除合同，并要求乙方按合同总金额5%支付违约金。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1</w:t>
      </w:r>
      <w:r>
        <w:rPr>
          <w:rFonts w:ascii="仿宋" w:hAnsi="仿宋" w:eastAsia="仿宋" w:cs="仿宋"/>
          <w:szCs w:val="21"/>
          <w:highlight w:val="none"/>
        </w:rPr>
        <w:t>1</w:t>
      </w:r>
      <w:r>
        <w:rPr>
          <w:rFonts w:hint="eastAsia" w:ascii="仿宋" w:hAnsi="仿宋" w:eastAsia="仿宋" w:cs="仿宋"/>
          <w:szCs w:val="21"/>
          <w:highlight w:val="none"/>
        </w:rPr>
        <w:t>.2 甲方需要退回或更换的货物，乙方应及时退款或更换的，否则应按照1</w:t>
      </w:r>
      <w:r>
        <w:rPr>
          <w:rFonts w:ascii="仿宋" w:hAnsi="仿宋" w:eastAsia="仿宋" w:cs="仿宋"/>
          <w:szCs w:val="21"/>
          <w:highlight w:val="none"/>
        </w:rPr>
        <w:t>1.1</w:t>
      </w:r>
      <w:r>
        <w:rPr>
          <w:rFonts w:hint="eastAsia" w:ascii="仿宋" w:hAnsi="仿宋" w:eastAsia="仿宋" w:cs="仿宋"/>
          <w:szCs w:val="21"/>
          <w:highlight w:val="none"/>
        </w:rPr>
        <w:t>逾期交货处理。除此外，因甲方未能及时使用货物导致其他损失的，乙方仍应承担赔偿责任。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 w:val="24"/>
          <w:highlight w:val="none"/>
        </w:rPr>
      </w:pPr>
      <w:r>
        <w:rPr>
          <w:rFonts w:hint="eastAsia" w:ascii="仿宋" w:hAnsi="仿宋" w:eastAsia="仿宋" w:cs="仿宋"/>
          <w:szCs w:val="21"/>
          <w:highlight w:val="none"/>
        </w:rPr>
        <w:t>1</w:t>
      </w:r>
      <w:r>
        <w:rPr>
          <w:rFonts w:ascii="仿宋" w:hAnsi="仿宋" w:eastAsia="仿宋" w:cs="仿宋"/>
          <w:szCs w:val="21"/>
          <w:highlight w:val="none"/>
        </w:rPr>
        <w:t>1</w:t>
      </w:r>
      <w:r>
        <w:rPr>
          <w:rFonts w:hint="eastAsia" w:ascii="仿宋" w:hAnsi="仿宋" w:eastAsia="仿宋" w:cs="仿宋"/>
          <w:szCs w:val="21"/>
          <w:highlight w:val="none"/>
        </w:rPr>
        <w:t>.3 因乙方原因导致甲方损失的，甲方可要求乙方承担赔偿损失，甲方的损失包括但不限于未能正常使用货物经营损失、第三方追究责任、重新采购消耗的时间人力成本费用、为维护权利而支出的取证费、律师费、诉讼保全费等。上述费用甲方有权在质保金中直接抵扣。</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12.不可抗力</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2</w:t>
      </w:r>
      <w:r>
        <w:rPr>
          <w:rFonts w:hint="eastAsia" w:ascii="仿宋" w:hAnsi="仿宋" w:eastAsia="仿宋" w:cs="仿宋"/>
          <w:szCs w:val="21"/>
          <w:highlight w:val="none"/>
        </w:rPr>
        <w:t>.1不可抗力包括因战争、动乱、空中飞行物体坠落或其他非甲方乙方责任造成的爆炸、火灾。</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2</w:t>
      </w:r>
      <w:r>
        <w:rPr>
          <w:rFonts w:hint="eastAsia" w:ascii="仿宋" w:hAnsi="仿宋" w:eastAsia="仿宋" w:cs="仿宋"/>
          <w:szCs w:val="21"/>
          <w:highlight w:val="none"/>
        </w:rPr>
        <w:t>.2由于不可抗力造成不可意料的事故并影响本合同的继续执行时，发生事故的一方应立即以书面的形式通告合同另一方，并提供事故发生的有效证明。</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2</w:t>
      </w:r>
      <w:r>
        <w:rPr>
          <w:rFonts w:hint="eastAsia" w:ascii="仿宋" w:hAnsi="仿宋" w:eastAsia="仿宋" w:cs="仿宋"/>
          <w:szCs w:val="21"/>
          <w:highlight w:val="none"/>
        </w:rPr>
        <w:t>.3在不可抗力事件发生后，双方应努力寻求采取合理的方案履行不受不可抗力影响的其他事项。如不可抗拒因素继续存在，致使在合同规定的交货期后三十天内仍不能交货，经双方协商同意，可解除本合同，这时，甲乙双方均不互提出索赔。甲乙双方均不承担终止合同的责任。</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13.通知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lang w:val="en-GB"/>
        </w:rPr>
      </w:pPr>
      <w:r>
        <w:rPr>
          <w:rFonts w:hint="eastAsia" w:ascii="仿宋" w:hAnsi="仿宋" w:eastAsia="仿宋" w:cs="仿宋"/>
          <w:szCs w:val="21"/>
          <w:highlight w:val="none"/>
        </w:rPr>
        <w:t>合同任一方就本合同发出的通知、声明等书面文件，可以按照合同双方在本合同中列明的住址/公司注册地</w:t>
      </w:r>
      <w:r>
        <w:rPr>
          <w:rFonts w:hint="eastAsia" w:ascii="仿宋" w:hAnsi="仿宋" w:eastAsia="仿宋" w:cs="仿宋"/>
          <w:szCs w:val="21"/>
          <w:highlight w:val="none"/>
          <w:lang w:eastAsia="zh-CN"/>
        </w:rPr>
        <w:t>，</w:t>
      </w:r>
      <w:r>
        <w:rPr>
          <w:rFonts w:hint="eastAsia" w:ascii="仿宋" w:hAnsi="仿宋" w:eastAsia="仿宋" w:cs="仿宋"/>
          <w:szCs w:val="21"/>
          <w:highlight w:val="none"/>
        </w:rPr>
        <w:t>或</w:t>
      </w:r>
      <w:r>
        <w:rPr>
          <w:rFonts w:hint="eastAsia" w:ascii="仿宋" w:hAnsi="仿宋" w:eastAsia="仿宋" w:cs="仿宋"/>
          <w:szCs w:val="21"/>
          <w:highlight w:val="none"/>
          <w:lang w:eastAsia="zh-CN"/>
        </w:rPr>
        <w:t>电子邮箱送达</w:t>
      </w:r>
      <w:r>
        <w:rPr>
          <w:rFonts w:hint="eastAsia" w:ascii="仿宋" w:hAnsi="仿宋" w:eastAsia="仿宋" w:cs="仿宋"/>
          <w:szCs w:val="21"/>
          <w:highlight w:val="none"/>
        </w:rPr>
        <w:t>对方（双方联系</w:t>
      </w:r>
      <w:r>
        <w:rPr>
          <w:rFonts w:hint="eastAsia" w:ascii="仿宋" w:hAnsi="仿宋" w:eastAsia="仿宋" w:cs="仿宋"/>
          <w:szCs w:val="21"/>
          <w:highlight w:val="none"/>
          <w:lang w:eastAsia="zh-CN"/>
        </w:rPr>
        <w:t>方式或</w:t>
      </w:r>
      <w:r>
        <w:rPr>
          <w:rFonts w:hint="eastAsia" w:ascii="仿宋" w:hAnsi="仿宋" w:eastAsia="仿宋" w:cs="仿宋"/>
          <w:szCs w:val="21"/>
          <w:highlight w:val="none"/>
        </w:rPr>
        <w:t>地址如有变更，应当及时书面通知合同对方，否则视为未变更）。</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14.争议解决</w:t>
      </w:r>
    </w:p>
    <w:p>
      <w:pPr>
        <w:keepNext w:val="0"/>
        <w:keepLines w:val="0"/>
        <w:pageBreakBefore w:val="0"/>
        <w:shd w:val="clear" w:color="auto" w:fill="auto"/>
        <w:kinsoku/>
        <w:wordWrap/>
        <w:overflowPunct/>
        <w:topLinePunct w:val="0"/>
        <w:autoSpaceDE/>
        <w:autoSpaceDN/>
        <w:bidi w:val="0"/>
        <w:adjustRightInd/>
        <w:snapToGrid/>
        <w:spacing w:line="440" w:lineRule="exact"/>
        <w:ind w:firstLine="600"/>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ascii="仿宋" w:hAnsi="仿宋" w:eastAsia="仿宋" w:cs="仿宋"/>
          <w:szCs w:val="21"/>
          <w:highlight w:val="none"/>
        </w:rPr>
        <w:t>4</w:t>
      </w:r>
      <w:r>
        <w:rPr>
          <w:rFonts w:hint="eastAsia" w:ascii="仿宋" w:hAnsi="仿宋" w:eastAsia="仿宋" w:cs="仿宋"/>
          <w:szCs w:val="21"/>
          <w:highlight w:val="none"/>
        </w:rPr>
        <w:t>.</w:t>
      </w:r>
      <w:r>
        <w:rPr>
          <w:rFonts w:hint="eastAsia" w:ascii="仿宋" w:hAnsi="仿宋" w:eastAsia="仿宋" w:cs="仿宋"/>
          <w:szCs w:val="21"/>
          <w:highlight w:val="none"/>
          <w:lang w:eastAsia="zh-CN"/>
        </w:rPr>
        <w:t>1与本合同有关，或因本合同引起的一切争议，甲乙双方应首先通过友好协商解决，如经协商后仍不能达成协议时，双方约定任</w:t>
      </w:r>
      <w:r>
        <w:rPr>
          <w:rFonts w:hint="eastAsia" w:ascii="仿宋" w:hAnsi="仿宋" w:eastAsia="仿宋" w:cs="仿宋"/>
          <w:szCs w:val="21"/>
          <w:highlight w:val="none"/>
        </w:rPr>
        <w:t>何一方可以</w:t>
      </w:r>
      <w:r>
        <w:rPr>
          <w:rFonts w:hint="eastAsia" w:ascii="仿宋" w:hAnsi="仿宋" w:eastAsia="仿宋" w:cs="仿宋"/>
          <w:szCs w:val="21"/>
          <w:highlight w:val="none"/>
          <w:lang w:eastAsia="zh-CN"/>
        </w:rPr>
        <w:t>采用第</w:t>
      </w:r>
      <w:r>
        <w:rPr>
          <w:rFonts w:hint="eastAsia" w:ascii="仿宋" w:hAnsi="仿宋" w:eastAsia="仿宋" w:cs="仿宋"/>
          <w:szCs w:val="21"/>
          <w:highlight w:val="none"/>
          <w:u w:val="single"/>
          <w:lang w:val="en-US" w:eastAsia="zh-CN"/>
        </w:rPr>
        <w:t xml:space="preserve"> a.</w:t>
      </w:r>
      <w:r>
        <w:rPr>
          <w:rFonts w:hint="eastAsia" w:ascii="仿宋" w:hAnsi="仿宋" w:eastAsia="仿宋" w:cs="仿宋"/>
          <w:szCs w:val="21"/>
          <w:highlight w:val="none"/>
          <w:lang w:val="en-US" w:eastAsia="zh-CN"/>
        </w:rPr>
        <w:t>项方式解决：</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a.</w:t>
      </w:r>
      <w:r>
        <w:rPr>
          <w:rFonts w:hint="eastAsia" w:ascii="仿宋" w:hAnsi="仿宋" w:eastAsia="仿宋" w:cs="仿宋"/>
          <w:szCs w:val="21"/>
          <w:highlight w:val="none"/>
        </w:rPr>
        <w:t>向</w:t>
      </w:r>
      <w:r>
        <w:rPr>
          <w:rFonts w:hint="eastAsia" w:ascii="仿宋" w:hAnsi="仿宋" w:eastAsia="仿宋" w:cs="仿宋"/>
          <w:szCs w:val="21"/>
          <w:highlight w:val="none"/>
          <w:lang w:eastAsia="zh-CN"/>
        </w:rPr>
        <w:t>广州市白云区人民</w:t>
      </w:r>
      <w:r>
        <w:rPr>
          <w:rFonts w:hint="eastAsia" w:ascii="仿宋" w:hAnsi="仿宋" w:eastAsia="仿宋" w:cs="仿宋"/>
          <w:szCs w:val="21"/>
          <w:highlight w:val="none"/>
        </w:rPr>
        <w:t>法院</w:t>
      </w:r>
      <w:r>
        <w:rPr>
          <w:rFonts w:hint="eastAsia" w:ascii="仿宋" w:hAnsi="仿宋" w:eastAsia="仿宋" w:cs="仿宋"/>
          <w:szCs w:val="21"/>
          <w:highlight w:val="none"/>
          <w:lang w:eastAsia="zh-CN"/>
        </w:rPr>
        <w:t>提起</w:t>
      </w:r>
      <w:r>
        <w:rPr>
          <w:rFonts w:hint="eastAsia" w:ascii="仿宋" w:hAnsi="仿宋" w:eastAsia="仿宋" w:cs="仿宋"/>
          <w:szCs w:val="21"/>
          <w:highlight w:val="none"/>
        </w:rPr>
        <w:t>诉讼解决</w:t>
      </w:r>
      <w:r>
        <w:rPr>
          <w:rFonts w:hint="eastAsia" w:ascii="仿宋" w:hAnsi="仿宋" w:eastAsia="仿宋" w:cs="仿宋"/>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b.向广州仲裁委员会提起仲裁。</w:t>
      </w:r>
    </w:p>
    <w:p>
      <w:pPr>
        <w:keepNext w:val="0"/>
        <w:keepLines w:val="0"/>
        <w:pageBreakBefore w:val="0"/>
        <w:shd w:val="clear" w:color="auto" w:fill="auto"/>
        <w:kinsoku/>
        <w:wordWrap/>
        <w:overflowPunct/>
        <w:topLinePunct w:val="0"/>
        <w:autoSpaceDE/>
        <w:autoSpaceDN/>
        <w:bidi w:val="0"/>
        <w:adjustRightInd/>
        <w:snapToGrid/>
        <w:spacing w:line="440" w:lineRule="exact"/>
        <w:ind w:firstLine="600"/>
        <w:textAlignment w:val="auto"/>
        <w:rPr>
          <w:rFonts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4</w:t>
      </w:r>
      <w:r>
        <w:rPr>
          <w:rFonts w:hint="eastAsia" w:ascii="仿宋" w:hAnsi="仿宋" w:eastAsia="仿宋" w:cs="仿宋"/>
          <w:szCs w:val="21"/>
          <w:highlight w:val="none"/>
        </w:rPr>
        <w:t>.2</w:t>
      </w:r>
      <w:r>
        <w:rPr>
          <w:rFonts w:hint="eastAsia" w:ascii="仿宋" w:hAnsi="仿宋" w:eastAsia="仿宋"/>
          <w:szCs w:val="21"/>
        </w:rPr>
        <w:t>在进行法院审理期间，除提交法院审理的事项外，合同其他部分仍应继续履行。</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rPr>
        <w:t>15.合同文本格式</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双方对此合同有任何修改及补充均应另行签订补充协议。合同正文中任何非打印的文字或者图形，除非经双方盖章确认同意，不产生约束力。</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sz w:val="24"/>
        </w:rPr>
        <w:t>16.</w:t>
      </w:r>
      <w:r>
        <w:rPr>
          <w:rFonts w:hint="eastAsia" w:ascii="仿宋" w:hAnsi="仿宋" w:eastAsia="仿宋" w:cs="仿宋"/>
          <w:b/>
          <w:sz w:val="24"/>
          <w:highlight w:val="none"/>
        </w:rPr>
        <w:t>合</w:t>
      </w:r>
      <w:r>
        <w:rPr>
          <w:rFonts w:hint="eastAsia" w:ascii="仿宋" w:hAnsi="仿宋" w:eastAsia="仿宋" w:cs="仿宋"/>
          <w:b/>
          <w:bCs/>
          <w:sz w:val="24"/>
          <w:highlight w:val="none"/>
        </w:rPr>
        <w:t>同生效</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trike/>
          <w:dstrike w:val="0"/>
          <w:szCs w:val="21"/>
          <w:highlight w:val="none"/>
          <w:lang w:val="en-US" w:eastAsia="zh-CN"/>
        </w:rPr>
      </w:pPr>
      <w:r>
        <w:rPr>
          <w:rFonts w:hint="eastAsia" w:ascii="仿宋" w:hAnsi="仿宋" w:eastAsia="仿宋" w:cs="仿宋"/>
          <w:szCs w:val="21"/>
          <w:highlight w:val="none"/>
          <w:shd w:val="clear" w:color="auto" w:fill="auto"/>
        </w:rPr>
        <w:t>本协议一式</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Cs w:val="21"/>
          <w:highlight w:val="none"/>
          <w:shd w:val="clear" w:color="auto" w:fill="auto"/>
        </w:rPr>
        <w:t>份，甲</w:t>
      </w:r>
      <w:r>
        <w:rPr>
          <w:rFonts w:hint="eastAsia" w:ascii="仿宋" w:hAnsi="仿宋" w:eastAsia="仿宋" w:cs="仿宋"/>
          <w:szCs w:val="21"/>
          <w:highlight w:val="none"/>
          <w:shd w:val="clear" w:color="auto" w:fill="auto"/>
          <w:lang w:eastAsia="zh-CN"/>
        </w:rPr>
        <w:t>方执三份，乙方</w:t>
      </w:r>
      <w:r>
        <w:rPr>
          <w:rFonts w:hint="eastAsia" w:ascii="仿宋" w:hAnsi="仿宋" w:eastAsia="仿宋" w:cs="仿宋"/>
          <w:szCs w:val="21"/>
          <w:highlight w:val="none"/>
          <w:shd w:val="clear" w:color="auto" w:fill="auto"/>
        </w:rPr>
        <w:t>乙</w:t>
      </w:r>
      <w:r>
        <w:rPr>
          <w:rFonts w:hint="eastAsia" w:ascii="仿宋" w:hAnsi="仿宋" w:eastAsia="仿宋" w:cs="仿宋"/>
          <w:szCs w:val="21"/>
          <w:highlight w:val="none"/>
          <w:shd w:val="clear" w:color="auto" w:fill="auto"/>
          <w:lang w:eastAsia="zh-CN"/>
        </w:rPr>
        <w:t>执</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Cs w:val="21"/>
          <w:highlight w:val="none"/>
          <w:shd w:val="clear" w:color="auto" w:fill="auto"/>
        </w:rPr>
        <w:t>份，</w:t>
      </w:r>
      <w:r>
        <w:rPr>
          <w:rFonts w:hint="eastAsia" w:ascii="仿宋" w:hAnsi="仿宋" w:eastAsia="仿宋" w:cs="仿宋"/>
          <w:szCs w:val="21"/>
          <w:highlight w:val="none"/>
        </w:rPr>
        <w:t>经双方盖章、签字后生效</w:t>
      </w:r>
      <w:r>
        <w:rPr>
          <w:rFonts w:hint="eastAsia" w:ascii="仿宋" w:hAnsi="仿宋" w:eastAsia="仿宋" w:cs="仿宋"/>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6" w:hanging="11"/>
        <w:textAlignment w:val="auto"/>
        <w:rPr>
          <w:rFonts w:hint="eastAsia" w:ascii="仿宋" w:hAnsi="仿宋" w:eastAsia="仿宋" w:cs="仿宋"/>
          <w:b/>
          <w:bCs/>
          <w:sz w:val="24"/>
          <w:szCs w:val="24"/>
          <w:lang w:val="en-US" w:eastAsia="zh-CN"/>
        </w:rPr>
      </w:pPr>
      <w:r>
        <w:rPr>
          <w:rFonts w:hint="eastAsia" w:ascii="仿宋" w:hAnsi="仿宋" w:eastAsia="仿宋" w:cs="仿宋"/>
          <w:b/>
          <w:bCs/>
          <w:sz w:val="24"/>
          <w:highlight w:val="none"/>
        </w:rPr>
        <w:t>17.</w:t>
      </w:r>
      <w:r>
        <w:rPr>
          <w:rFonts w:hint="eastAsia" w:ascii="仿宋" w:hAnsi="仿宋" w:eastAsia="仿宋" w:cs="仿宋"/>
          <w:b/>
          <w:bCs/>
          <w:sz w:val="24"/>
          <w:szCs w:val="24"/>
          <w:lang w:val="en-US" w:eastAsia="zh-CN"/>
        </w:rPr>
        <w:t>履约保证条款</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lang w:val="en-US" w:eastAsia="zh-CN"/>
        </w:rPr>
        <w:t xml:space="preserve">17.1 </w:t>
      </w:r>
      <w:r>
        <w:rPr>
          <w:rFonts w:hint="eastAsia" w:ascii="仿宋" w:hAnsi="仿宋" w:eastAsia="仿宋" w:cs="仿宋"/>
          <w:sz w:val="21"/>
          <w:szCs w:val="21"/>
          <w:lang w:eastAsia="zh-CN"/>
        </w:rPr>
        <w:t>经甲乙双方协商一致，乙方按照以下</w:t>
      </w:r>
      <w:r>
        <w:rPr>
          <w:rFonts w:hint="eastAsia" w:ascii="仿宋" w:hAnsi="仿宋" w:eastAsia="仿宋" w:cs="仿宋"/>
          <w:sz w:val="21"/>
          <w:szCs w:val="21"/>
          <w:highlight w:val="none"/>
          <w:lang w:eastAsia="zh-CN"/>
        </w:rPr>
        <w:t>第</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③</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种方式提供履约担保：</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①乙方应在合同生效后10日内向甲方交纳履约保证金计</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元（大写：</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作为乙方履行本合同的担保。本合同终止之日起10个工作日内，若乙方无违反本合同约定的，甲方将该履约保证金一次性无息退还乙方；若乙方不履行本合同主要义务或者有其他违约行为的，甲方不予退还该履约保证金；履约保证金不足以弥补甲方损失的，乙方还应赔偿甲方损失；</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②乙方应在合同生效后10日内向甲方提交金额为</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元（大写：</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履约保函，保函有效期至货物验收/工程验收后1个月。出具履约保函的银行资格：依法有提供银行担保营业范围的国有商业银行或股份制银行的分支机构。若乙方未能履行本合同所约定的任何合同义务，或未能全部履行本合同约定的任何合同义务，甲方即可向保函出具银行请求履行支付或赔偿责任；</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③乙方无需开具履约保证金或履约保函。</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b/>
          <w:bCs/>
          <w:sz w:val="21"/>
          <w:szCs w:val="21"/>
          <w:highlight w:val="none"/>
          <w:lang w:eastAsia="zh-CN"/>
        </w:rPr>
      </w:pPr>
      <w:r>
        <w:rPr>
          <w:rFonts w:hint="eastAsia" w:ascii="仿宋" w:hAnsi="仿宋" w:eastAsia="仿宋" w:cs="仿宋"/>
          <w:sz w:val="21"/>
          <w:szCs w:val="21"/>
          <w:highlight w:val="none"/>
          <w:lang w:val="en-US" w:eastAsia="zh-CN"/>
        </w:rPr>
        <w:t xml:space="preserve">17.2 </w:t>
      </w:r>
      <w:r>
        <w:rPr>
          <w:rFonts w:hint="eastAsia" w:ascii="仿宋" w:hAnsi="仿宋" w:eastAsia="仿宋" w:cs="仿宋"/>
          <w:sz w:val="21"/>
          <w:szCs w:val="21"/>
          <w:highlight w:val="none"/>
          <w:lang w:eastAsia="zh-CN"/>
        </w:rPr>
        <w:t>乙方应按本条约定提供甲方认可的履约保证金或履约保函。乙方应提供而未按约提供的，甲方有权拒付任何款项。经甲方书面提出，仍不改正的，甲方有权单方面决定解除合同，届时，乙方按合同总金额的30%向甲方支付违约金，如果违约金不能弥补所发生的一切损失和费用，则还应当负责弥补。</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18.</w:t>
      </w:r>
      <w:r>
        <w:rPr>
          <w:rFonts w:hint="eastAsia" w:ascii="仿宋" w:hAnsi="仿宋" w:eastAsia="仿宋" w:cs="仿宋"/>
          <w:b/>
          <w:bCs/>
          <w:sz w:val="24"/>
          <w:highlight w:val="none"/>
        </w:rPr>
        <w:t>特别约定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ascii="仿宋" w:hAnsi="仿宋" w:eastAsia="仿宋"/>
          <w:color w:val="333333"/>
          <w:szCs w:val="21"/>
          <w:highlight w:val="none"/>
          <w:u w:val="single"/>
          <w:shd w:val="clear" w:color="auto" w:fill="FFFFFF"/>
        </w:rPr>
      </w:pPr>
      <w:r>
        <w:rPr>
          <w:rFonts w:hint="eastAsia" w:ascii="仿宋" w:hAnsi="仿宋" w:eastAsia="仿宋"/>
          <w:color w:val="333333"/>
          <w:szCs w:val="21"/>
          <w:highlight w:val="none"/>
          <w:u w:val="single"/>
          <w:shd w:val="clear" w:color="auto" w:fill="FFFFFF"/>
        </w:rPr>
        <w:t xml:space="preserve"> （无）</w:t>
      </w:r>
      <w:r>
        <w:rPr>
          <w:rFonts w:ascii="仿宋" w:hAnsi="仿宋" w:eastAsia="仿宋"/>
          <w:color w:val="333333"/>
          <w:szCs w:val="21"/>
          <w:highlight w:val="none"/>
          <w:u w:val="single"/>
          <w:shd w:val="clear" w:color="auto" w:fill="FFFFFF"/>
        </w:rPr>
        <w:t xml:space="preserve"> </w:t>
      </w:r>
      <w:r>
        <w:rPr>
          <w:rFonts w:hint="eastAsia" w:ascii="仿宋" w:hAnsi="仿宋" w:eastAsia="仿宋"/>
          <w:color w:val="333333"/>
          <w:szCs w:val="21"/>
          <w:highlight w:val="none"/>
          <w:u w:val="single"/>
          <w:shd w:val="clear" w:color="auto" w:fill="FFFFFF"/>
        </w:rPr>
        <w:t>或</w:t>
      </w:r>
      <w:r>
        <w:rPr>
          <w:rFonts w:ascii="仿宋" w:hAnsi="仿宋" w:eastAsia="仿宋"/>
          <w:color w:val="333333"/>
          <w:szCs w:val="21"/>
          <w:highlight w:val="none"/>
          <w:u w:val="single"/>
          <w:shd w:val="clear" w:color="auto" w:fill="FFFFFF"/>
        </w:rPr>
        <w:t>根据</w:t>
      </w:r>
      <w:r>
        <w:rPr>
          <w:rFonts w:hint="eastAsia" w:ascii="仿宋" w:hAnsi="仿宋" w:eastAsia="仿宋"/>
          <w:color w:val="333333"/>
          <w:szCs w:val="21"/>
          <w:highlight w:val="none"/>
          <w:u w:val="single"/>
          <w:shd w:val="clear" w:color="auto" w:fill="FFFFFF"/>
        </w:rPr>
        <w:t>实际谈判</w:t>
      </w:r>
      <w:r>
        <w:rPr>
          <w:rFonts w:ascii="仿宋" w:hAnsi="仿宋" w:eastAsia="仿宋"/>
          <w:color w:val="333333"/>
          <w:szCs w:val="21"/>
          <w:highlight w:val="none"/>
          <w:u w:val="single"/>
          <w:shd w:val="clear" w:color="auto" w:fill="FFFFFF"/>
        </w:rPr>
        <w:t xml:space="preserve">内容填写                                 </w:t>
      </w:r>
    </w:p>
    <w:p>
      <w:pPr>
        <w:pStyle w:val="27"/>
        <w:keepNext w:val="0"/>
        <w:keepLines w:val="0"/>
        <w:pageBreakBefore w:val="0"/>
        <w:kinsoku/>
        <w:wordWrap/>
        <w:overflowPunct/>
        <w:topLinePunct w:val="0"/>
        <w:autoSpaceDE/>
        <w:autoSpaceDN/>
        <w:bidi w:val="0"/>
        <w:adjustRightInd/>
        <w:snapToGrid/>
        <w:spacing w:line="440" w:lineRule="exact"/>
        <w:ind w:firstLine="56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（以下无正文）</w:t>
      </w:r>
    </w:p>
    <w:p>
      <w:pPr>
        <w:pStyle w:val="27"/>
        <w:keepNext w:val="0"/>
        <w:keepLines w:val="0"/>
        <w:pageBreakBefore w:val="0"/>
        <w:kinsoku/>
        <w:wordWrap/>
        <w:overflowPunct/>
        <w:topLinePunct w:val="0"/>
        <w:autoSpaceDE/>
        <w:autoSpaceDN/>
        <w:bidi w:val="0"/>
        <w:adjustRightInd/>
        <w:snapToGrid/>
        <w:spacing w:line="440" w:lineRule="exact"/>
        <w:ind w:firstLine="560"/>
        <w:textAlignment w:val="auto"/>
        <w:outlineLvl w:val="9"/>
        <w:rPr>
          <w:rFonts w:hint="eastAsia" w:ascii="仿宋" w:hAnsi="仿宋" w:eastAsia="仿宋" w:cs="仿宋"/>
          <w:szCs w:val="21"/>
          <w:highlight w:val="none"/>
        </w:rPr>
      </w:pPr>
    </w:p>
    <w:p>
      <w:pPr>
        <w:pStyle w:val="27"/>
        <w:keepNext w:val="0"/>
        <w:keepLines w:val="0"/>
        <w:pageBreakBefore w:val="0"/>
        <w:kinsoku/>
        <w:wordWrap/>
        <w:overflowPunct/>
        <w:topLinePunct w:val="0"/>
        <w:autoSpaceDE/>
        <w:autoSpaceDN/>
        <w:bidi w:val="0"/>
        <w:snapToGrid/>
        <w:spacing w:line="400" w:lineRule="exact"/>
        <w:ind w:firstLine="560"/>
        <w:textAlignment w:val="auto"/>
        <w:outlineLvl w:val="9"/>
        <w:rPr>
          <w:rFonts w:hint="eastAsia" w:ascii="仿宋" w:hAnsi="仿宋" w:eastAsia="仿宋" w:cs="仿宋"/>
          <w:szCs w:val="21"/>
        </w:rPr>
      </w:pPr>
    </w:p>
    <w:p>
      <w:pPr>
        <w:pStyle w:val="27"/>
        <w:keepNext w:val="0"/>
        <w:keepLines w:val="0"/>
        <w:pageBreakBefore w:val="0"/>
        <w:kinsoku/>
        <w:wordWrap/>
        <w:overflowPunct/>
        <w:topLinePunct w:val="0"/>
        <w:autoSpaceDE/>
        <w:autoSpaceDN/>
        <w:bidi w:val="0"/>
        <w:snapToGrid/>
        <w:spacing w:line="400" w:lineRule="exact"/>
        <w:ind w:firstLine="560"/>
        <w:textAlignment w:val="auto"/>
        <w:outlineLvl w:val="9"/>
        <w:rPr>
          <w:rFonts w:hint="eastAsia" w:ascii="仿宋" w:hAnsi="仿宋" w:eastAsia="仿宋" w:cs="仿宋"/>
          <w:szCs w:val="21"/>
        </w:rPr>
      </w:pPr>
    </w:p>
    <w:p>
      <w:pPr>
        <w:pStyle w:val="27"/>
        <w:keepNext w:val="0"/>
        <w:keepLines w:val="0"/>
        <w:pageBreakBefore w:val="0"/>
        <w:kinsoku/>
        <w:wordWrap/>
        <w:overflowPunct/>
        <w:topLinePunct w:val="0"/>
        <w:autoSpaceDE/>
        <w:autoSpaceDN/>
        <w:bidi w:val="0"/>
        <w:snapToGrid/>
        <w:spacing w:line="400" w:lineRule="exact"/>
        <w:ind w:firstLine="560"/>
        <w:textAlignment w:val="auto"/>
        <w:outlineLvl w:val="9"/>
        <w:rPr>
          <w:rFonts w:hint="eastAsia" w:ascii="仿宋" w:hAnsi="仿宋" w:eastAsia="仿宋" w:cs="仿宋"/>
          <w:szCs w:val="21"/>
        </w:rPr>
      </w:pPr>
    </w:p>
    <w:tbl>
      <w:tblPr>
        <w:tblStyle w:val="50"/>
        <w:tblpPr w:leftFromText="180" w:rightFromText="180" w:vertAnchor="text" w:horzAnchor="margin" w:tblpXSpec="center" w:tblpY="42"/>
        <w:tblW w:w="0" w:type="auto"/>
        <w:jc w:val="center"/>
        <w:tblLayout w:type="fixed"/>
        <w:tblCellMar>
          <w:top w:w="0" w:type="dxa"/>
          <w:left w:w="108" w:type="dxa"/>
          <w:bottom w:w="0" w:type="dxa"/>
          <w:right w:w="108" w:type="dxa"/>
        </w:tblCellMar>
      </w:tblPr>
      <w:tblGrid>
        <w:gridCol w:w="5070"/>
        <w:gridCol w:w="4872"/>
      </w:tblGrid>
      <w:tr>
        <w:tblPrEx>
          <w:tblCellMar>
            <w:top w:w="0" w:type="dxa"/>
            <w:left w:w="108" w:type="dxa"/>
            <w:bottom w:w="0" w:type="dxa"/>
            <w:right w:w="108" w:type="dxa"/>
          </w:tblCellMar>
        </w:tblPrEx>
        <w:trPr>
          <w:jc w:val="center"/>
        </w:trPr>
        <w:tc>
          <w:tcPr>
            <w:tcW w:w="5070" w:type="dxa"/>
            <w:noWrap w:val="0"/>
            <w:vAlign w:val="top"/>
          </w:tcPr>
          <w:p>
            <w:pPr>
              <w:spacing w:line="360" w:lineRule="exact"/>
              <w:ind w:left="315" w:hanging="315" w:hangingChars="150"/>
              <w:rPr>
                <w:rFonts w:hint="eastAsia" w:ascii="仿宋" w:hAnsi="仿宋" w:eastAsia="仿宋" w:cs="仿宋"/>
              </w:rPr>
            </w:pPr>
            <w:r>
              <w:rPr>
                <w:rFonts w:hint="eastAsia" w:ascii="仿宋" w:hAnsi="仿宋" w:eastAsia="仿宋" w:cs="仿宋"/>
              </w:rPr>
              <w:t>甲方：广东机场白云信息科技有限公司（盖章）</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p>
          <w:p>
            <w:pPr>
              <w:pStyle w:val="2"/>
              <w:jc w:val="both"/>
              <w:rPr>
                <w:rFonts w:hint="eastAsia" w:ascii="仿宋" w:hAnsi="仿宋" w:eastAsia="仿宋" w:cs="仿宋"/>
              </w:rPr>
            </w:pP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乙方：</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r>
              <w:rPr>
                <w:rFonts w:hint="eastAsia" w:ascii="仿宋" w:hAnsi="仿宋" w:eastAsia="仿宋" w:cs="仿宋"/>
              </w:rPr>
              <w:t>法人代表</w:t>
            </w:r>
            <w:r>
              <w:rPr>
                <w:rFonts w:hint="eastAsia" w:ascii="仿宋" w:hAnsi="仿宋" w:eastAsia="仿宋" w:cs="仿宋"/>
                <w:szCs w:val="22"/>
              </w:rPr>
              <w:t>/授权代表（</w:t>
            </w:r>
            <w:r>
              <w:rPr>
                <w:rFonts w:hint="eastAsia" w:ascii="仿宋" w:hAnsi="仿宋" w:eastAsia="仿宋" w:cs="仿宋"/>
              </w:rPr>
              <w:t>签字）：</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法人代</w:t>
            </w:r>
            <w:r>
              <w:rPr>
                <w:rFonts w:hint="eastAsia" w:ascii="仿宋" w:hAnsi="仿宋" w:eastAsia="仿宋" w:cs="仿宋"/>
                <w:szCs w:val="22"/>
              </w:rPr>
              <w:t>表/授权代表（签字</w:t>
            </w:r>
            <w:r>
              <w:rPr>
                <w:rFonts w:hint="eastAsia" w:ascii="仿宋" w:hAnsi="仿宋" w:eastAsia="仿宋" w:cs="仿宋"/>
                <w:bCs/>
              </w:rPr>
              <w:t>）：</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p>
        </w:tc>
        <w:tc>
          <w:tcPr>
            <w:tcW w:w="4872" w:type="dxa"/>
            <w:noWrap w:val="0"/>
            <w:vAlign w:val="top"/>
          </w:tcPr>
          <w:p>
            <w:pPr>
              <w:spacing w:line="360" w:lineRule="exact"/>
              <w:rPr>
                <w:rFonts w:hint="eastAsia" w:ascii="仿宋" w:hAnsi="仿宋" w:eastAsia="仿宋" w:cs="仿宋"/>
                <w:bCs/>
              </w:rPr>
            </w:pP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szCs w:val="22"/>
              </w:rPr>
            </w:pPr>
            <w:r>
              <w:rPr>
                <w:rFonts w:hint="eastAsia" w:ascii="仿宋" w:hAnsi="仿宋" w:eastAsia="仿宋" w:cs="仿宋"/>
                <w:szCs w:val="22"/>
              </w:rPr>
              <w:t xml:space="preserve">日    期：     </w:t>
            </w:r>
            <w:r>
              <w:rPr>
                <w:rFonts w:hint="eastAsia" w:ascii="仿宋" w:hAnsi="仿宋" w:eastAsia="仿宋" w:cs="仿宋"/>
                <w:szCs w:val="22"/>
                <w:lang w:val="en-US" w:eastAsia="zh-CN"/>
              </w:rPr>
              <w:t xml:space="preserve"> </w:t>
            </w:r>
            <w:r>
              <w:rPr>
                <w:rFonts w:hint="eastAsia" w:ascii="仿宋" w:hAnsi="仿宋" w:eastAsia="仿宋" w:cs="仿宋"/>
                <w:szCs w:val="22"/>
              </w:rPr>
              <w:t>年   月   日</w:t>
            </w:r>
          </w:p>
        </w:tc>
        <w:tc>
          <w:tcPr>
            <w:tcW w:w="4872" w:type="dxa"/>
            <w:noWrap w:val="0"/>
            <w:vAlign w:val="top"/>
          </w:tcPr>
          <w:p>
            <w:pPr>
              <w:spacing w:line="360" w:lineRule="exact"/>
              <w:rPr>
                <w:rFonts w:hint="eastAsia" w:ascii="仿宋" w:hAnsi="仿宋" w:eastAsia="仿宋" w:cs="仿宋"/>
                <w:szCs w:val="22"/>
              </w:rPr>
            </w:pPr>
            <w:r>
              <w:rPr>
                <w:rFonts w:hint="eastAsia" w:ascii="仿宋" w:hAnsi="仿宋" w:eastAsia="仿宋" w:cs="仿宋"/>
                <w:szCs w:val="22"/>
              </w:rPr>
              <w:t xml:space="preserve">日    期：     </w:t>
            </w:r>
            <w:r>
              <w:rPr>
                <w:rFonts w:hint="eastAsia" w:ascii="仿宋" w:hAnsi="仿宋" w:eastAsia="仿宋" w:cs="仿宋"/>
                <w:szCs w:val="22"/>
                <w:lang w:val="en-US" w:eastAsia="zh-CN"/>
              </w:rPr>
              <w:t xml:space="preserve"> </w:t>
            </w:r>
            <w:r>
              <w:rPr>
                <w:rFonts w:hint="eastAsia" w:ascii="仿宋" w:hAnsi="仿宋" w:eastAsia="仿宋" w:cs="仿宋"/>
                <w:szCs w:val="22"/>
              </w:rPr>
              <w:t>年   月   日</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r>
              <w:rPr>
                <w:rFonts w:hint="eastAsia" w:ascii="仿宋" w:hAnsi="仿宋" w:eastAsia="仿宋" w:cs="仿宋"/>
              </w:rPr>
              <w:t>通讯地址：</w:t>
            </w:r>
            <w:r>
              <w:rPr>
                <w:rFonts w:hint="eastAsia" w:ascii="仿宋" w:hAnsi="仿宋" w:eastAsia="仿宋" w:cs="仿宋"/>
                <w:szCs w:val="21"/>
              </w:rPr>
              <w:t>广州白云国际机场东南工作区横二路A4综合北楼</w:t>
            </w:r>
            <w:r>
              <w:rPr>
                <w:rFonts w:hint="eastAsia" w:ascii="仿宋" w:hAnsi="仿宋" w:eastAsia="仿宋" w:cs="仿宋"/>
              </w:rPr>
              <w:t xml:space="preserve"> </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 xml:space="preserve">通讯地址： </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lang w:val="en-US" w:eastAsia="zh-CN"/>
              </w:rPr>
            </w:pPr>
            <w:r>
              <w:rPr>
                <w:rFonts w:hint="eastAsia" w:ascii="仿宋" w:hAnsi="仿宋" w:eastAsia="仿宋" w:cs="仿宋"/>
                <w:lang w:eastAsia="zh-CN"/>
              </w:rPr>
              <w:t>联系人</w:t>
            </w:r>
            <w:r>
              <w:rPr>
                <w:rFonts w:hint="eastAsia" w:ascii="仿宋" w:hAnsi="仿宋" w:eastAsia="仿宋" w:cs="仿宋"/>
              </w:rPr>
              <w:t>：</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lang w:eastAsia="zh-CN"/>
              </w:rPr>
              <w:t>联系人</w:t>
            </w:r>
            <w:r>
              <w:rPr>
                <w:rFonts w:hint="eastAsia" w:ascii="仿宋" w:hAnsi="仿宋" w:eastAsia="仿宋" w:cs="仿宋"/>
                <w:bCs/>
              </w:rPr>
              <w:t>：</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lang w:val="en-US" w:eastAsia="zh-CN"/>
              </w:rPr>
            </w:pPr>
            <w:r>
              <w:rPr>
                <w:rFonts w:hint="eastAsia" w:ascii="仿宋" w:hAnsi="仿宋" w:eastAsia="仿宋" w:cs="仿宋"/>
                <w:lang w:val="en-US" w:eastAsia="zh-CN"/>
              </w:rPr>
              <w:t>联系电话：020-36066620</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lang w:val="en-US" w:eastAsia="zh-CN"/>
              </w:rPr>
              <w:t>联系电话：</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lang w:val="en-US" w:eastAsia="zh-CN"/>
              </w:rPr>
            </w:pPr>
            <w:r>
              <w:rPr>
                <w:rFonts w:hint="eastAsia" w:ascii="仿宋" w:hAnsi="仿宋" w:eastAsia="仿宋" w:cs="仿宋"/>
                <w:lang w:eastAsia="zh-CN"/>
              </w:rPr>
              <w:t>电子邮箱：</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lang w:eastAsia="zh-CN"/>
              </w:rPr>
              <w:t>电子邮箱：</w:t>
            </w:r>
          </w:p>
        </w:tc>
      </w:tr>
    </w:tbl>
    <w:p>
      <w:pPr>
        <w:adjustRightInd w:val="0"/>
        <w:spacing w:line="360" w:lineRule="auto"/>
        <w:rPr>
          <w:rFonts w:hint="eastAsia" w:ascii="仿宋" w:hAnsi="仿宋" w:eastAsia="仿宋"/>
          <w:szCs w:val="21"/>
        </w:rPr>
      </w:pPr>
    </w:p>
    <w:p>
      <w:pPr>
        <w:spacing w:line="400" w:lineRule="exact"/>
        <w:jc w:val="left"/>
        <w:rPr>
          <w:rFonts w:hint="eastAsia" w:ascii="黑体" w:hAnsi="黑体" w:eastAsia="黑体" w:cs="黑体"/>
          <w:b/>
          <w:szCs w:val="21"/>
          <w:lang w:val="en-US" w:eastAsia="zh-CN"/>
        </w:rPr>
      </w:pPr>
      <w:r>
        <w:rPr>
          <w:rFonts w:hint="eastAsia" w:ascii="黑体" w:hAnsi="黑体" w:eastAsia="黑体" w:cs="黑体"/>
          <w:b/>
          <w:szCs w:val="21"/>
          <w:lang w:val="en-US" w:eastAsia="zh-CN"/>
        </w:rPr>
        <w:t>附件1</w:t>
      </w:r>
    </w:p>
    <w:p>
      <w:pPr>
        <w:spacing w:line="400" w:lineRule="exact"/>
        <w:ind w:firstLine="562" w:firstLineChars="200"/>
        <w:jc w:val="center"/>
        <w:rPr>
          <w:rFonts w:ascii="仿宋" w:hAnsi="仿宋" w:eastAsia="仿宋"/>
          <w:b/>
          <w:sz w:val="28"/>
          <w:szCs w:val="28"/>
        </w:rPr>
      </w:pPr>
      <w:r>
        <w:rPr>
          <w:rFonts w:hint="eastAsia" w:ascii="仿宋" w:hAnsi="仿宋" w:eastAsia="仿宋"/>
          <w:b/>
          <w:sz w:val="28"/>
          <w:szCs w:val="28"/>
        </w:rPr>
        <w:t>反商业</w:t>
      </w:r>
      <w:r>
        <w:rPr>
          <w:rFonts w:ascii="仿宋" w:hAnsi="仿宋" w:eastAsia="仿宋"/>
          <w:b/>
          <w:sz w:val="28"/>
          <w:szCs w:val="28"/>
        </w:rPr>
        <w:t>贿赂协议</w:t>
      </w:r>
    </w:p>
    <w:p>
      <w:pPr>
        <w:spacing w:line="400" w:lineRule="exact"/>
        <w:ind w:firstLine="420" w:firstLineChars="200"/>
        <w:jc w:val="left"/>
        <w:rPr>
          <w:rFonts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广东机场白云信息科技有限公司</w:t>
      </w:r>
    </w:p>
    <w:p>
      <w:pPr>
        <w:spacing w:line="400" w:lineRule="exact"/>
        <w:ind w:firstLine="420" w:firstLineChars="200"/>
        <w:jc w:val="left"/>
        <w:rPr>
          <w:rFonts w:ascii="仿宋" w:hAnsi="仿宋" w:eastAsia="仿宋"/>
          <w:szCs w:val="21"/>
        </w:rPr>
      </w:pPr>
      <w:r>
        <w:rPr>
          <w:rFonts w:hint="eastAsia" w:ascii="仿宋" w:hAnsi="仿宋" w:eastAsia="仿宋"/>
          <w:szCs w:val="21"/>
        </w:rPr>
        <w:t>乙方</w:t>
      </w:r>
      <w:r>
        <w:rPr>
          <w:rFonts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rPr>
        <w:t>为</w:t>
      </w:r>
      <w:r>
        <w:rPr>
          <w:rFonts w:ascii="仿宋" w:hAnsi="仿宋" w:eastAsia="仿宋"/>
          <w:szCs w:val="21"/>
        </w:rPr>
        <w:t>共同制止商业</w:t>
      </w:r>
      <w:r>
        <w:rPr>
          <w:rFonts w:hint="eastAsia" w:ascii="仿宋" w:hAnsi="仿宋" w:eastAsia="仿宋"/>
          <w:szCs w:val="21"/>
        </w:rPr>
        <w:t>贿赂</w:t>
      </w:r>
      <w:r>
        <w:rPr>
          <w:rFonts w:ascii="仿宋" w:hAnsi="仿宋" w:eastAsia="仿宋"/>
          <w:szCs w:val="21"/>
        </w:rPr>
        <w:t>行为，维护各自及双方共同的</w:t>
      </w:r>
      <w:r>
        <w:rPr>
          <w:rFonts w:hint="eastAsia" w:ascii="仿宋" w:hAnsi="仿宋" w:eastAsia="仿宋"/>
          <w:szCs w:val="21"/>
        </w:rPr>
        <w:t>合法</w:t>
      </w:r>
      <w:r>
        <w:rPr>
          <w:rFonts w:ascii="仿宋" w:hAnsi="仿宋" w:eastAsia="仿宋"/>
          <w:szCs w:val="21"/>
        </w:rPr>
        <w:t>权益，保证甲乙双方商业合作关系健康发展，根据《中华人民共和国反不正当竞争法》（以下简称</w:t>
      </w:r>
      <w:r>
        <w:rPr>
          <w:rFonts w:hint="eastAsia" w:ascii="仿宋" w:hAnsi="仿宋" w:eastAsia="仿宋"/>
          <w:szCs w:val="21"/>
        </w:rPr>
        <w:t>反</w:t>
      </w:r>
      <w:r>
        <w:rPr>
          <w:rFonts w:ascii="仿宋" w:hAnsi="仿宋" w:eastAsia="仿宋"/>
          <w:szCs w:val="21"/>
        </w:rPr>
        <w:t>不正当竞争法）、国家工商</w:t>
      </w:r>
      <w:r>
        <w:rPr>
          <w:rFonts w:hint="eastAsia" w:ascii="仿宋" w:hAnsi="仿宋" w:eastAsia="仿宋"/>
          <w:szCs w:val="21"/>
        </w:rPr>
        <w:t>行政</w:t>
      </w:r>
      <w:r>
        <w:rPr>
          <w:rFonts w:ascii="仿宋" w:hAnsi="仿宋" w:eastAsia="仿宋"/>
          <w:szCs w:val="21"/>
        </w:rPr>
        <w:t>管理局《关于禁止商业贿赂行为的暂行规定》（国家工商行政管理局令第</w:t>
      </w:r>
      <w:r>
        <w:rPr>
          <w:rFonts w:hint="eastAsia" w:ascii="仿宋" w:hAnsi="仿宋" w:eastAsia="仿宋"/>
          <w:szCs w:val="21"/>
        </w:rPr>
        <w:t>60号</w:t>
      </w:r>
      <w:r>
        <w:rPr>
          <w:rFonts w:ascii="仿宋" w:hAnsi="仿宋" w:eastAsia="仿宋"/>
          <w:szCs w:val="21"/>
        </w:rPr>
        <w:t>）等有关法律、法规、经甲乙双方友好协商，达成如下反商业贿赂协议，以资双方信守履行：</w:t>
      </w:r>
    </w:p>
    <w:p>
      <w:pPr>
        <w:pStyle w:val="248"/>
        <w:numPr>
          <w:ilvl w:val="0"/>
          <w:numId w:val="8"/>
        </w:numPr>
        <w:spacing w:line="400" w:lineRule="exact"/>
        <w:ind w:left="420" w:leftChars="200" w:firstLine="0" w:firstLineChars="0"/>
        <w:jc w:val="left"/>
        <w:rPr>
          <w:rFonts w:ascii="仿宋" w:hAnsi="仿宋" w:eastAsia="仿宋"/>
          <w:szCs w:val="21"/>
        </w:rPr>
      </w:pPr>
      <w:r>
        <w:rPr>
          <w:rFonts w:ascii="仿宋" w:hAnsi="仿宋" w:eastAsia="仿宋"/>
          <w:szCs w:val="21"/>
        </w:rPr>
        <w:t>本协议所称的商业贿赂是指甲方与</w:t>
      </w:r>
      <w:r>
        <w:rPr>
          <w:rFonts w:hint="eastAsia" w:ascii="仿宋" w:hAnsi="仿宋" w:eastAsia="仿宋"/>
          <w:szCs w:val="21"/>
        </w:rPr>
        <w:t>乙方</w:t>
      </w:r>
      <w:r>
        <w:rPr>
          <w:rFonts w:ascii="仿宋" w:hAnsi="仿宋" w:eastAsia="仿宋"/>
          <w:szCs w:val="21"/>
        </w:rPr>
        <w:t>在合作过程中，乙方或其单位工作人员给予甲方人员的贿赂，具体由检查</w:t>
      </w:r>
      <w:r>
        <w:rPr>
          <w:rFonts w:hint="eastAsia" w:ascii="仿宋" w:hAnsi="仿宋" w:eastAsia="仿宋"/>
          <w:szCs w:val="21"/>
        </w:rPr>
        <w:t>机关</w:t>
      </w:r>
      <w:r>
        <w:rPr>
          <w:rFonts w:ascii="仿宋" w:hAnsi="仿宋" w:eastAsia="仿宋"/>
          <w:szCs w:val="21"/>
        </w:rPr>
        <w:t>或纪检监察部门界定。</w:t>
      </w:r>
    </w:p>
    <w:p>
      <w:pPr>
        <w:pStyle w:val="248"/>
        <w:numPr>
          <w:ilvl w:val="0"/>
          <w:numId w:val="8"/>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甲方</w:t>
      </w:r>
      <w:r>
        <w:rPr>
          <w:rFonts w:ascii="仿宋" w:hAnsi="仿宋" w:eastAsia="仿宋"/>
          <w:szCs w:val="21"/>
        </w:rPr>
        <w:t>人员不得以任何名义</w:t>
      </w:r>
      <w:r>
        <w:rPr>
          <w:rFonts w:hint="eastAsia" w:ascii="仿宋" w:hAnsi="仿宋" w:eastAsia="仿宋"/>
          <w:szCs w:val="21"/>
        </w:rPr>
        <w:t>向</w:t>
      </w:r>
      <w:r>
        <w:rPr>
          <w:rFonts w:ascii="仿宋" w:hAnsi="仿宋" w:eastAsia="仿宋"/>
          <w:szCs w:val="21"/>
        </w:rPr>
        <w:t>乙方索取贿赂</w:t>
      </w:r>
      <w:r>
        <w:rPr>
          <w:rFonts w:hint="eastAsia" w:ascii="仿宋" w:hAnsi="仿宋" w:eastAsia="仿宋"/>
          <w:szCs w:val="21"/>
        </w:rPr>
        <w:t>；</w:t>
      </w:r>
      <w:r>
        <w:rPr>
          <w:rFonts w:ascii="仿宋" w:hAnsi="仿宋" w:eastAsia="仿宋"/>
          <w:szCs w:val="21"/>
        </w:rPr>
        <w:t>收受贿赂的人员，甲方给予解雇，没收违法所得，情节严重构成犯罪的，移交司法机关追究刑事责任。</w:t>
      </w:r>
    </w:p>
    <w:p>
      <w:pPr>
        <w:pStyle w:val="248"/>
        <w:numPr>
          <w:ilvl w:val="0"/>
          <w:numId w:val="8"/>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属甲方</w:t>
      </w:r>
      <w:r>
        <w:rPr>
          <w:rFonts w:ascii="仿宋" w:hAnsi="仿宋" w:eastAsia="仿宋"/>
          <w:szCs w:val="21"/>
        </w:rPr>
        <w:t>人员主动索贿，乙方不配合甲方或其上级机关调查其人员受贿行为，将视为乙方违反协议，经核实后，甲方有权终止与乙方的合同。</w:t>
      </w:r>
    </w:p>
    <w:p>
      <w:pPr>
        <w:pStyle w:val="248"/>
        <w:numPr>
          <w:ilvl w:val="0"/>
          <w:numId w:val="8"/>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乙方</w:t>
      </w:r>
      <w:r>
        <w:rPr>
          <w:rFonts w:ascii="仿宋" w:hAnsi="仿宋" w:eastAsia="仿宋"/>
          <w:szCs w:val="21"/>
        </w:rPr>
        <w:t>违反协议，单位或工作人员贿赂甲方人员，以图获取不正当商业利益，经核实后，乙方需向甲方按</w:t>
      </w:r>
      <w:r>
        <w:rPr>
          <w:rFonts w:hint="eastAsia" w:ascii="仿宋" w:hAnsi="仿宋" w:eastAsia="仿宋"/>
          <w:szCs w:val="21"/>
        </w:rPr>
        <w:t>合同</w:t>
      </w:r>
      <w:r>
        <w:rPr>
          <w:rFonts w:ascii="仿宋" w:hAnsi="仿宋" w:eastAsia="仿宋"/>
          <w:szCs w:val="21"/>
        </w:rPr>
        <w:t>标的额支付相应违约金</w:t>
      </w:r>
      <w:r>
        <w:rPr>
          <w:rFonts w:hint="eastAsia" w:ascii="仿宋" w:hAnsi="仿宋" w:eastAsia="仿宋"/>
          <w:szCs w:val="21"/>
        </w:rPr>
        <w:t>。</w:t>
      </w:r>
      <w:r>
        <w:rPr>
          <w:rFonts w:ascii="仿宋" w:hAnsi="仿宋" w:eastAsia="仿宋"/>
          <w:szCs w:val="21"/>
        </w:rPr>
        <w:t>其中</w:t>
      </w:r>
      <w:r>
        <w:rPr>
          <w:rFonts w:hint="eastAsia"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4.1. </w:t>
      </w:r>
      <w:r>
        <w:rPr>
          <w:rFonts w:ascii="仿宋" w:hAnsi="仿宋" w:eastAsia="仿宋"/>
          <w:szCs w:val="21"/>
        </w:rPr>
        <w:t>100</w:t>
      </w:r>
      <w:r>
        <w:rPr>
          <w:rFonts w:hint="eastAsia" w:ascii="仿宋" w:hAnsi="仿宋" w:eastAsia="仿宋"/>
          <w:szCs w:val="21"/>
        </w:rPr>
        <w:t>万元</w:t>
      </w:r>
      <w:r>
        <w:rPr>
          <w:rFonts w:ascii="仿宋" w:hAnsi="仿宋" w:eastAsia="仿宋"/>
          <w:szCs w:val="21"/>
        </w:rPr>
        <w:t>以下的合同</w:t>
      </w:r>
      <w:r>
        <w:rPr>
          <w:rFonts w:hint="eastAsia" w:ascii="仿宋" w:hAnsi="仿宋" w:eastAsia="仿宋"/>
          <w:szCs w:val="21"/>
        </w:rPr>
        <w:t>，</w:t>
      </w:r>
      <w:r>
        <w:rPr>
          <w:rFonts w:ascii="仿宋" w:hAnsi="仿宋" w:eastAsia="仿宋"/>
          <w:szCs w:val="21"/>
        </w:rPr>
        <w:t>支付标的额</w:t>
      </w:r>
      <w:r>
        <w:rPr>
          <w:rFonts w:hint="eastAsia" w:ascii="仿宋" w:hAnsi="仿宋" w:eastAsia="仿宋"/>
          <w:szCs w:val="21"/>
        </w:rPr>
        <w:t>20</w:t>
      </w:r>
      <w:r>
        <w:rPr>
          <w:rFonts w:ascii="仿宋" w:hAnsi="仿宋" w:eastAsia="仿宋"/>
          <w:szCs w:val="21"/>
        </w:rPr>
        <w:t>%的违约金；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4.2  </w:t>
      </w:r>
      <w:r>
        <w:rPr>
          <w:rFonts w:ascii="仿宋" w:hAnsi="仿宋" w:eastAsia="仿宋"/>
          <w:szCs w:val="21"/>
        </w:rPr>
        <w:t>100</w:t>
      </w:r>
      <w:r>
        <w:rPr>
          <w:rFonts w:hint="eastAsia" w:ascii="仿宋" w:hAnsi="仿宋" w:eastAsia="仿宋"/>
          <w:szCs w:val="21"/>
        </w:rPr>
        <w:t>万元</w:t>
      </w:r>
      <w:r>
        <w:rPr>
          <w:rFonts w:ascii="仿宋" w:hAnsi="仿宋" w:eastAsia="仿宋"/>
          <w:szCs w:val="21"/>
        </w:rPr>
        <w:t>-1000</w:t>
      </w:r>
      <w:r>
        <w:rPr>
          <w:rFonts w:hint="eastAsia" w:ascii="仿宋" w:hAnsi="仿宋" w:eastAsia="仿宋"/>
          <w:szCs w:val="21"/>
        </w:rPr>
        <w:t>万元</w:t>
      </w:r>
      <w:r>
        <w:rPr>
          <w:rFonts w:ascii="仿宋" w:hAnsi="仿宋" w:eastAsia="仿宋"/>
          <w:szCs w:val="21"/>
        </w:rPr>
        <w:t>（含）的合同，</w:t>
      </w:r>
      <w:r>
        <w:rPr>
          <w:rFonts w:hint="eastAsia" w:ascii="仿宋" w:hAnsi="仿宋" w:eastAsia="仿宋"/>
          <w:szCs w:val="21"/>
        </w:rPr>
        <w:t>100万元</w:t>
      </w:r>
      <w:r>
        <w:rPr>
          <w:rFonts w:ascii="仿宋" w:hAnsi="仿宋" w:eastAsia="仿宋"/>
          <w:szCs w:val="21"/>
        </w:rPr>
        <w:t>按</w:t>
      </w:r>
      <w:r>
        <w:rPr>
          <w:rFonts w:hint="eastAsia" w:ascii="仿宋" w:hAnsi="仿宋" w:eastAsia="仿宋"/>
          <w:szCs w:val="21"/>
        </w:rPr>
        <w:t>20</w:t>
      </w:r>
      <w:r>
        <w:rPr>
          <w:rFonts w:ascii="仿宋" w:hAnsi="仿宋" w:eastAsia="仿宋"/>
          <w:szCs w:val="21"/>
        </w:rPr>
        <w:t>%、超出</w:t>
      </w:r>
      <w:r>
        <w:rPr>
          <w:rFonts w:hint="eastAsia" w:ascii="仿宋" w:hAnsi="仿宋" w:eastAsia="仿宋"/>
          <w:szCs w:val="21"/>
        </w:rPr>
        <w:t>100万元</w:t>
      </w:r>
      <w:r>
        <w:rPr>
          <w:rFonts w:ascii="仿宋" w:hAnsi="仿宋" w:eastAsia="仿宋"/>
          <w:szCs w:val="21"/>
        </w:rPr>
        <w:t>部分按</w:t>
      </w:r>
      <w:r>
        <w:rPr>
          <w:rFonts w:hint="eastAsia" w:ascii="仿宋" w:hAnsi="仿宋" w:eastAsia="仿宋"/>
          <w:szCs w:val="21"/>
        </w:rPr>
        <w:t>15</w:t>
      </w:r>
      <w:r>
        <w:rPr>
          <w:rFonts w:ascii="仿宋" w:hAnsi="仿宋" w:eastAsia="仿宋"/>
          <w:szCs w:val="21"/>
        </w:rPr>
        <w:t>%，累计支付违约金；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4.3  </w:t>
      </w:r>
      <w:r>
        <w:rPr>
          <w:rFonts w:ascii="仿宋" w:hAnsi="仿宋" w:eastAsia="仿宋"/>
          <w:szCs w:val="21"/>
        </w:rPr>
        <w:t>1000</w:t>
      </w:r>
      <w:r>
        <w:rPr>
          <w:rFonts w:hint="eastAsia" w:ascii="仿宋" w:hAnsi="仿宋" w:eastAsia="仿宋"/>
          <w:szCs w:val="21"/>
        </w:rPr>
        <w:t>万元</w:t>
      </w:r>
      <w:r>
        <w:rPr>
          <w:rFonts w:ascii="仿宋" w:hAnsi="仿宋" w:eastAsia="仿宋"/>
          <w:szCs w:val="21"/>
        </w:rPr>
        <w:t>以上的合同，</w:t>
      </w:r>
      <w:r>
        <w:rPr>
          <w:rFonts w:hint="eastAsia" w:ascii="仿宋" w:hAnsi="仿宋" w:eastAsia="仿宋"/>
          <w:szCs w:val="21"/>
        </w:rPr>
        <w:t>100万元</w:t>
      </w:r>
      <w:r>
        <w:rPr>
          <w:rFonts w:ascii="仿宋" w:hAnsi="仿宋" w:eastAsia="仿宋"/>
          <w:szCs w:val="21"/>
        </w:rPr>
        <w:t>按</w:t>
      </w:r>
      <w:r>
        <w:rPr>
          <w:rFonts w:hint="eastAsia" w:ascii="仿宋" w:hAnsi="仿宋" w:eastAsia="仿宋"/>
          <w:szCs w:val="21"/>
        </w:rPr>
        <w:t>20</w:t>
      </w:r>
      <w:r>
        <w:rPr>
          <w:rFonts w:ascii="仿宋" w:hAnsi="仿宋" w:eastAsia="仿宋"/>
          <w:szCs w:val="21"/>
        </w:rPr>
        <w:t>%、100</w:t>
      </w:r>
      <w:r>
        <w:rPr>
          <w:rFonts w:hint="eastAsia" w:ascii="仿宋" w:hAnsi="仿宋" w:eastAsia="仿宋"/>
          <w:szCs w:val="21"/>
        </w:rPr>
        <w:t>万元</w:t>
      </w:r>
      <w:r>
        <w:rPr>
          <w:rFonts w:ascii="仿宋" w:hAnsi="仿宋" w:eastAsia="仿宋"/>
          <w:szCs w:val="21"/>
        </w:rPr>
        <w:t>以上-1000</w:t>
      </w:r>
      <w:r>
        <w:rPr>
          <w:rFonts w:hint="eastAsia" w:ascii="仿宋" w:hAnsi="仿宋" w:eastAsia="仿宋"/>
          <w:szCs w:val="21"/>
        </w:rPr>
        <w:t>万元</w:t>
      </w:r>
      <w:r>
        <w:rPr>
          <w:rFonts w:ascii="仿宋" w:hAnsi="仿宋" w:eastAsia="仿宋"/>
          <w:szCs w:val="21"/>
        </w:rPr>
        <w:t>（含）按</w:t>
      </w:r>
      <w:r>
        <w:rPr>
          <w:rFonts w:hint="eastAsia" w:ascii="仿宋" w:hAnsi="仿宋" w:eastAsia="仿宋"/>
          <w:szCs w:val="21"/>
        </w:rPr>
        <w:t>15</w:t>
      </w:r>
      <w:r>
        <w:rPr>
          <w:rFonts w:ascii="仿宋" w:hAnsi="仿宋" w:eastAsia="仿宋"/>
          <w:szCs w:val="21"/>
        </w:rPr>
        <w:t>%、超出</w:t>
      </w:r>
      <w:r>
        <w:rPr>
          <w:rFonts w:hint="eastAsia" w:ascii="仿宋" w:hAnsi="仿宋" w:eastAsia="仿宋"/>
          <w:szCs w:val="21"/>
        </w:rPr>
        <w:t>1000万元</w:t>
      </w:r>
      <w:r>
        <w:rPr>
          <w:rFonts w:ascii="仿宋" w:hAnsi="仿宋" w:eastAsia="仿宋"/>
          <w:szCs w:val="21"/>
        </w:rPr>
        <w:t>部分按</w:t>
      </w:r>
      <w:r>
        <w:rPr>
          <w:rFonts w:hint="eastAsia" w:ascii="仿宋" w:hAnsi="仿宋" w:eastAsia="仿宋"/>
          <w:szCs w:val="21"/>
        </w:rPr>
        <w:t>10</w:t>
      </w:r>
      <w:r>
        <w:rPr>
          <w:rFonts w:ascii="仿宋" w:hAnsi="仿宋" w:eastAsia="仿宋"/>
          <w:szCs w:val="21"/>
        </w:rPr>
        <w:t>%，累计支付违约金。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5. </w:t>
      </w:r>
      <w:r>
        <w:rPr>
          <w:rFonts w:ascii="仿宋" w:hAnsi="仿宋" w:eastAsia="仿宋"/>
          <w:szCs w:val="21"/>
        </w:rPr>
        <w:t>乙方违反协议，单位或工作人员（含关联企业或关联人士）贿赂甲方人员，被人民法院认定或</w:t>
      </w:r>
      <w:r>
        <w:rPr>
          <w:rFonts w:hint="eastAsia" w:ascii="仿宋" w:hAnsi="仿宋" w:eastAsia="仿宋"/>
          <w:szCs w:val="21"/>
        </w:rPr>
        <w:t>检查</w:t>
      </w:r>
      <w:r>
        <w:rPr>
          <w:rFonts w:ascii="仿宋" w:hAnsi="仿宋" w:eastAsia="仿宋"/>
          <w:szCs w:val="21"/>
        </w:rPr>
        <w:t>机关</w:t>
      </w:r>
      <w:r>
        <w:rPr>
          <w:rFonts w:hint="eastAsia" w:ascii="仿宋" w:hAnsi="仿宋" w:eastAsia="仿宋"/>
          <w:szCs w:val="21"/>
        </w:rPr>
        <w:t>、纪检</w:t>
      </w:r>
      <w:r>
        <w:rPr>
          <w:rFonts w:ascii="仿宋" w:hAnsi="仿宋" w:eastAsia="仿宋"/>
          <w:szCs w:val="21"/>
        </w:rPr>
        <w:t>监察机关、工商行政管理机关立案查处的，甲方有权立即中止合同，由此导致甲方的损失以及发生的一切费用均由乙方承担。</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6. </w:t>
      </w:r>
      <w:r>
        <w:rPr>
          <w:rFonts w:ascii="仿宋" w:hAnsi="仿宋" w:eastAsia="仿宋"/>
          <w:szCs w:val="21"/>
        </w:rPr>
        <w:t>若甲方人员要求乙方给予任何形式的不正当利益，乙方必须及时反映给甲方，并提供相关证据给甲方，经甲方查实后作出处理，</w:t>
      </w:r>
      <w:r>
        <w:rPr>
          <w:rFonts w:hint="eastAsia" w:ascii="仿宋" w:hAnsi="仿宋" w:eastAsia="仿宋"/>
          <w:szCs w:val="21"/>
        </w:rPr>
        <w:t>并</w:t>
      </w:r>
      <w:r>
        <w:rPr>
          <w:rFonts w:ascii="仿宋" w:hAnsi="仿宋" w:eastAsia="仿宋"/>
          <w:szCs w:val="21"/>
        </w:rPr>
        <w:t>为乙方保密</w:t>
      </w:r>
      <w:r>
        <w:rPr>
          <w:rFonts w:hint="eastAsia" w:ascii="仿宋" w:hAnsi="仿宋" w:eastAsia="仿宋"/>
          <w:szCs w:val="21"/>
        </w:rPr>
        <w:t>。</w:t>
      </w:r>
      <w:r>
        <w:rPr>
          <w:rFonts w:ascii="仿宋" w:hAnsi="仿宋" w:eastAsia="仿宋"/>
          <w:szCs w:val="21"/>
        </w:rPr>
        <w:t>对于</w:t>
      </w:r>
      <w:r>
        <w:rPr>
          <w:rFonts w:hint="eastAsia" w:ascii="仿宋" w:hAnsi="仿宋" w:eastAsia="仿宋"/>
          <w:szCs w:val="21"/>
        </w:rPr>
        <w:t>乙方</w:t>
      </w:r>
      <w:r>
        <w:rPr>
          <w:rFonts w:ascii="仿宋" w:hAnsi="仿宋" w:eastAsia="仿宋"/>
          <w:szCs w:val="21"/>
        </w:rPr>
        <w:t>的协助，甲方将根据情况给予乙方更多的商业合作</w:t>
      </w:r>
      <w:r>
        <w:rPr>
          <w:rFonts w:hint="eastAsia" w:ascii="仿宋" w:hAnsi="仿宋" w:eastAsia="仿宋"/>
          <w:szCs w:val="21"/>
        </w:rPr>
        <w:t>机会</w:t>
      </w:r>
      <w:r>
        <w:rPr>
          <w:rFonts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7.</w:t>
      </w:r>
      <w:r>
        <w:rPr>
          <w:rFonts w:ascii="仿宋" w:hAnsi="仿宋" w:eastAsia="仿宋"/>
          <w:szCs w:val="21"/>
        </w:rPr>
        <w:t>甲方</w:t>
      </w:r>
      <w:r>
        <w:rPr>
          <w:rFonts w:hint="eastAsia" w:ascii="仿宋" w:hAnsi="仿宋" w:eastAsia="仿宋"/>
          <w:szCs w:val="21"/>
        </w:rPr>
        <w:t>设定</w:t>
      </w:r>
      <w:r>
        <w:rPr>
          <w:rFonts w:ascii="仿宋" w:hAnsi="仿宋" w:eastAsia="仿宋"/>
          <w:szCs w:val="21"/>
        </w:rPr>
        <w:t>专人专线接受乙方反映情况</w:t>
      </w:r>
    </w:p>
    <w:p>
      <w:pPr>
        <w:spacing w:line="400" w:lineRule="exact"/>
        <w:ind w:firstLine="420" w:firstLineChars="200"/>
        <w:jc w:val="left"/>
        <w:rPr>
          <w:rFonts w:hint="eastAsia" w:ascii="仿宋" w:hAnsi="仿宋" w:eastAsia="仿宋"/>
          <w:szCs w:val="21"/>
          <w:lang w:eastAsia="zh-CN"/>
        </w:rPr>
      </w:pPr>
      <w:r>
        <w:rPr>
          <w:rFonts w:hint="eastAsia" w:ascii="仿宋" w:hAnsi="仿宋" w:eastAsia="仿宋"/>
          <w:szCs w:val="21"/>
        </w:rPr>
        <w:t>电话</w:t>
      </w:r>
      <w:r>
        <w:rPr>
          <w:rFonts w:ascii="仿宋" w:hAnsi="仿宋" w:eastAsia="仿宋"/>
          <w:szCs w:val="21"/>
        </w:rPr>
        <w:t>：</w:t>
      </w:r>
      <w:r>
        <w:rPr>
          <w:rFonts w:hint="eastAsia" w:ascii="仿宋" w:hAnsi="仿宋" w:eastAsia="仿宋"/>
          <w:szCs w:val="21"/>
        </w:rPr>
        <w:t>020</w:t>
      </w:r>
      <w:r>
        <w:rPr>
          <w:rFonts w:ascii="仿宋" w:hAnsi="仿宋" w:eastAsia="仿宋"/>
          <w:szCs w:val="21"/>
        </w:rPr>
        <w:t>-36063</w:t>
      </w:r>
      <w:r>
        <w:rPr>
          <w:rFonts w:hint="eastAsia" w:ascii="仿宋" w:hAnsi="仿宋" w:eastAsia="仿宋"/>
          <w:szCs w:val="21"/>
          <w:lang w:val="en-US" w:eastAsia="zh-CN"/>
        </w:rPr>
        <w:t>182</w:t>
      </w:r>
      <w:r>
        <w:rPr>
          <w:rFonts w:hint="eastAsia" w:ascii="仿宋" w:hAnsi="仿宋" w:eastAsia="仿宋"/>
          <w:szCs w:val="21"/>
        </w:rPr>
        <w:t xml:space="preserve">  联系人</w:t>
      </w:r>
      <w:r>
        <w:rPr>
          <w:rFonts w:ascii="仿宋" w:hAnsi="仿宋" w:eastAsia="仿宋"/>
          <w:szCs w:val="21"/>
        </w:rPr>
        <w:t xml:space="preserve">： </w:t>
      </w:r>
      <w:r>
        <w:rPr>
          <w:rFonts w:hint="eastAsia" w:ascii="仿宋" w:hAnsi="仿宋" w:eastAsia="仿宋"/>
          <w:szCs w:val="21"/>
          <w:lang w:val="en-US" w:eastAsia="zh-CN"/>
        </w:rPr>
        <w:t>骆</w:t>
      </w:r>
      <w:r>
        <w:rPr>
          <w:rFonts w:hint="eastAsia" w:ascii="仿宋" w:hAnsi="仿宋" w:eastAsia="仿宋"/>
          <w:szCs w:val="21"/>
          <w:lang w:eastAsia="zh-CN"/>
        </w:rPr>
        <w:t>主任</w:t>
      </w:r>
    </w:p>
    <w:p>
      <w:pPr>
        <w:pStyle w:val="27"/>
        <w:spacing w:line="400" w:lineRule="exact"/>
        <w:ind w:firstLine="560"/>
        <w:rPr>
          <w:rFonts w:ascii="仿宋" w:hAnsi="仿宋" w:eastAsia="仿宋" w:cs="仿宋"/>
          <w:szCs w:val="21"/>
        </w:rPr>
      </w:pPr>
      <w:r>
        <w:rPr>
          <w:rFonts w:hint="eastAsia" w:ascii="仿宋" w:hAnsi="仿宋" w:eastAsia="仿宋" w:cs="仿宋"/>
          <w:szCs w:val="21"/>
        </w:rPr>
        <w:t>（以下无正文）</w:t>
      </w:r>
    </w:p>
    <w:p>
      <w:pPr>
        <w:spacing w:line="400" w:lineRule="exact"/>
        <w:ind w:firstLine="420" w:firstLineChars="200"/>
        <w:jc w:val="left"/>
        <w:rPr>
          <w:rFonts w:ascii="仿宋" w:hAnsi="仿宋" w:eastAsia="仿宋"/>
          <w:szCs w:val="21"/>
        </w:rPr>
      </w:pPr>
    </w:p>
    <w:p>
      <w:pPr>
        <w:spacing w:line="400" w:lineRule="exact"/>
        <w:ind w:firstLine="0" w:firstLineChars="0"/>
        <w:jc w:val="left"/>
        <w:rPr>
          <w:rFonts w:ascii="仿宋" w:hAnsi="仿宋" w:eastAsia="仿宋"/>
          <w:szCs w:val="21"/>
        </w:rPr>
      </w:pPr>
    </w:p>
    <w:p>
      <w:pPr>
        <w:spacing w:line="400" w:lineRule="exact"/>
        <w:jc w:val="left"/>
        <w:rPr>
          <w:rFonts w:hint="eastAsia"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盖章</w:t>
      </w:r>
      <w:r>
        <w:rPr>
          <w:rFonts w:ascii="仿宋" w:hAnsi="仿宋" w:eastAsia="仿宋"/>
          <w:szCs w:val="21"/>
        </w:rPr>
        <w:t>）</w:t>
      </w:r>
      <w:r>
        <w:rPr>
          <w:rFonts w:hint="eastAsia" w:ascii="仿宋" w:hAnsi="仿宋" w:eastAsia="仿宋"/>
          <w:szCs w:val="21"/>
        </w:rPr>
        <w:t xml:space="preserve">： 广东机场白云信息科技有限公司 </w:t>
      </w:r>
      <w:r>
        <w:rPr>
          <w:rFonts w:hint="eastAsia" w:ascii="仿宋" w:hAnsi="仿宋" w:eastAsia="仿宋"/>
          <w:szCs w:val="21"/>
          <w:lang w:val="en-US" w:eastAsia="zh-CN"/>
        </w:rPr>
        <w:t xml:space="preserve">     </w:t>
      </w:r>
      <w:r>
        <w:rPr>
          <w:rFonts w:hint="eastAsia" w:ascii="仿宋" w:hAnsi="仿宋" w:eastAsia="仿宋"/>
          <w:szCs w:val="21"/>
        </w:rPr>
        <w:t>乙方</w:t>
      </w:r>
      <w:r>
        <w:rPr>
          <w:rFonts w:ascii="仿宋" w:hAnsi="仿宋" w:eastAsia="仿宋"/>
          <w:szCs w:val="21"/>
        </w:rPr>
        <w:t>（盖章）：</w:t>
      </w:r>
    </w:p>
    <w:p>
      <w:pPr>
        <w:widowControl/>
        <w:spacing w:line="500" w:lineRule="exact"/>
        <w:ind w:firstLine="560" w:firstLineChars="200"/>
        <w:jc w:val="left"/>
        <w:rPr>
          <w:rFonts w:ascii="仿宋" w:hAnsi="仿宋" w:eastAsia="仿宋" w:cs="仿宋"/>
          <w:color w:val="000000"/>
          <w:kern w:val="0"/>
          <w:sz w:val="28"/>
          <w:szCs w:val="28"/>
          <w:shd w:val="clear" w:color="auto" w:fill="FFFFFF"/>
          <w:lang w:bidi="ar"/>
        </w:rPr>
      </w:pPr>
    </w:p>
    <w:p>
      <w:pPr>
        <w:widowControl/>
        <w:spacing w:line="500" w:lineRule="exact"/>
        <w:ind w:firstLine="560" w:firstLineChars="200"/>
        <w:jc w:val="left"/>
        <w:rPr>
          <w:rFonts w:ascii="仿宋" w:hAnsi="仿宋" w:eastAsia="仿宋" w:cs="仿宋"/>
          <w:color w:val="000000"/>
          <w:kern w:val="0"/>
          <w:sz w:val="28"/>
          <w:szCs w:val="28"/>
          <w:shd w:val="clear" w:color="auto" w:fill="FFFFFF"/>
          <w:lang w:bidi="ar"/>
        </w:rPr>
      </w:pPr>
    </w:p>
    <w:p>
      <w:pPr>
        <w:widowControl/>
        <w:spacing w:line="500" w:lineRule="exact"/>
        <w:jc w:val="left"/>
        <w:rPr>
          <w:rFonts w:ascii="仿宋" w:hAnsi="仿宋" w:eastAsia="仿宋" w:cs="仿宋"/>
          <w:color w:val="000000"/>
          <w:kern w:val="0"/>
          <w:sz w:val="28"/>
          <w:szCs w:val="28"/>
          <w:shd w:val="clear" w:color="auto" w:fill="FFFFFF"/>
          <w:lang w:bidi="ar"/>
        </w:rPr>
      </w:pPr>
    </w:p>
    <w:p>
      <w:pPr>
        <w:rPr>
          <w:rFonts w:ascii="宋体" w:hAnsi="宋体"/>
          <w:szCs w:val="21"/>
        </w:rPr>
      </w:pPr>
    </w:p>
    <w:p>
      <w:pPr>
        <w:widowControl/>
        <w:tabs>
          <w:tab w:val="left" w:pos="567"/>
        </w:tabs>
        <w:autoSpaceDE w:val="0"/>
        <w:autoSpaceDN w:val="0"/>
        <w:jc w:val="center"/>
        <w:textAlignment w:val="bottom"/>
        <w:rPr>
          <w:b/>
          <w:sz w:val="32"/>
          <w:szCs w:val="32"/>
        </w:rPr>
      </w:pPr>
      <w:r>
        <w:rPr>
          <w:rFonts w:hint="eastAsia"/>
          <w:b/>
          <w:sz w:val="32"/>
          <w:szCs w:val="32"/>
        </w:rPr>
        <w:t>第四部分 报价文件格式</w:t>
      </w:r>
      <w:bookmarkStart w:id="33" w:name="_Toc187235503"/>
      <w:bookmarkStart w:id="34" w:name="_Toc353536760"/>
      <w:bookmarkStart w:id="35" w:name="_Toc49317161"/>
      <w:bookmarkStart w:id="36" w:name="_Toc41129151"/>
      <w:bookmarkStart w:id="37" w:name="_Toc98040837"/>
      <w:bookmarkStart w:id="38" w:name="_Toc237246981"/>
      <w:bookmarkStart w:id="39" w:name="_Toc22149480"/>
      <w:bookmarkStart w:id="40" w:name="_Toc41208028"/>
      <w:bookmarkStart w:id="41" w:name="_Toc41125554"/>
      <w:bookmarkStart w:id="42" w:name="_Toc520148232"/>
      <w:bookmarkStart w:id="43" w:name="_Toc272229620"/>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27"/>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 xml:space="preserve">广东机场白云信息科技有限公司 </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4"/>
        <w:ind w:left="420"/>
      </w:pPr>
    </w:p>
    <w:p>
      <w:pPr>
        <w:rPr>
          <w:rFonts w:ascii="宋体" w:hAnsi="宋体"/>
          <w:b/>
          <w:sz w:val="18"/>
          <w:szCs w:val="1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pStyle w:val="14"/>
        <w:ind w:left="420"/>
      </w:pP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639"/>
        <w:gridCol w:w="870"/>
        <w:gridCol w:w="1350"/>
        <w:gridCol w:w="1257"/>
        <w:gridCol w:w="160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序号</w:t>
            </w:r>
          </w:p>
        </w:tc>
        <w:tc>
          <w:tcPr>
            <w:tcW w:w="2509" w:type="dxa"/>
            <w:gridSpan w:val="2"/>
            <w:vAlign w:val="center"/>
          </w:tcPr>
          <w:p>
            <w:pPr>
              <w:jc w:val="center"/>
              <w:rPr>
                <w:rFonts w:ascii="仿宋_GB2312" w:hAnsi="宋体" w:eastAsia="仿宋_GB2312"/>
                <w:sz w:val="22"/>
              </w:rPr>
            </w:pPr>
            <w:r>
              <w:rPr>
                <w:rFonts w:hint="eastAsia" w:ascii="仿宋_GB2312" w:hAnsi="宋体" w:eastAsia="仿宋_GB2312"/>
                <w:sz w:val="22"/>
                <w:lang w:val="en-US" w:eastAsia="zh-CN"/>
              </w:rPr>
              <w:t>采购项目名称</w:t>
            </w:r>
          </w:p>
        </w:tc>
        <w:tc>
          <w:tcPr>
            <w:tcW w:w="1350" w:type="dxa"/>
            <w:vAlign w:val="center"/>
          </w:tcPr>
          <w:p>
            <w:pPr>
              <w:jc w:val="center"/>
              <w:rPr>
                <w:rFonts w:hint="default" w:ascii="仿宋_GB2312" w:hAnsi="宋体" w:eastAsia="仿宋_GB2312"/>
                <w:sz w:val="22"/>
                <w:lang w:val="en-US" w:eastAsia="zh-CN"/>
              </w:rPr>
            </w:pPr>
            <w:r>
              <w:rPr>
                <w:rFonts w:hint="eastAsia" w:ascii="仿宋_GB2312" w:hAnsi="宋体" w:eastAsia="仿宋_GB2312"/>
                <w:sz w:val="22"/>
                <w:lang w:val="en-US" w:eastAsia="zh-CN"/>
              </w:rPr>
              <w:t>单位</w:t>
            </w:r>
          </w:p>
        </w:tc>
        <w:tc>
          <w:tcPr>
            <w:tcW w:w="1257" w:type="dxa"/>
            <w:vAlign w:val="center"/>
          </w:tcPr>
          <w:p>
            <w:pPr>
              <w:jc w:val="center"/>
              <w:rPr>
                <w:rFonts w:hint="default" w:ascii="仿宋_GB2312" w:hAnsi="宋体" w:eastAsia="仿宋_GB2312"/>
                <w:sz w:val="22"/>
                <w:lang w:val="en-US" w:eastAsia="zh-CN"/>
              </w:rPr>
            </w:pPr>
            <w:r>
              <w:rPr>
                <w:rFonts w:hint="eastAsia" w:ascii="仿宋_GB2312" w:hAnsi="宋体" w:eastAsia="仿宋_GB2312"/>
                <w:sz w:val="22"/>
                <w:lang w:val="en-US" w:eastAsia="zh-CN"/>
              </w:rPr>
              <w:t>数量</w:t>
            </w:r>
          </w:p>
        </w:tc>
        <w:tc>
          <w:tcPr>
            <w:tcW w:w="1602" w:type="dxa"/>
            <w:vAlign w:val="center"/>
          </w:tcPr>
          <w:p>
            <w:pPr>
              <w:jc w:val="center"/>
              <w:rPr>
                <w:rFonts w:hint="default" w:ascii="仿宋_GB2312" w:hAnsi="宋体" w:eastAsia="仿宋_GB2312"/>
                <w:sz w:val="22"/>
                <w:lang w:val="en-US" w:eastAsia="zh-CN"/>
              </w:rPr>
            </w:pPr>
            <w:r>
              <w:rPr>
                <w:rFonts w:hint="eastAsia" w:ascii="仿宋_GB2312" w:hAnsi="宋体" w:eastAsia="仿宋_GB2312"/>
                <w:sz w:val="22"/>
                <w:lang w:val="en-US" w:eastAsia="zh-CN"/>
              </w:rPr>
              <w:t>报价</w:t>
            </w:r>
          </w:p>
        </w:tc>
        <w:tc>
          <w:tcPr>
            <w:tcW w:w="1601" w:type="dxa"/>
            <w:vAlign w:val="center"/>
          </w:tcPr>
          <w:p>
            <w:pPr>
              <w:jc w:val="center"/>
              <w:rPr>
                <w:rFonts w:ascii="仿宋_GB2312" w:hAnsi="宋体" w:eastAsia="仿宋_GB2312"/>
                <w:sz w:val="22"/>
              </w:rPr>
            </w:pPr>
            <w:r>
              <w:rPr>
                <w:rFonts w:hint="eastAsia" w:ascii="仿宋_GB2312" w:hAnsi="宋体" w:eastAsia="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1</w:t>
            </w:r>
          </w:p>
        </w:tc>
        <w:tc>
          <w:tcPr>
            <w:tcW w:w="2509" w:type="dxa"/>
            <w:gridSpan w:val="2"/>
            <w:vAlign w:val="center"/>
          </w:tcPr>
          <w:p>
            <w:pPr>
              <w:keepNext w:val="0"/>
              <w:keepLines w:val="0"/>
              <w:widowControl/>
              <w:suppressLineNumbers w:val="0"/>
              <w:jc w:val="center"/>
              <w:textAlignment w:val="center"/>
              <w:rPr>
                <w:rFonts w:ascii="仿宋_GB2312" w:hAnsi="宋体" w:eastAsia="仿宋_GB2312"/>
                <w:sz w:val="22"/>
              </w:rPr>
            </w:pPr>
            <w:r>
              <w:rPr>
                <w:rFonts w:hint="eastAsia" w:ascii="宋体" w:hAnsi="宋体" w:eastAsia="宋体" w:cs="宋体"/>
                <w:i w:val="0"/>
                <w:color w:val="000000"/>
                <w:kern w:val="0"/>
                <w:sz w:val="20"/>
                <w:szCs w:val="20"/>
                <w:u w:val="none"/>
                <w:lang w:val="en-US" w:eastAsia="zh-CN" w:bidi="ar"/>
              </w:rPr>
              <w:t>登机立柱工程机</w:t>
            </w:r>
          </w:p>
        </w:tc>
        <w:tc>
          <w:tcPr>
            <w:tcW w:w="1350"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套</w:t>
            </w:r>
          </w:p>
        </w:tc>
        <w:tc>
          <w:tcPr>
            <w:tcW w:w="125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602" w:type="dxa"/>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lang w:val="en-US" w:eastAsia="zh-CN"/>
              </w:rPr>
              <w:t>2</w:t>
            </w:r>
          </w:p>
        </w:tc>
        <w:tc>
          <w:tcPr>
            <w:tcW w:w="2509" w:type="dxa"/>
            <w:gridSpan w:val="2"/>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安检闸机工程机</w:t>
            </w:r>
          </w:p>
        </w:tc>
        <w:tc>
          <w:tcPr>
            <w:tcW w:w="1350"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套</w:t>
            </w:r>
          </w:p>
        </w:tc>
        <w:tc>
          <w:tcPr>
            <w:tcW w:w="125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602" w:type="dxa"/>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lang w:val="en-US" w:eastAsia="zh-CN"/>
              </w:rPr>
              <w:t>3</w:t>
            </w:r>
          </w:p>
        </w:tc>
        <w:tc>
          <w:tcPr>
            <w:tcW w:w="2509" w:type="dxa"/>
            <w:gridSpan w:val="2"/>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自助登机门闸机工程机</w:t>
            </w:r>
          </w:p>
        </w:tc>
        <w:tc>
          <w:tcPr>
            <w:tcW w:w="1350"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套</w:t>
            </w:r>
          </w:p>
        </w:tc>
        <w:tc>
          <w:tcPr>
            <w:tcW w:w="1257" w:type="dxa"/>
            <w:vAlign w:val="center"/>
          </w:tcPr>
          <w:p>
            <w:pPr>
              <w:jc w:val="center"/>
              <w:rPr>
                <w:rStyle w:val="55"/>
              </w:rPr>
            </w:pPr>
            <w:r>
              <w:rPr>
                <w:rFonts w:hint="eastAsia" w:ascii="宋体" w:hAnsi="宋体" w:cs="宋体"/>
                <w:sz w:val="24"/>
                <w:szCs w:val="24"/>
                <w:lang w:val="en-US" w:eastAsia="zh-CN"/>
              </w:rPr>
              <w:t>1</w:t>
            </w:r>
          </w:p>
        </w:tc>
        <w:tc>
          <w:tcPr>
            <w:tcW w:w="1602" w:type="dxa"/>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16" w:type="dxa"/>
            <w:gridSpan w:val="2"/>
            <w:vAlign w:val="center"/>
          </w:tcPr>
          <w:p>
            <w:pPr>
              <w:jc w:val="center"/>
              <w:rPr>
                <w:rFonts w:ascii="仿宋_GB2312" w:hAnsi="宋体" w:eastAsia="仿宋_GB2312"/>
                <w:sz w:val="22"/>
              </w:rPr>
            </w:pPr>
            <w:r>
              <w:rPr>
                <w:rFonts w:hint="eastAsia" w:ascii="仿宋_GB2312" w:hAnsi="宋体" w:eastAsia="仿宋_GB2312"/>
                <w:sz w:val="22"/>
              </w:rPr>
              <w:t>合计（含税）</w:t>
            </w:r>
          </w:p>
        </w:tc>
        <w:tc>
          <w:tcPr>
            <w:tcW w:w="5079" w:type="dxa"/>
            <w:gridSpan w:val="4"/>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r>
              <w:rPr>
                <w:rFonts w:hint="eastAsia" w:ascii="仿宋_GB2312" w:hAnsi="宋体" w:eastAsia="仿宋_GB2312"/>
                <w:sz w:val="22"/>
              </w:rPr>
              <w:t>税率为：</w:t>
            </w:r>
            <w:r>
              <w:rPr>
                <w:rFonts w:hint="eastAsia" w:ascii="仿宋_GB2312" w:hAnsi="宋体" w:eastAsia="仿宋_GB2312"/>
                <w:sz w:val="22"/>
                <w:u w:val="single"/>
              </w:rPr>
              <w:t xml:space="preserve">      %</w:t>
            </w: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4"/>
        <w:ind w:left="0" w:leftChars="0"/>
      </w:pPr>
    </w:p>
    <w:p>
      <w:pPr>
        <w:rPr>
          <w:rFonts w:ascii="黑体" w:hAnsi="黑体" w:eastAsia="黑体" w:cs="黑体"/>
          <w:bCs/>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4"/>
        <w:ind w:left="420"/>
      </w:pPr>
    </w:p>
    <w:p>
      <w:pPr>
        <w:pStyle w:val="1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r>
        <w:rPr>
          <w:rFonts w:ascii="仿宋_GB2312" w:eastAsia="仿宋_GB2312"/>
          <w:b/>
          <w:sz w:val="28"/>
          <w:szCs w:val="28"/>
        </w:rPr>
        <w:br w:type="page"/>
      </w:r>
      <w:r>
        <w:rPr>
          <w:rFonts w:hint="eastAsia" w:ascii="黑体" w:hAnsi="黑体" w:eastAsia="黑体" w:cs="黑体"/>
          <w:bCs/>
          <w:sz w:val="28"/>
          <w:szCs w:val="28"/>
        </w:rPr>
        <w:t>附件3</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spacing w:line="360" w:lineRule="auto"/>
        <w:ind w:firstLine="560" w:firstLineChars="200"/>
        <w:jc w:val="center"/>
        <w:rPr>
          <w:rFonts w:ascii="仿宋_GB2312" w:hAnsi="宋体" w:eastAsia="仿宋_GB2312"/>
          <w:sz w:val="28"/>
          <w:szCs w:val="28"/>
        </w:rPr>
      </w:pPr>
    </w:p>
    <w:p>
      <w:pPr>
        <w:pStyle w:val="5"/>
        <w:ind w:firstLine="56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黑体" w:hAnsi="黑体" w:eastAsia="黑体" w:cs="黑体"/>
          <w:bCs/>
          <w:sz w:val="28"/>
          <w:szCs w:val="28"/>
        </w:rPr>
        <w:t>附件4</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诚信承诺函</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广东机场白云信息科技有限公司</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在研究并完全理解了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项目采购文件后，我司</w:t>
      </w:r>
      <w:r>
        <w:rPr>
          <w:rFonts w:hint="eastAsia" w:ascii="仿宋_GB2312" w:hAnsi="仿宋_GB2312" w:eastAsia="仿宋_GB2312" w:cs="仿宋_GB2312"/>
          <w:sz w:val="24"/>
          <w:szCs w:val="24"/>
          <w:u w:val="single"/>
        </w:rPr>
        <w:t>（报价人名称）  </w:t>
      </w:r>
      <w:r>
        <w:rPr>
          <w:rFonts w:hint="eastAsia" w:ascii="仿宋_GB2312" w:hAnsi="仿宋_GB2312" w:eastAsia="仿宋_GB2312" w:cs="仿宋_GB2312"/>
          <w:sz w:val="24"/>
          <w:szCs w:val="24"/>
        </w:rPr>
        <w:t>完全同意并接受项目采购文件的所有内容，同时向贵司承诺：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1.近三年，我司没有因腐败或欺诈行为而被政府或业主宣布取消投标资格；</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2.近三年，我司（包括关联公司）未与广东省机场管理集团有限公司其下属的全资、控股公司、非法人实体单位发生各种诉讼和仲裁；</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3.我司不存在被广东机场白云信息科技有限公司认定为发生不良行为合作商的情形；</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4.我司未被列入国家企业信用信息公示系统的经营异常名录或严重违法失信企业名单（附件4.1）；</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5.我司未被列入信用中国的失信被执行人或企业经营异常名录（附件4.2）；</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6.我司未被列入中国执行信息公开网的全国法院失信被执行人名单（附件4.3）；</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如有造假行为，我公司愿意无条件接受采购人的以下处理：</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1.取消本项目报价、成交资格，并在相关网站公示；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2.三年至六年内停止或禁止参加广东机场白云信息科技有限公司的所有非招标采购项目采购活动；</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3.对不良行为予以纪录，并进行公告；</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4.报广东省机场管理集团有限公司备案。</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报价人名称：（公章）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授权代表姓名、职务（印刷体）：</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法定代表人或授权代表签名：</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pStyle w:val="14"/>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4"/>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4"/>
        <w:ind w:left="420"/>
      </w:pPr>
    </w:p>
    <w:p>
      <w:pPr>
        <w:widowControl/>
        <w:tabs>
          <w:tab w:val="left" w:pos="142"/>
        </w:tabs>
        <w:autoSpaceDE w:val="0"/>
        <w:autoSpaceDN w:val="0"/>
        <w:spacing w:line="288" w:lineRule="auto"/>
        <w:textAlignment w:val="bottom"/>
        <w:rPr>
          <w:rFonts w:ascii="仿宋_GB2312" w:eastAsia="仿宋_GB2312"/>
          <w:bCs/>
          <w:sz w:val="24"/>
          <w:szCs w:val="24"/>
        </w:rPr>
      </w:pPr>
      <w:r>
        <w:rPr>
          <w:rFonts w:hint="eastAsia" w:ascii="仿宋_GB2312" w:eastAsia="仿宋_GB2312"/>
          <w:bCs/>
          <w:sz w:val="24"/>
          <w:szCs w:val="24"/>
        </w:rPr>
        <w:t>附件4.1</w:t>
      </w:r>
    </w:p>
    <w:p>
      <w:pPr>
        <w:pStyle w:val="14"/>
        <w:ind w:left="420"/>
      </w:pPr>
    </w:p>
    <w:p>
      <w:pPr>
        <w:jc w:val="center"/>
        <w:rPr>
          <w:rFonts w:ascii="仿宋_GB2312" w:eastAsia="仿宋_GB2312"/>
          <w:b/>
          <w:sz w:val="28"/>
          <w:szCs w:val="28"/>
        </w:rPr>
      </w:pPr>
      <w:r>
        <w:rPr>
          <w:rFonts w:hint="eastAsia" w:ascii="仿宋_GB2312" w:eastAsia="仿宋_GB2312"/>
          <w:b/>
          <w:sz w:val="28"/>
          <w:szCs w:val="28"/>
        </w:rPr>
        <w:t>国家企业信用信息公式系统网站（www.gsxt.gov.cn）截图</w:t>
      </w:r>
    </w:p>
    <w:p>
      <w:r>
        <w:drawing>
          <wp:inline distT="0" distB="0" distL="0" distR="0">
            <wp:extent cx="5276850" cy="395287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2"/>
                    <a:srcRect/>
                    <a:stretch>
                      <a:fillRect/>
                    </a:stretch>
                  </pic:blipFill>
                  <pic:spPr>
                    <a:xfrm>
                      <a:off x="0" y="0"/>
                      <a:ext cx="5276850" cy="3952875"/>
                    </a:xfrm>
                    <a:prstGeom prst="rect">
                      <a:avLst/>
                    </a:prstGeom>
                    <a:noFill/>
                    <a:ln w="9525" cmpd="sng">
                      <a:noFill/>
                      <a:miter lim="800000"/>
                      <a:headEnd/>
                      <a:tailEnd/>
                    </a:ln>
                  </pic:spPr>
                </pic:pic>
              </a:graphicData>
            </a:graphic>
          </wp:inline>
        </w:drawing>
      </w:r>
    </w:p>
    <w:p>
      <w:pPr>
        <w:widowControl/>
        <w:tabs>
          <w:tab w:val="left" w:pos="142"/>
        </w:tabs>
        <w:autoSpaceDE w:val="0"/>
        <w:autoSpaceDN w:val="0"/>
        <w:spacing w:line="288" w:lineRule="auto"/>
        <w:textAlignment w:val="bottom"/>
        <w:rPr>
          <w:rFonts w:ascii="仿宋_GB2312" w:eastAsia="仿宋_GB2312"/>
          <w:bCs/>
          <w:szCs w:val="21"/>
        </w:rPr>
      </w:pPr>
      <w:r>
        <w:drawing>
          <wp:inline distT="0" distB="0" distL="114300" distR="114300">
            <wp:extent cx="5264150" cy="303784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4150" cy="3037840"/>
                    </a:xfrm>
                    <a:prstGeom prst="rect">
                      <a:avLst/>
                    </a:prstGeom>
                    <a:noFill/>
                    <a:ln>
                      <a:noFill/>
                    </a:ln>
                  </pic:spPr>
                </pic:pic>
              </a:graphicData>
            </a:graphic>
          </wp:inline>
        </w:drawing>
      </w:r>
      <w:r>
        <w:rPr>
          <w:rFonts w:ascii="宋体" w:hAnsi="宋体"/>
          <w:b/>
          <w:sz w:val="32"/>
          <w:szCs w:val="32"/>
        </w:rPr>
        <w:br w:type="page"/>
      </w:r>
      <w:r>
        <w:rPr>
          <w:rFonts w:hint="eastAsia" w:ascii="仿宋_GB2312" w:eastAsia="仿宋_GB2312"/>
          <w:bCs/>
          <w:sz w:val="24"/>
          <w:szCs w:val="24"/>
        </w:rPr>
        <w:t>附件4.2</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“信用中国”网站（www.creditchina.gov.cn）截图</w:t>
      </w:r>
    </w:p>
    <w:p>
      <w:r>
        <w:rPr>
          <w:rFonts w:hint="eastAsia" w:ascii="宋体" w:hAnsi="宋体"/>
          <w:szCs w:val="21"/>
        </w:rPr>
        <w:drawing>
          <wp:inline distT="0" distB="0" distL="0" distR="0">
            <wp:extent cx="5524500" cy="4219575"/>
            <wp:effectExtent l="19050" t="0" r="0" b="0"/>
            <wp:docPr id="4"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
                    <pic:cNvPicPr>
                      <a:picLocks noChangeAspect="1" noChangeArrowheads="1"/>
                    </pic:cNvPicPr>
                  </pic:nvPicPr>
                  <pic:blipFill>
                    <a:blip r:embed="rId14" cstate="print"/>
                    <a:srcRect/>
                    <a:stretch>
                      <a:fillRect/>
                    </a:stretch>
                  </pic:blipFill>
                  <pic:spPr>
                    <a:xfrm>
                      <a:off x="0" y="0"/>
                      <a:ext cx="5524500" cy="4219575"/>
                    </a:xfrm>
                    <a:prstGeom prst="rect">
                      <a:avLst/>
                    </a:prstGeom>
                    <a:noFill/>
                    <a:ln w="9525" cmpd="sng">
                      <a:noFill/>
                      <a:miter lim="800000"/>
                      <a:headEnd/>
                      <a:tailEnd/>
                    </a:ln>
                  </pic:spPr>
                </pic:pic>
              </a:graphicData>
            </a:graphic>
          </wp:inline>
        </w:drawing>
      </w:r>
    </w:p>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widowControl/>
        <w:tabs>
          <w:tab w:val="left" w:pos="142"/>
        </w:tabs>
        <w:autoSpaceDE w:val="0"/>
        <w:autoSpaceDN w:val="0"/>
        <w:spacing w:line="288" w:lineRule="auto"/>
        <w:textAlignment w:val="bottom"/>
        <w:rPr>
          <w:rFonts w:ascii="仿宋_GB2312" w:eastAsia="仿宋_GB2312"/>
          <w:bCs/>
          <w:szCs w:val="21"/>
        </w:rPr>
      </w:pPr>
      <w:r>
        <w:rPr>
          <w:rFonts w:ascii="宋体" w:hAnsi="宋体"/>
          <w:b/>
          <w:sz w:val="32"/>
          <w:szCs w:val="32"/>
        </w:rPr>
        <w:br w:type="page"/>
      </w:r>
      <w:r>
        <w:rPr>
          <w:rFonts w:hint="eastAsia" w:ascii="仿宋_GB2312" w:eastAsia="仿宋_GB2312"/>
          <w:bCs/>
          <w:sz w:val="24"/>
          <w:szCs w:val="24"/>
        </w:rPr>
        <w:t>附件4.3</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“中国执行信息公开网”网站（zxgk.court.gov.cn）截图</w:t>
      </w:r>
    </w:p>
    <w:p>
      <w:pPr>
        <w:spacing w:line="312" w:lineRule="auto"/>
        <w:jc w:val="left"/>
        <w:rPr>
          <w:rFonts w:ascii="仿宋_GB2312" w:hAnsi="宋体" w:eastAsia="仿宋_GB2312"/>
          <w:color w:val="000000"/>
          <w:sz w:val="28"/>
          <w:szCs w:val="28"/>
        </w:rPr>
      </w:pPr>
      <w:r>
        <w:drawing>
          <wp:inline distT="0" distB="0" distL="0" distR="0">
            <wp:extent cx="5276850" cy="4048125"/>
            <wp:effectExtent l="1905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15"/>
                    <a:srcRect/>
                    <a:stretch>
                      <a:fillRect/>
                    </a:stretch>
                  </pic:blipFill>
                  <pic:spPr>
                    <a:xfrm>
                      <a:off x="0" y="0"/>
                      <a:ext cx="5276850" cy="4048125"/>
                    </a:xfrm>
                    <a:prstGeom prst="rect">
                      <a:avLst/>
                    </a:prstGeom>
                    <a:noFill/>
                    <a:ln w="9525" cmpd="sng">
                      <a:noFill/>
                      <a:miter lim="800000"/>
                      <a:headEnd/>
                      <a:tailEnd/>
                    </a:ln>
                  </pic:spPr>
                </pic:pic>
              </a:graphicData>
            </a:graphic>
          </wp:inline>
        </w:drawing>
      </w:r>
    </w:p>
    <w:p/>
    <w:p>
      <w:pPr>
        <w:pStyle w:val="14"/>
        <w:ind w:left="420"/>
      </w:pPr>
    </w:p>
    <w:p>
      <w:pPr>
        <w:pStyle w:val="14"/>
        <w:ind w:left="420"/>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color w:val="000000"/>
          <w:sz w:val="28"/>
          <w:szCs w:val="28"/>
        </w:rPr>
      </w:pPr>
      <w:r>
        <w:rPr>
          <w:rFonts w:hint="eastAsia" w:ascii="黑体" w:hAnsi="黑体" w:eastAsia="黑体" w:cs="黑体"/>
          <w:bCs/>
          <w:sz w:val="28"/>
          <w:szCs w:val="28"/>
        </w:rPr>
        <w:t>附件5</w:t>
      </w:r>
    </w:p>
    <w:p>
      <w:pPr>
        <w:ind w:firstLine="640" w:firstLineChars="200"/>
        <w:rPr>
          <w:rFonts w:ascii="仿宋_GB2312" w:hAnsi="宋体" w:eastAsia="仿宋_GB2312"/>
          <w:sz w:val="32"/>
        </w:rPr>
      </w:pPr>
    </w:p>
    <w:p>
      <w:pPr>
        <w:jc w:val="center"/>
        <w:rPr>
          <w:rFonts w:ascii="宋体" w:hAnsi="宋体" w:cs="宋体"/>
          <w:b/>
          <w:bCs/>
          <w:sz w:val="32"/>
          <w:szCs w:val="32"/>
        </w:rPr>
      </w:pPr>
      <w:bookmarkStart w:id="44" w:name="_Hlk22711288"/>
      <w:r>
        <w:rPr>
          <w:rFonts w:hint="eastAsia" w:ascii="宋体" w:hAnsi="宋体" w:cs="宋体"/>
          <w:b/>
          <w:bCs/>
          <w:sz w:val="32"/>
          <w:szCs w:val="32"/>
        </w:rPr>
        <w:t>采购文件响应承诺书</w:t>
      </w:r>
    </w:p>
    <w:p>
      <w:pPr>
        <w:jc w:val="center"/>
        <w:rPr>
          <w:rFonts w:ascii="宋体" w:hAnsi="宋体" w:cs="宋体"/>
          <w:b/>
          <w:bCs/>
          <w:sz w:val="44"/>
          <w:szCs w:val="44"/>
        </w:rPr>
      </w:pPr>
    </w:p>
    <w:p>
      <w:pPr>
        <w:spacing w:line="48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（采购人名称）</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我司保证提交的</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报价文件所有内容与贵司的采购文件要求条款完全响应，特此承诺！</w:t>
      </w:r>
    </w:p>
    <w:p>
      <w:pPr>
        <w:spacing w:line="480" w:lineRule="auto"/>
        <w:ind w:firstLine="560" w:firstLineChars="200"/>
        <w:rPr>
          <w:rFonts w:ascii="仿宋_GB2312" w:hAnsi="仿宋_GB2312" w:eastAsia="仿宋_GB2312" w:cs="仿宋_GB2312"/>
          <w:sz w:val="28"/>
          <w:szCs w:val="28"/>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法定代表人或授权代表签名：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bookmarkEnd w:id="44"/>
    <w:p>
      <w:pPr>
        <w:ind w:firstLine="560" w:firstLineChars="200"/>
        <w:rPr>
          <w:rFonts w:ascii="宋体" w:hAnsi="宋体" w:cs="宋体"/>
          <w:sz w:val="28"/>
          <w:szCs w:val="28"/>
        </w:rPr>
      </w:pPr>
    </w:p>
    <w:p>
      <w:pPr>
        <w:autoSpaceDE w:val="0"/>
        <w:autoSpaceDN w:val="0"/>
        <w:adjustRightInd w:val="0"/>
        <w:spacing w:line="560" w:lineRule="exact"/>
        <w:ind w:left="980" w:hanging="980" w:hangingChars="350"/>
        <w:rPr>
          <w:rFonts w:ascii="仿宋_GB2312" w:eastAsia="仿宋_GB2312"/>
          <w:sz w:val="28"/>
          <w:szCs w:val="28"/>
        </w:rPr>
      </w:pPr>
    </w:p>
    <w:p>
      <w:pPr>
        <w:widowControl/>
        <w:tabs>
          <w:tab w:val="left" w:pos="142"/>
        </w:tabs>
        <w:autoSpaceDE w:val="0"/>
        <w:autoSpaceDN w:val="0"/>
        <w:spacing w:line="360" w:lineRule="auto"/>
        <w:textAlignment w:val="bottom"/>
        <w:rPr>
          <w:rFonts w:ascii="仿宋_GB2312" w:hAnsi="仿宋_GB2312" w:eastAsia="仿宋_GB2312" w:cs="仿宋_GB2312"/>
          <w:sz w:val="28"/>
          <w:szCs w:val="28"/>
        </w:rPr>
      </w:pPr>
    </w:p>
    <w:p>
      <w:pPr>
        <w:pStyle w:val="14"/>
        <w:ind w:left="0" w:leftChars="0"/>
      </w:pPr>
    </w:p>
    <w:bookmarkEnd w:id="33"/>
    <w:bookmarkEnd w:id="34"/>
    <w:bookmarkEnd w:id="35"/>
    <w:bookmarkEnd w:id="36"/>
    <w:bookmarkEnd w:id="37"/>
    <w:bookmarkEnd w:id="38"/>
    <w:bookmarkEnd w:id="39"/>
    <w:bookmarkEnd w:id="40"/>
    <w:bookmarkEnd w:id="41"/>
    <w:bookmarkEnd w:id="42"/>
    <w:bookmarkEnd w:id="43"/>
    <w:p>
      <w:pPr>
        <w:pStyle w:val="3"/>
        <w:snapToGrid w:val="0"/>
        <w:spacing w:before="240" w:after="240" w:line="240" w:lineRule="auto"/>
        <w:jc w:val="left"/>
        <w:rPr>
          <w:rFonts w:ascii="宋体" w:hAnsi="宋体"/>
          <w:sz w:val="24"/>
        </w:rPr>
      </w:pPr>
      <w:bookmarkStart w:id="45" w:name="_Toc517693670"/>
      <w:r>
        <w:rPr>
          <w:rFonts w:hint="eastAsia" w:ascii="宋体" w:hAnsi="宋体"/>
          <w:sz w:val="24"/>
        </w:rPr>
        <w:t>附件6</w:t>
      </w:r>
    </w:p>
    <w:p>
      <w:pPr>
        <w:pStyle w:val="27"/>
        <w:ind w:left="640" w:hanging="640"/>
        <w:jc w:val="center"/>
        <w:rPr>
          <w:rFonts w:hAnsi="宋体"/>
          <w:b/>
          <w:sz w:val="32"/>
        </w:rPr>
      </w:pPr>
      <w:r>
        <w:rPr>
          <w:rFonts w:hint="eastAsia" w:hAnsi="宋体"/>
          <w:b/>
          <w:sz w:val="32"/>
        </w:rPr>
        <w:t>符合性审查表</w:t>
      </w:r>
    </w:p>
    <w:p>
      <w:pPr>
        <w:pStyle w:val="27"/>
        <w:ind w:left="420" w:hanging="420"/>
        <w:rPr>
          <w:rFonts w:hAnsi="宋体"/>
        </w:rPr>
      </w:pPr>
    </w:p>
    <w:p>
      <w:pPr>
        <w:pStyle w:val="27"/>
        <w:ind w:left="420" w:hanging="420"/>
        <w:rPr>
          <w:rFonts w:hAnsi="宋体"/>
        </w:rPr>
      </w:pPr>
      <w:r>
        <w:rPr>
          <w:rFonts w:hint="eastAsia" w:hAnsi="宋体"/>
        </w:rPr>
        <w:t>项目名称：</w:t>
      </w:r>
    </w:p>
    <w:p>
      <w:pPr>
        <w:pStyle w:val="27"/>
        <w:ind w:left="420" w:hanging="420"/>
        <w:rPr>
          <w:rFonts w:hAnsi="宋体"/>
        </w:rPr>
      </w:pPr>
      <w:r>
        <w:rPr>
          <w:rFonts w:hint="eastAsia" w:hAnsi="宋体"/>
        </w:rPr>
        <w:t>项目编号：</w:t>
      </w:r>
    </w:p>
    <w:tbl>
      <w:tblPr>
        <w:tblStyle w:val="50"/>
        <w:tblW w:w="86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02"/>
                <w:rFonts w:hint="default" w:ascii="宋体" w:hAnsi="宋体" w:eastAsia="宋体" w:cs="宋体"/>
                <w:sz w:val="24"/>
                <w:szCs w:val="24"/>
              </w:rPr>
            </w:pPr>
            <w:r>
              <w:rPr>
                <w:rStyle w:val="102"/>
                <w:rFonts w:hint="default" w:ascii="宋体" w:hAnsi="宋体" w:eastAsia="宋体" w:cs="宋体"/>
                <w:sz w:val="24"/>
                <w:szCs w:val="24"/>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5"/>
              <w:spacing w:line="360" w:lineRule="auto"/>
              <w:jc w:val="center"/>
              <w:rPr>
                <w:rFonts w:ascii="宋体" w:hAnsi="宋体" w:cs="宋体"/>
              </w:rPr>
            </w:pPr>
            <w:r>
              <w:rPr>
                <w:rFonts w:hint="eastAsia" w:ascii="宋体" w:hAnsi="宋体" w:cs="宋体"/>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color w:val="000000"/>
                <w:kern w:val="0"/>
                <w:sz w:val="22"/>
                <w:szCs w:val="22"/>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sz w:val="22"/>
                <w:szCs w:val="22"/>
              </w:rPr>
              <w:t>报价有效期是否为90天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报价未超过采购文件规定的各单项最高限价；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bl>
    <w:p>
      <w:pPr>
        <w:tabs>
          <w:tab w:val="left" w:pos="720"/>
        </w:tabs>
        <w:adjustRightInd w:val="0"/>
        <w:snapToGrid w:val="0"/>
        <w:ind w:left="630" w:hanging="630" w:hangingChars="300"/>
        <w:rPr>
          <w:rFonts w:ascii="宋体" w:hAnsi="Courier New"/>
          <w:color w:val="000000"/>
          <w:szCs w:val="21"/>
        </w:rPr>
      </w:pPr>
    </w:p>
    <w:p>
      <w:pPr>
        <w:pStyle w:val="14"/>
        <w:ind w:left="420"/>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bookmarkEnd w:id="45"/>
    <w:p>
      <w:pPr>
        <w:pStyle w:val="3"/>
        <w:snapToGrid w:val="0"/>
        <w:spacing w:before="240" w:after="240" w:line="240" w:lineRule="auto"/>
        <w:jc w:val="left"/>
        <w:rPr>
          <w:rFonts w:ascii="宋体" w:hAnsi="宋体"/>
          <w:sz w:val="24"/>
        </w:rPr>
      </w:pPr>
      <w:r>
        <w:rPr>
          <w:rFonts w:hint="eastAsia" w:ascii="宋体" w:hAnsi="宋体"/>
          <w:sz w:val="24"/>
        </w:rPr>
        <w:t>附件7  商务技术评分表（40分）</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6"/>
        <w:gridCol w:w="925"/>
        <w:gridCol w:w="482"/>
        <w:gridCol w:w="6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评分项目</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分值 </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商务评分（18分）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企业信誉</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1.投标人具备AAA级企业信用等级证书的得1分，否则不得分；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2.近三年（2018-2020）连续获得“年度纳税信用A级纳税人”，得1分；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3.近三年（2018-2020）连续获得“守合同重信用企业”，得1分；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注：须提供盖章版证明材料复印件。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财务审计报告</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近三年投标企业财务经审计部门审计，每提供1年得1分，最多得3分，（具体年份为2018年01月01日至2020年12月31日）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体系认证证书</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1．投标人通过ISO9000质量管理体系认证、ISO45001职业健康管理体系认证、ISO14001环境管理体系认证的每提供一个证书得1分，最多3分，不提供不得分；（提供上述有效证书复印件加盖投标人公章）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投标设备类似项目业绩</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投标人提供近三年（2018年1月1日至投标截止时间止）交通行业的自助设备采购项目合同，合同金额100万内得0.5分，合同金额100万以上得1分，最多得6分。提供合同复印件加盖投标人公章，未提供不得分。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品牌荣誉及奖项</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投标人所投的自助设备的品牌，获得国家部委或行业协会颁发的奖项，奖项包含下列关键字，关键字列表如下：自助、智能、人脸识别。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国家级奖项每个2分，省级奖项每个1分，该项评审满分为3分。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技术评分（22分）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管理服务及技术支持</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具备完整、科学的项目管理方法论，对项目需求、成果能够进行科学管理，具有高效健全的沟通机制、技术服务，针对性较强、服务全面具体的，得（6，10]分；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项目管理方法一般，技术服务，针对性不强、可执行性一般、服务基本满足要求的，得（3，6]分；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项目管理方法及技术服务较差的，得[0，3]分；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供货进度计划</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比较投标人供货时详细的进度保证措施、进度计划的合理性、满足采购人要求供货期，得0-3</w:t>
            </w:r>
            <w:r>
              <w:rPr>
                <w:rFonts w:hint="eastAsia" w:ascii="宋体" w:hAnsi="宋体" w:eastAsia="宋体" w:cs="宋体"/>
                <w:i w:val="0"/>
                <w:color w:val="000000"/>
                <w:kern w:val="0"/>
                <w:sz w:val="21"/>
                <w:szCs w:val="21"/>
                <w:u w:val="none"/>
                <w:lang w:val="en-US" w:eastAsia="zh-CN" w:bidi="ar"/>
              </w:rPr>
              <w:t>分</w:t>
            </w:r>
            <w:r>
              <w:rPr>
                <w:rFonts w:hint="eastAsia" w:ascii="宋体" w:hAnsi="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培训方案</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提供现场和工厂培训方案，且包含具体方案、师资力量、场地安排、时间安排等因素得1.5分。视培训方案的详细、合理程度加0.5-2分。最多的3分。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安装、调试和验收</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有安装、调试计划和人员组织安排、验收条款得1.5分，相应计划完整、科学、合理加0.5-2分。最多得3分。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售后服务方案</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有保证备件及时、保质、保量供应的措施得</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分，措施合理可行、针对性强加0.5-</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分。最多得</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分。</w:t>
            </w:r>
          </w:p>
        </w:tc>
      </w:tr>
    </w:tbl>
    <w:p>
      <w:pPr>
        <w:tabs>
          <w:tab w:val="left" w:pos="7049"/>
        </w:tabs>
        <w:jc w:val="left"/>
        <w:rPr>
          <w:b/>
          <w:sz w:val="28"/>
        </w:rPr>
      </w:pPr>
      <w:r>
        <w:rPr>
          <w:b/>
          <w:sz w:val="28"/>
        </w:rPr>
        <w:tab/>
      </w:r>
    </w:p>
    <w:p>
      <w:pPr>
        <w:numPr>
          <w:ilvl w:val="255"/>
          <w:numId w:val="0"/>
        </w:numPr>
        <w:spacing w:line="360" w:lineRule="auto"/>
        <w:rPr>
          <w:sz w:val="28"/>
          <w:szCs w:val="28"/>
        </w:rPr>
      </w:pPr>
    </w:p>
    <w:p>
      <w:pPr>
        <w:pStyle w:val="2"/>
        <w:ind w:left="0" w:firstLine="0"/>
        <w:jc w:val="left"/>
        <w:rPr>
          <w:rFonts w:hint="default"/>
          <w:sz w:val="28"/>
          <w:szCs w:val="28"/>
          <w:lang w:val="en-US" w:eastAsia="zh-CN"/>
        </w:rPr>
      </w:pPr>
      <w:r>
        <w:rPr>
          <w:rFonts w:hint="eastAsia"/>
          <w:sz w:val="28"/>
          <w:szCs w:val="28"/>
          <w:lang w:val="en-US" w:eastAsia="zh-CN"/>
        </w:rPr>
        <w:t>附件8： 技术偏离表</w:t>
      </w:r>
    </w:p>
    <w:tbl>
      <w:tblPr>
        <w:tblStyle w:val="50"/>
        <w:tblW w:w="8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7"/>
        <w:gridCol w:w="2975"/>
        <w:gridCol w:w="2388"/>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874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40"/>
                <w:szCs w:val="40"/>
                <w:u w:val="none"/>
              </w:rPr>
            </w:pPr>
            <w:r>
              <w:rPr>
                <w:rFonts w:hint="eastAsia" w:ascii="等线" w:hAnsi="等线" w:eastAsia="等线" w:cs="等线"/>
                <w:i w:val="0"/>
                <w:color w:val="000000"/>
                <w:kern w:val="0"/>
                <w:sz w:val="40"/>
                <w:szCs w:val="40"/>
                <w:u w:val="none"/>
                <w:lang w:val="en-US" w:eastAsia="zh-CN" w:bidi="ar"/>
              </w:rPr>
              <w:t>技术偏离表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序号</w:t>
            </w: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采购文件固定技术要求</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报价响应技术要求</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偏离详细情况说明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bl>
    <w:p>
      <w:pPr>
        <w:pStyle w:val="2"/>
        <w:rPr>
          <w:rFonts w:hint="default"/>
          <w:sz w:val="28"/>
          <w:szCs w:val="28"/>
          <w:lang w:val="en-US" w:eastAsia="zh-CN"/>
        </w:rPr>
      </w:pPr>
    </w:p>
    <w:p/>
    <w:sectPr>
      <w:headerReference r:id="rId8" w:type="first"/>
      <w:footerReference r:id="rId10" w:type="first"/>
      <w:headerReference r:id="rId6" w:type="default"/>
      <w:footerReference r:id="rId9" w:type="default"/>
      <w:headerReference r:id="rId7"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010B"/>
    <w:multiLevelType w:val="singleLevel"/>
    <w:tmpl w:val="80F4010B"/>
    <w:lvl w:ilvl="0" w:tentative="0">
      <w:start w:val="1"/>
      <w:numFmt w:val="decimal"/>
      <w:suff w:val="space"/>
      <w:lvlText w:val="%1."/>
      <w:lvlJc w:val="left"/>
    </w:lvl>
  </w:abstractNum>
  <w:abstractNum w:abstractNumId="1">
    <w:nsid w:val="8A230B96"/>
    <w:multiLevelType w:val="singleLevel"/>
    <w:tmpl w:val="8A230B96"/>
    <w:lvl w:ilvl="0" w:tentative="0">
      <w:start w:val="3"/>
      <w:numFmt w:val="decimal"/>
      <w:suff w:val="space"/>
      <w:lvlText w:val="%1."/>
      <w:lvlJc w:val="left"/>
    </w:lvl>
  </w:abstractNum>
  <w:abstractNum w:abstractNumId="2">
    <w:nsid w:val="8E46977F"/>
    <w:multiLevelType w:val="singleLevel"/>
    <w:tmpl w:val="8E46977F"/>
    <w:lvl w:ilvl="0" w:tentative="0">
      <w:start w:val="13"/>
      <w:numFmt w:val="decimal"/>
      <w:suff w:val="space"/>
      <w:lvlText w:val="%1."/>
      <w:lvlJc w:val="left"/>
    </w:lvl>
  </w:abstractNum>
  <w:abstractNum w:abstractNumId="3">
    <w:nsid w:val="9694A6D6"/>
    <w:multiLevelType w:val="singleLevel"/>
    <w:tmpl w:val="9694A6D6"/>
    <w:lvl w:ilvl="0" w:tentative="0">
      <w:start w:val="2"/>
      <w:numFmt w:val="decimal"/>
      <w:suff w:val="space"/>
      <w:lvlText w:val="%1."/>
      <w:lvlJc w:val="left"/>
    </w:lvl>
  </w:abstractNum>
  <w:abstractNum w:abstractNumId="4">
    <w:nsid w:val="C017AD4D"/>
    <w:multiLevelType w:val="singleLevel"/>
    <w:tmpl w:val="C017AD4D"/>
    <w:lvl w:ilvl="0" w:tentative="0">
      <w:start w:val="1"/>
      <w:numFmt w:val="decimal"/>
      <w:suff w:val="nothing"/>
      <w:lvlText w:val="%1．"/>
      <w:lvlJc w:val="left"/>
      <w:pPr>
        <w:ind w:left="0" w:firstLine="400"/>
      </w:pPr>
      <w:rPr>
        <w:rFonts w:hint="default"/>
      </w:rPr>
    </w:lvl>
  </w:abstractNum>
  <w:abstractNum w:abstractNumId="5">
    <w:nsid w:val="2A1800BA"/>
    <w:multiLevelType w:val="singleLevel"/>
    <w:tmpl w:val="2A1800BA"/>
    <w:lvl w:ilvl="0" w:tentative="0">
      <w:start w:val="2"/>
      <w:numFmt w:val="chineseCounting"/>
      <w:suff w:val="space"/>
      <w:lvlText w:val="第%1部分"/>
      <w:lvlJc w:val="left"/>
      <w:rPr>
        <w:rFonts w:hint="eastAsia"/>
      </w:rPr>
    </w:lvl>
  </w:abstractNum>
  <w:abstractNum w:abstractNumId="6">
    <w:nsid w:val="2C45A790"/>
    <w:multiLevelType w:val="singleLevel"/>
    <w:tmpl w:val="2C45A790"/>
    <w:lvl w:ilvl="0" w:tentative="0">
      <w:start w:val="2"/>
      <w:numFmt w:val="decimal"/>
      <w:suff w:val="space"/>
      <w:lvlText w:val="%1）"/>
      <w:lvlJc w:val="left"/>
    </w:lvl>
  </w:abstractNum>
  <w:abstractNum w:abstractNumId="7">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454E1A"/>
    <w:multiLevelType w:val="singleLevel"/>
    <w:tmpl w:val="78454E1A"/>
    <w:lvl w:ilvl="0" w:tentative="0">
      <w:start w:val="2"/>
      <w:numFmt w:val="chineseCounting"/>
      <w:suff w:val="nothing"/>
      <w:lvlText w:val="%1、"/>
      <w:lvlJc w:val="left"/>
      <w:rPr>
        <w:rFonts w:hint="eastAsia"/>
      </w:rPr>
    </w:lvl>
  </w:abstractNum>
  <w:num w:numId="1">
    <w:abstractNumId w:val="3"/>
  </w:num>
  <w:num w:numId="2">
    <w:abstractNumId w:val="5"/>
  </w:num>
  <w:num w:numId="3">
    <w:abstractNumId w:val="4"/>
  </w:num>
  <w:num w:numId="4">
    <w:abstractNumId w:val="8"/>
  </w:num>
  <w:num w:numId="5">
    <w:abstractNumId w:val="1"/>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61E8"/>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D42A2"/>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10D0"/>
    <w:rsid w:val="00153FE6"/>
    <w:rsid w:val="001561AA"/>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3F93"/>
    <w:rsid w:val="004B40D7"/>
    <w:rsid w:val="004B4F70"/>
    <w:rsid w:val="004B5F41"/>
    <w:rsid w:val="004C681A"/>
    <w:rsid w:val="004D6EA0"/>
    <w:rsid w:val="004E0343"/>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3011"/>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4803"/>
    <w:rsid w:val="007F5C94"/>
    <w:rsid w:val="007F6304"/>
    <w:rsid w:val="00803470"/>
    <w:rsid w:val="008047AB"/>
    <w:rsid w:val="00805A12"/>
    <w:rsid w:val="00806104"/>
    <w:rsid w:val="00807837"/>
    <w:rsid w:val="0081507F"/>
    <w:rsid w:val="00816B75"/>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19D1"/>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1493"/>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17AD1"/>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0A1"/>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1A0D57"/>
    <w:rsid w:val="01273254"/>
    <w:rsid w:val="01623276"/>
    <w:rsid w:val="01B91D8E"/>
    <w:rsid w:val="01C26110"/>
    <w:rsid w:val="020D671C"/>
    <w:rsid w:val="021B1F2C"/>
    <w:rsid w:val="03C947E4"/>
    <w:rsid w:val="03F92744"/>
    <w:rsid w:val="0528718F"/>
    <w:rsid w:val="05584672"/>
    <w:rsid w:val="058652E5"/>
    <w:rsid w:val="07A24765"/>
    <w:rsid w:val="08FD2095"/>
    <w:rsid w:val="094414E6"/>
    <w:rsid w:val="098623C6"/>
    <w:rsid w:val="0A647E90"/>
    <w:rsid w:val="0AF9507C"/>
    <w:rsid w:val="0B103F8B"/>
    <w:rsid w:val="0BDB1E58"/>
    <w:rsid w:val="0CA71036"/>
    <w:rsid w:val="0D620CD8"/>
    <w:rsid w:val="0DC31CED"/>
    <w:rsid w:val="0DF71764"/>
    <w:rsid w:val="0E5856CC"/>
    <w:rsid w:val="0E946093"/>
    <w:rsid w:val="0E9F7003"/>
    <w:rsid w:val="0F1C4D8A"/>
    <w:rsid w:val="0F202498"/>
    <w:rsid w:val="0F3D4559"/>
    <w:rsid w:val="10800DC8"/>
    <w:rsid w:val="10C77F11"/>
    <w:rsid w:val="111C1B5E"/>
    <w:rsid w:val="113F495F"/>
    <w:rsid w:val="11597445"/>
    <w:rsid w:val="11C73E6D"/>
    <w:rsid w:val="12870765"/>
    <w:rsid w:val="141E5638"/>
    <w:rsid w:val="14C80AFC"/>
    <w:rsid w:val="15435C97"/>
    <w:rsid w:val="16583F31"/>
    <w:rsid w:val="16E85D36"/>
    <w:rsid w:val="17313A9C"/>
    <w:rsid w:val="1738270B"/>
    <w:rsid w:val="177634DB"/>
    <w:rsid w:val="189A333A"/>
    <w:rsid w:val="18B05932"/>
    <w:rsid w:val="18FF64B5"/>
    <w:rsid w:val="191343D0"/>
    <w:rsid w:val="1942597B"/>
    <w:rsid w:val="19EA15E9"/>
    <w:rsid w:val="1AE82B0C"/>
    <w:rsid w:val="1B886CD0"/>
    <w:rsid w:val="1BB8098F"/>
    <w:rsid w:val="1BC504B9"/>
    <w:rsid w:val="1BFA335B"/>
    <w:rsid w:val="1C2E26B6"/>
    <w:rsid w:val="1CB864AA"/>
    <w:rsid w:val="1D1B7F31"/>
    <w:rsid w:val="1D8B0C36"/>
    <w:rsid w:val="1D9309FC"/>
    <w:rsid w:val="1DA9056F"/>
    <w:rsid w:val="1DD63DF2"/>
    <w:rsid w:val="1DF133EB"/>
    <w:rsid w:val="1F700EB6"/>
    <w:rsid w:val="1FAA1D63"/>
    <w:rsid w:val="1FB76264"/>
    <w:rsid w:val="1FBC37A0"/>
    <w:rsid w:val="1FC25775"/>
    <w:rsid w:val="2063119E"/>
    <w:rsid w:val="216B15CD"/>
    <w:rsid w:val="223971A1"/>
    <w:rsid w:val="22CE68E9"/>
    <w:rsid w:val="22FC04C4"/>
    <w:rsid w:val="23394664"/>
    <w:rsid w:val="23895EED"/>
    <w:rsid w:val="23D82AF9"/>
    <w:rsid w:val="24B57302"/>
    <w:rsid w:val="24EA502C"/>
    <w:rsid w:val="252C6B70"/>
    <w:rsid w:val="257D30DA"/>
    <w:rsid w:val="274444B0"/>
    <w:rsid w:val="27695603"/>
    <w:rsid w:val="27A759BD"/>
    <w:rsid w:val="27B815AE"/>
    <w:rsid w:val="27EC442E"/>
    <w:rsid w:val="285D287A"/>
    <w:rsid w:val="28FC3DD8"/>
    <w:rsid w:val="2A793505"/>
    <w:rsid w:val="2A9E1D31"/>
    <w:rsid w:val="2AB250FC"/>
    <w:rsid w:val="2B465376"/>
    <w:rsid w:val="2BC9419C"/>
    <w:rsid w:val="2BE85845"/>
    <w:rsid w:val="2C314A5C"/>
    <w:rsid w:val="2C77384B"/>
    <w:rsid w:val="2C793521"/>
    <w:rsid w:val="2CD75A89"/>
    <w:rsid w:val="2CF021B0"/>
    <w:rsid w:val="2D2F4F26"/>
    <w:rsid w:val="2DBC5A1B"/>
    <w:rsid w:val="2DD20EBB"/>
    <w:rsid w:val="2E9E5962"/>
    <w:rsid w:val="2EEE45E2"/>
    <w:rsid w:val="2F0444A1"/>
    <w:rsid w:val="2F2819B3"/>
    <w:rsid w:val="2F565632"/>
    <w:rsid w:val="2F5E6002"/>
    <w:rsid w:val="2FA03459"/>
    <w:rsid w:val="2FA4046A"/>
    <w:rsid w:val="30122F1B"/>
    <w:rsid w:val="301A64C5"/>
    <w:rsid w:val="301E0CD7"/>
    <w:rsid w:val="302315E2"/>
    <w:rsid w:val="30550747"/>
    <w:rsid w:val="309D7CAC"/>
    <w:rsid w:val="30F57B23"/>
    <w:rsid w:val="310A13A0"/>
    <w:rsid w:val="3152277A"/>
    <w:rsid w:val="3153403C"/>
    <w:rsid w:val="3232506C"/>
    <w:rsid w:val="326E478F"/>
    <w:rsid w:val="33185531"/>
    <w:rsid w:val="332B5E86"/>
    <w:rsid w:val="33A85769"/>
    <w:rsid w:val="34134897"/>
    <w:rsid w:val="34647062"/>
    <w:rsid w:val="34A56664"/>
    <w:rsid w:val="35A0376C"/>
    <w:rsid w:val="35B74CB5"/>
    <w:rsid w:val="3630464B"/>
    <w:rsid w:val="36492259"/>
    <w:rsid w:val="36C80BD6"/>
    <w:rsid w:val="3746613E"/>
    <w:rsid w:val="3761403D"/>
    <w:rsid w:val="377544E6"/>
    <w:rsid w:val="3787271D"/>
    <w:rsid w:val="37A46159"/>
    <w:rsid w:val="37E95543"/>
    <w:rsid w:val="380C03A0"/>
    <w:rsid w:val="38317226"/>
    <w:rsid w:val="388A7E46"/>
    <w:rsid w:val="38D07406"/>
    <w:rsid w:val="38F13D85"/>
    <w:rsid w:val="395E0633"/>
    <w:rsid w:val="39B01190"/>
    <w:rsid w:val="39D25597"/>
    <w:rsid w:val="3A43339F"/>
    <w:rsid w:val="3A583BAD"/>
    <w:rsid w:val="3B012F1D"/>
    <w:rsid w:val="3B051EA5"/>
    <w:rsid w:val="3B36631C"/>
    <w:rsid w:val="3C2E6A72"/>
    <w:rsid w:val="3C7F58D0"/>
    <w:rsid w:val="3DBA4892"/>
    <w:rsid w:val="3DEB55A5"/>
    <w:rsid w:val="3E76345B"/>
    <w:rsid w:val="3EFA60FB"/>
    <w:rsid w:val="3F0E3C8A"/>
    <w:rsid w:val="3FDE6A58"/>
    <w:rsid w:val="400E3078"/>
    <w:rsid w:val="407B6FE4"/>
    <w:rsid w:val="40A615AD"/>
    <w:rsid w:val="41042B82"/>
    <w:rsid w:val="414C3600"/>
    <w:rsid w:val="415043B6"/>
    <w:rsid w:val="423935DB"/>
    <w:rsid w:val="424B2B43"/>
    <w:rsid w:val="427D6DB3"/>
    <w:rsid w:val="428802E4"/>
    <w:rsid w:val="42A73442"/>
    <w:rsid w:val="42B31C9C"/>
    <w:rsid w:val="433E4413"/>
    <w:rsid w:val="434049E1"/>
    <w:rsid w:val="43877222"/>
    <w:rsid w:val="440D1500"/>
    <w:rsid w:val="441F6E8D"/>
    <w:rsid w:val="45312604"/>
    <w:rsid w:val="453426A3"/>
    <w:rsid w:val="464B54B8"/>
    <w:rsid w:val="46D86717"/>
    <w:rsid w:val="477267FD"/>
    <w:rsid w:val="487966AB"/>
    <w:rsid w:val="48966E3F"/>
    <w:rsid w:val="4A1813AF"/>
    <w:rsid w:val="4A6766A0"/>
    <w:rsid w:val="4ABE32BB"/>
    <w:rsid w:val="4B3C2D01"/>
    <w:rsid w:val="4C701C2A"/>
    <w:rsid w:val="4CA2756F"/>
    <w:rsid w:val="4CB8437F"/>
    <w:rsid w:val="4D162FC9"/>
    <w:rsid w:val="4D2B48E9"/>
    <w:rsid w:val="4D712AB4"/>
    <w:rsid w:val="4E441147"/>
    <w:rsid w:val="4E45455B"/>
    <w:rsid w:val="4E7F51D5"/>
    <w:rsid w:val="4EEA7533"/>
    <w:rsid w:val="4F527B62"/>
    <w:rsid w:val="4F747D53"/>
    <w:rsid w:val="50F038EB"/>
    <w:rsid w:val="50FF164D"/>
    <w:rsid w:val="51553856"/>
    <w:rsid w:val="51605F9C"/>
    <w:rsid w:val="519749BD"/>
    <w:rsid w:val="51D0426B"/>
    <w:rsid w:val="52055B66"/>
    <w:rsid w:val="52497EEC"/>
    <w:rsid w:val="52A567A9"/>
    <w:rsid w:val="52C176CB"/>
    <w:rsid w:val="543A43DD"/>
    <w:rsid w:val="54633774"/>
    <w:rsid w:val="54BF3843"/>
    <w:rsid w:val="56F44ECA"/>
    <w:rsid w:val="571E628A"/>
    <w:rsid w:val="57DB2ED4"/>
    <w:rsid w:val="582172CC"/>
    <w:rsid w:val="58C3057F"/>
    <w:rsid w:val="59067EB7"/>
    <w:rsid w:val="594841CE"/>
    <w:rsid w:val="59B91B18"/>
    <w:rsid w:val="5A013A88"/>
    <w:rsid w:val="5A223546"/>
    <w:rsid w:val="5AC47E7A"/>
    <w:rsid w:val="5C123B42"/>
    <w:rsid w:val="5C8E1DDF"/>
    <w:rsid w:val="5D1E5A3C"/>
    <w:rsid w:val="5D225A64"/>
    <w:rsid w:val="5D27754D"/>
    <w:rsid w:val="5D4C76EB"/>
    <w:rsid w:val="5D971654"/>
    <w:rsid w:val="5DC66A07"/>
    <w:rsid w:val="5E241755"/>
    <w:rsid w:val="5E74051D"/>
    <w:rsid w:val="5EDC4F5E"/>
    <w:rsid w:val="5EE1663C"/>
    <w:rsid w:val="5EF23D05"/>
    <w:rsid w:val="5EFE234D"/>
    <w:rsid w:val="5F556390"/>
    <w:rsid w:val="5FA36273"/>
    <w:rsid w:val="5FE4508A"/>
    <w:rsid w:val="605E48A5"/>
    <w:rsid w:val="612A09AD"/>
    <w:rsid w:val="61AD28BE"/>
    <w:rsid w:val="638C2DBC"/>
    <w:rsid w:val="64541236"/>
    <w:rsid w:val="64C878D9"/>
    <w:rsid w:val="651403D6"/>
    <w:rsid w:val="657A779C"/>
    <w:rsid w:val="658852B6"/>
    <w:rsid w:val="65C02353"/>
    <w:rsid w:val="65C264F1"/>
    <w:rsid w:val="65DF6182"/>
    <w:rsid w:val="65E03DE3"/>
    <w:rsid w:val="660C1388"/>
    <w:rsid w:val="662B0016"/>
    <w:rsid w:val="66C76CFA"/>
    <w:rsid w:val="671671C8"/>
    <w:rsid w:val="67581015"/>
    <w:rsid w:val="676F7060"/>
    <w:rsid w:val="67A2147F"/>
    <w:rsid w:val="67C418D5"/>
    <w:rsid w:val="686A4402"/>
    <w:rsid w:val="68FE200C"/>
    <w:rsid w:val="691E2A64"/>
    <w:rsid w:val="69730DDD"/>
    <w:rsid w:val="69B233A5"/>
    <w:rsid w:val="69F14DE1"/>
    <w:rsid w:val="6C012325"/>
    <w:rsid w:val="6C1B4312"/>
    <w:rsid w:val="6C4A198C"/>
    <w:rsid w:val="6D59738F"/>
    <w:rsid w:val="6D6371EA"/>
    <w:rsid w:val="6DFB1577"/>
    <w:rsid w:val="6F796E07"/>
    <w:rsid w:val="6FBC109B"/>
    <w:rsid w:val="6FF32BD5"/>
    <w:rsid w:val="703D46B2"/>
    <w:rsid w:val="70C04ECF"/>
    <w:rsid w:val="71786DCD"/>
    <w:rsid w:val="71C264F8"/>
    <w:rsid w:val="71CB519E"/>
    <w:rsid w:val="72630A42"/>
    <w:rsid w:val="726F0362"/>
    <w:rsid w:val="7329718E"/>
    <w:rsid w:val="73E55D83"/>
    <w:rsid w:val="74644360"/>
    <w:rsid w:val="74855AAA"/>
    <w:rsid w:val="74A44D67"/>
    <w:rsid w:val="74C272BC"/>
    <w:rsid w:val="74C3607A"/>
    <w:rsid w:val="75CF4F16"/>
    <w:rsid w:val="75D346AE"/>
    <w:rsid w:val="75D8716B"/>
    <w:rsid w:val="75D96B78"/>
    <w:rsid w:val="7658156E"/>
    <w:rsid w:val="768B7BB8"/>
    <w:rsid w:val="76923207"/>
    <w:rsid w:val="78C93F5A"/>
    <w:rsid w:val="7A3834F9"/>
    <w:rsid w:val="7A443099"/>
    <w:rsid w:val="7A9537E7"/>
    <w:rsid w:val="7B5C3533"/>
    <w:rsid w:val="7BBD35EF"/>
    <w:rsid w:val="7C1008C3"/>
    <w:rsid w:val="7C300252"/>
    <w:rsid w:val="7C345557"/>
    <w:rsid w:val="7C3E1A1B"/>
    <w:rsid w:val="7CB33702"/>
    <w:rsid w:val="7CFD303E"/>
    <w:rsid w:val="7D8D5BB2"/>
    <w:rsid w:val="7E077A3B"/>
    <w:rsid w:val="7E1F05DF"/>
    <w:rsid w:val="7E604F4A"/>
    <w:rsid w:val="7EEB5D20"/>
    <w:rsid w:val="7FB8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5"/>
    <w:link w:val="117"/>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6">
    <w:name w:val="heading 3"/>
    <w:basedOn w:val="1"/>
    <w:next w:val="5"/>
    <w:link w:val="11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5"/>
    <w:link w:val="70"/>
    <w:qFormat/>
    <w:uiPriority w:val="0"/>
    <w:pPr>
      <w:keepNext/>
      <w:tabs>
        <w:tab w:val="left" w:pos="425"/>
      </w:tabs>
      <w:ind w:left="425" w:firstLine="415"/>
      <w:jc w:val="left"/>
      <w:outlineLvl w:val="3"/>
    </w:pPr>
    <w:rPr>
      <w:rFonts w:ascii="宋体" w:hAnsi="宋体"/>
    </w:rPr>
  </w:style>
  <w:style w:type="paragraph" w:styleId="8">
    <w:name w:val="heading 5"/>
    <w:basedOn w:val="1"/>
    <w:next w:val="5"/>
    <w:link w:val="82"/>
    <w:qFormat/>
    <w:uiPriority w:val="0"/>
    <w:pPr>
      <w:keepNext/>
      <w:keepLines/>
      <w:spacing w:before="280" w:after="290" w:line="376" w:lineRule="auto"/>
      <w:outlineLvl w:val="4"/>
    </w:pPr>
    <w:rPr>
      <w:rFonts w:ascii="Arial" w:hAnsi="Arial" w:cs="Arial"/>
      <w:b/>
    </w:rPr>
  </w:style>
  <w:style w:type="paragraph" w:styleId="9">
    <w:name w:val="heading 6"/>
    <w:basedOn w:val="1"/>
    <w:next w:val="5"/>
    <w:link w:val="8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5"/>
    <w:link w:val="78"/>
    <w:qFormat/>
    <w:uiPriority w:val="0"/>
    <w:pPr>
      <w:keepNext/>
      <w:keepLines/>
      <w:spacing w:before="240" w:after="64" w:line="320" w:lineRule="auto"/>
      <w:outlineLvl w:val="6"/>
    </w:pPr>
    <w:rPr>
      <w:b/>
      <w:sz w:val="24"/>
    </w:rPr>
  </w:style>
  <w:style w:type="paragraph" w:styleId="11">
    <w:name w:val="heading 8"/>
    <w:basedOn w:val="1"/>
    <w:next w:val="5"/>
    <w:link w:val="99"/>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5"/>
    <w:link w:val="87"/>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75"/>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5">
    <w:name w:val="Normal Indent"/>
    <w:basedOn w:val="1"/>
    <w:link w:val="93"/>
    <w:qFormat/>
    <w:uiPriority w:val="0"/>
    <w:pPr>
      <w:ind w:firstLine="420"/>
    </w:pPr>
  </w:style>
  <w:style w:type="paragraph" w:styleId="13">
    <w:name w:val="toc 7"/>
    <w:basedOn w:val="1"/>
    <w:next w:val="1"/>
    <w:qFormat/>
    <w:uiPriority w:val="0"/>
    <w:pPr>
      <w:ind w:left="1260"/>
      <w:jc w:val="left"/>
    </w:pPr>
    <w:rPr>
      <w:szCs w:val="21"/>
    </w:rPr>
  </w:style>
  <w:style w:type="paragraph" w:styleId="14">
    <w:name w:val="table of authorities"/>
    <w:basedOn w:val="1"/>
    <w:next w:val="1"/>
    <w:qFormat/>
    <w:uiPriority w:val="0"/>
    <w:pPr>
      <w:ind w:left="200" w:leftChars="200"/>
    </w:pPr>
  </w:style>
  <w:style w:type="paragraph" w:styleId="15">
    <w:name w:val="caption"/>
    <w:basedOn w:val="1"/>
    <w:next w:val="1"/>
    <w:link w:val="95"/>
    <w:qFormat/>
    <w:uiPriority w:val="0"/>
    <w:pPr>
      <w:spacing w:beforeLines="50" w:afterLines="50"/>
      <w:ind w:left="422" w:hanging="422" w:hangingChars="200"/>
      <w:jc w:val="left"/>
    </w:pPr>
    <w:rPr>
      <w:rFonts w:ascii="宋体" w:hAnsi="宋体"/>
      <w:b/>
      <w:bCs/>
    </w:rPr>
  </w:style>
  <w:style w:type="paragraph" w:styleId="16">
    <w:name w:val="List Bullet"/>
    <w:basedOn w:val="1"/>
    <w:qFormat/>
    <w:uiPriority w:val="0"/>
    <w:pPr>
      <w:tabs>
        <w:tab w:val="left" w:pos="360"/>
      </w:tabs>
      <w:spacing w:line="360" w:lineRule="auto"/>
      <w:ind w:firstLine="454"/>
    </w:pPr>
    <w:rPr>
      <w:rFonts w:ascii="宋体"/>
    </w:rPr>
  </w:style>
  <w:style w:type="paragraph" w:styleId="17">
    <w:name w:val="Document Map"/>
    <w:basedOn w:val="1"/>
    <w:link w:val="86"/>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74"/>
    <w:qFormat/>
    <w:uiPriority w:val="0"/>
    <w:pPr>
      <w:jc w:val="left"/>
    </w:pPr>
  </w:style>
  <w:style w:type="paragraph" w:styleId="20">
    <w:name w:val="Salutation"/>
    <w:basedOn w:val="1"/>
    <w:next w:val="1"/>
    <w:link w:val="62"/>
    <w:qFormat/>
    <w:uiPriority w:val="0"/>
    <w:pPr>
      <w:jc w:val="left"/>
    </w:pPr>
    <w:rPr>
      <w:rFonts w:eastAsia="PMingLiU"/>
      <w:sz w:val="24"/>
      <w:lang w:eastAsia="zh-TW"/>
    </w:rPr>
  </w:style>
  <w:style w:type="paragraph" w:styleId="21">
    <w:name w:val="Body Text 3"/>
    <w:basedOn w:val="1"/>
    <w:link w:val="92"/>
    <w:qFormat/>
    <w:uiPriority w:val="0"/>
    <w:pPr>
      <w:spacing w:after="120"/>
    </w:pPr>
    <w:rPr>
      <w:sz w:val="16"/>
      <w:szCs w:val="16"/>
    </w:rPr>
  </w:style>
  <w:style w:type="paragraph" w:styleId="22">
    <w:name w:val="Body Text"/>
    <w:basedOn w:val="1"/>
    <w:link w:val="94"/>
    <w:qFormat/>
    <w:uiPriority w:val="0"/>
    <w:rPr>
      <w:rFonts w:ascii="Arial" w:hAnsi="Arial"/>
      <w:color w:val="000000"/>
      <w:szCs w:val="24"/>
    </w:rPr>
  </w:style>
  <w:style w:type="paragraph" w:styleId="23">
    <w:name w:val="Body Text Indent"/>
    <w:basedOn w:val="1"/>
    <w:link w:val="105"/>
    <w:qFormat/>
    <w:uiPriority w:val="0"/>
    <w:pPr>
      <w:ind w:left="540"/>
    </w:p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link w:val="115"/>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90"/>
    <w:qFormat/>
    <w:uiPriority w:val="0"/>
    <w:rPr>
      <w:rFonts w:ascii="宋体"/>
      <w:sz w:val="24"/>
    </w:rPr>
  </w:style>
  <w:style w:type="paragraph" w:styleId="30">
    <w:name w:val="Body Text Indent 2"/>
    <w:basedOn w:val="1"/>
    <w:link w:val="116"/>
    <w:qFormat/>
    <w:uiPriority w:val="0"/>
    <w:pPr>
      <w:ind w:left="735"/>
    </w:pPr>
  </w:style>
  <w:style w:type="paragraph" w:styleId="31">
    <w:name w:val="Balloon Text"/>
    <w:basedOn w:val="1"/>
    <w:link w:val="118"/>
    <w:qFormat/>
    <w:uiPriority w:val="0"/>
    <w:rPr>
      <w:sz w:val="18"/>
      <w:szCs w:val="18"/>
    </w:rPr>
  </w:style>
  <w:style w:type="paragraph" w:styleId="32">
    <w:name w:val="footer"/>
    <w:basedOn w:val="1"/>
    <w:link w:val="76"/>
    <w:qFormat/>
    <w:uiPriority w:val="99"/>
    <w:pPr>
      <w:tabs>
        <w:tab w:val="center" w:pos="4153"/>
        <w:tab w:val="right" w:pos="8306"/>
      </w:tabs>
      <w:snapToGrid w:val="0"/>
      <w:jc w:val="left"/>
    </w:pPr>
    <w:rPr>
      <w:sz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100"/>
    <w:qFormat/>
    <w:uiPriority w:val="0"/>
    <w:pPr>
      <w:spacing w:before="240" w:after="6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123"/>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107"/>
    <w:qFormat/>
    <w:uiPriority w:val="0"/>
    <w:pPr>
      <w:spacing w:after="12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annotation subject"/>
    <w:basedOn w:val="19"/>
    <w:next w:val="19"/>
    <w:link w:val="111"/>
    <w:qFormat/>
    <w:uiPriority w:val="0"/>
    <w:rPr>
      <w:b/>
      <w:bCs/>
    </w:rPr>
  </w:style>
  <w:style w:type="paragraph" w:styleId="48">
    <w:name w:val="Body Text First Indent"/>
    <w:basedOn w:val="22"/>
    <w:link w:val="113"/>
    <w:qFormat/>
    <w:uiPriority w:val="0"/>
    <w:pPr>
      <w:spacing w:after="120"/>
      <w:ind w:firstLine="420"/>
    </w:pPr>
    <w:rPr>
      <w:rFonts w:ascii="Times New Roman" w:hAnsi="Times New Roman"/>
      <w:color w:val="auto"/>
      <w:szCs w:val="20"/>
    </w:rPr>
  </w:style>
  <w:style w:type="paragraph" w:styleId="49">
    <w:name w:val="Body Text First Indent 2"/>
    <w:basedOn w:val="23"/>
    <w:qFormat/>
    <w:uiPriority w:val="0"/>
    <w:pPr>
      <w:ind w:firstLine="420"/>
    </w:pPr>
    <w:rPr>
      <w:bCs/>
      <w:szCs w:val="24"/>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character" w:customStyle="1" w:styleId="59">
    <w:name w:val="style21"/>
    <w:qFormat/>
    <w:uiPriority w:val="0"/>
    <w:rPr>
      <w:sz w:val="21"/>
      <w:szCs w:val="21"/>
    </w:rPr>
  </w:style>
  <w:style w:type="character" w:customStyle="1" w:styleId="60">
    <w:name w:val="未处理的提及1"/>
    <w:unhideWhenUsed/>
    <w:qFormat/>
    <w:uiPriority w:val="99"/>
    <w:rPr>
      <w:color w:val="605E5C"/>
      <w:shd w:val="clear" w:color="auto" w:fill="E1DFDD"/>
    </w:rPr>
  </w:style>
  <w:style w:type="character" w:customStyle="1" w:styleId="61">
    <w:name w:val="标题 1 字符"/>
    <w:link w:val="3"/>
    <w:qFormat/>
    <w:uiPriority w:val="0"/>
    <w:rPr>
      <w:b/>
      <w:kern w:val="44"/>
      <w:sz w:val="44"/>
    </w:rPr>
  </w:style>
  <w:style w:type="character" w:customStyle="1" w:styleId="62">
    <w:name w:val="称呼 字符"/>
    <w:link w:val="20"/>
    <w:qFormat/>
    <w:uiPriority w:val="0"/>
    <w:rPr>
      <w:rFonts w:eastAsia="PMingLiU"/>
      <w:kern w:val="2"/>
      <w:sz w:val="24"/>
      <w:lang w:eastAsia="zh-TW"/>
    </w:rPr>
  </w:style>
  <w:style w:type="character" w:customStyle="1" w:styleId="63">
    <w:name w:val="文字 Char"/>
    <w:link w:val="64"/>
    <w:qFormat/>
    <w:uiPriority w:val="0"/>
    <w:rPr>
      <w:rFonts w:ascii="宋体" w:hAnsi="宋体"/>
      <w:snapToGrid w:val="0"/>
      <w:color w:val="000000"/>
      <w:szCs w:val="21"/>
    </w:rPr>
  </w:style>
  <w:style w:type="paragraph" w:customStyle="1" w:styleId="64">
    <w:name w:val="文字"/>
    <w:basedOn w:val="1"/>
    <w:link w:val="63"/>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65">
    <w:name w:val="标准正文 Char"/>
    <w:link w:val="66"/>
    <w:qFormat/>
    <w:uiPriority w:val="0"/>
    <w:rPr>
      <w:rFonts w:ascii="宋体"/>
    </w:rPr>
  </w:style>
  <w:style w:type="paragraph" w:customStyle="1" w:styleId="66">
    <w:name w:val="标准正文"/>
    <w:basedOn w:val="67"/>
    <w:link w:val="65"/>
    <w:qFormat/>
    <w:uiPriority w:val="0"/>
    <w:pPr>
      <w:spacing w:before="60" w:after="60"/>
      <w:ind w:firstLine="482"/>
      <w:jc w:val="both"/>
    </w:pPr>
    <w:rPr>
      <w:kern w:val="0"/>
      <w:sz w:val="20"/>
    </w:rPr>
  </w:style>
  <w:style w:type="paragraph" w:customStyle="1" w:styleId="67">
    <w:name w:val="正文文本缩进1"/>
    <w:basedOn w:val="1"/>
    <w:qFormat/>
    <w:uiPriority w:val="0"/>
    <w:pPr>
      <w:spacing w:line="360" w:lineRule="auto"/>
      <w:ind w:firstLine="454"/>
      <w:jc w:val="center"/>
    </w:pPr>
    <w:rPr>
      <w:rFonts w:ascii="宋体"/>
    </w:rPr>
  </w:style>
  <w:style w:type="character" w:customStyle="1" w:styleId="68">
    <w:name w:val="G_正文 Char"/>
    <w:link w:val="69"/>
    <w:qFormat/>
    <w:uiPriority w:val="0"/>
    <w:rPr>
      <w:rFonts w:ascii="宋体" w:hAnsi="宋体"/>
      <w:sz w:val="24"/>
      <w:szCs w:val="24"/>
    </w:rPr>
  </w:style>
  <w:style w:type="paragraph" w:customStyle="1" w:styleId="69">
    <w:name w:val="G_正文"/>
    <w:basedOn w:val="1"/>
    <w:link w:val="68"/>
    <w:qFormat/>
    <w:uiPriority w:val="0"/>
    <w:pPr>
      <w:snapToGrid w:val="0"/>
      <w:spacing w:line="360" w:lineRule="auto"/>
      <w:ind w:firstLine="480" w:firstLineChars="200"/>
    </w:pPr>
    <w:rPr>
      <w:rFonts w:ascii="宋体" w:hAnsi="宋体"/>
      <w:kern w:val="0"/>
      <w:sz w:val="24"/>
      <w:szCs w:val="24"/>
    </w:rPr>
  </w:style>
  <w:style w:type="character" w:customStyle="1" w:styleId="70">
    <w:name w:val="标题 4 字符"/>
    <w:link w:val="7"/>
    <w:qFormat/>
    <w:uiPriority w:val="0"/>
    <w:rPr>
      <w:rFonts w:ascii="宋体" w:hAnsi="宋体"/>
      <w:kern w:val="2"/>
      <w:sz w:val="21"/>
    </w:rPr>
  </w:style>
  <w:style w:type="character" w:customStyle="1" w:styleId="71">
    <w:name w:val="font01"/>
    <w:basedOn w:val="52"/>
    <w:qFormat/>
    <w:uiPriority w:val="0"/>
    <w:rPr>
      <w:rFonts w:hint="eastAsia" w:ascii="宋体" w:hAnsi="宋体" w:eastAsia="宋体" w:cs="宋体"/>
      <w:color w:val="000000"/>
      <w:sz w:val="22"/>
      <w:szCs w:val="22"/>
      <w:u w:val="none"/>
    </w:rPr>
  </w:style>
  <w:style w:type="character" w:customStyle="1" w:styleId="72">
    <w:name w:val="bold1"/>
    <w:qFormat/>
    <w:uiPriority w:val="0"/>
    <w:rPr>
      <w:sz w:val="32"/>
      <w:szCs w:val="18"/>
    </w:rPr>
  </w:style>
  <w:style w:type="character" w:customStyle="1" w:styleId="73">
    <w:name w:val="font11"/>
    <w:basedOn w:val="52"/>
    <w:qFormat/>
    <w:uiPriority w:val="0"/>
    <w:rPr>
      <w:rFonts w:hint="eastAsia" w:ascii="宋体" w:hAnsi="宋体" w:eastAsia="宋体" w:cs="宋体"/>
      <w:color w:val="000000"/>
      <w:sz w:val="22"/>
      <w:szCs w:val="22"/>
      <w:u w:val="none"/>
    </w:rPr>
  </w:style>
  <w:style w:type="character" w:customStyle="1" w:styleId="74">
    <w:name w:val="批注文字 字符"/>
    <w:link w:val="19"/>
    <w:qFormat/>
    <w:uiPriority w:val="0"/>
    <w:rPr>
      <w:kern w:val="2"/>
      <w:sz w:val="21"/>
    </w:rPr>
  </w:style>
  <w:style w:type="character" w:customStyle="1" w:styleId="75">
    <w:name w:val="标题 字符"/>
    <w:link w:val="2"/>
    <w:qFormat/>
    <w:locked/>
    <w:uiPriority w:val="0"/>
    <w:rPr>
      <w:rFonts w:ascii="Arial" w:hAnsi="Arial" w:eastAsia="宋体"/>
      <w:b/>
      <w:sz w:val="36"/>
      <w:lang w:val="en-US" w:eastAsia="zh-CN" w:bidi="ar-SA"/>
    </w:rPr>
  </w:style>
  <w:style w:type="character" w:customStyle="1" w:styleId="76">
    <w:name w:val="页脚 字符"/>
    <w:link w:val="32"/>
    <w:qFormat/>
    <w:uiPriority w:val="99"/>
    <w:rPr>
      <w:kern w:val="2"/>
      <w:sz w:val="18"/>
    </w:rPr>
  </w:style>
  <w:style w:type="character" w:customStyle="1" w:styleId="77">
    <w:name w:val="meuncn1"/>
    <w:qFormat/>
    <w:uiPriority w:val="0"/>
    <w:rPr>
      <w:rFonts w:hint="eastAsia" w:ascii="宋体" w:hAnsi="宋体" w:eastAsia="宋体"/>
      <w:color w:val="666666"/>
      <w:sz w:val="18"/>
      <w:szCs w:val="18"/>
      <w:u w:val="none"/>
    </w:rPr>
  </w:style>
  <w:style w:type="character" w:customStyle="1" w:styleId="78">
    <w:name w:val="标题 7 字符"/>
    <w:link w:val="10"/>
    <w:qFormat/>
    <w:uiPriority w:val="0"/>
    <w:rPr>
      <w:b/>
      <w:kern w:val="2"/>
      <w:sz w:val="24"/>
    </w:rPr>
  </w:style>
  <w:style w:type="character" w:customStyle="1" w:styleId="79">
    <w:name w:val="f142"/>
    <w:basedOn w:val="52"/>
    <w:qFormat/>
    <w:uiPriority w:val="0"/>
    <w:rPr>
      <w:sz w:val="21"/>
      <w:szCs w:val="21"/>
    </w:rPr>
  </w:style>
  <w:style w:type="character" w:customStyle="1" w:styleId="80">
    <w:name w:val="样式6 Char"/>
    <w:link w:val="81"/>
    <w:qFormat/>
    <w:uiPriority w:val="0"/>
    <w:rPr>
      <w:rFonts w:ascii="宋体" w:hAnsi="Courier New" w:eastAsia="楷体_GB2312"/>
      <w:sz w:val="24"/>
    </w:rPr>
  </w:style>
  <w:style w:type="paragraph" w:customStyle="1" w:styleId="81">
    <w:name w:val="样式6"/>
    <w:basedOn w:val="1"/>
    <w:link w:val="80"/>
    <w:qFormat/>
    <w:uiPriority w:val="0"/>
    <w:pPr>
      <w:tabs>
        <w:tab w:val="left" w:pos="425"/>
      </w:tabs>
      <w:spacing w:line="360" w:lineRule="auto"/>
      <w:ind w:left="425" w:hanging="425"/>
    </w:pPr>
    <w:rPr>
      <w:rFonts w:ascii="宋体" w:hAnsi="Courier New" w:eastAsia="楷体_GB2312"/>
      <w:kern w:val="0"/>
      <w:sz w:val="24"/>
    </w:rPr>
  </w:style>
  <w:style w:type="character" w:customStyle="1" w:styleId="82">
    <w:name w:val="标题 5 字符"/>
    <w:link w:val="8"/>
    <w:qFormat/>
    <w:uiPriority w:val="0"/>
    <w:rPr>
      <w:rFonts w:ascii="Arial" w:hAnsi="Arial" w:cs="Arial"/>
      <w:b/>
      <w:kern w:val="2"/>
      <w:sz w:val="21"/>
    </w:rPr>
  </w:style>
  <w:style w:type="character" w:customStyle="1" w:styleId="83">
    <w:name w:val="word1"/>
    <w:qFormat/>
    <w:uiPriority w:val="0"/>
    <w:rPr>
      <w:rFonts w:hint="default" w:ascii="ˎ̥" w:hAnsi="ˎ̥"/>
      <w:color w:val="555555"/>
      <w:spacing w:val="12"/>
      <w:sz w:val="18"/>
      <w:szCs w:val="18"/>
    </w:rPr>
  </w:style>
  <w:style w:type="character" w:customStyle="1" w:styleId="84">
    <w:name w:val="样式 四号 行距: 1.5 倍行距 首行缩进:  2 字符1 Char"/>
    <w:link w:val="85"/>
    <w:qFormat/>
    <w:uiPriority w:val="0"/>
    <w:rPr>
      <w:rFonts w:cs="宋体"/>
      <w:sz w:val="24"/>
    </w:rPr>
  </w:style>
  <w:style w:type="paragraph" w:customStyle="1" w:styleId="85">
    <w:name w:val="样式 四号 行距: 1.5 倍行距 首行缩进:  2 字符1"/>
    <w:basedOn w:val="1"/>
    <w:link w:val="84"/>
    <w:qFormat/>
    <w:uiPriority w:val="0"/>
    <w:pPr>
      <w:spacing w:line="360" w:lineRule="auto"/>
      <w:ind w:firstLine="560" w:firstLineChars="200"/>
    </w:pPr>
    <w:rPr>
      <w:kern w:val="0"/>
      <w:sz w:val="24"/>
    </w:rPr>
  </w:style>
  <w:style w:type="character" w:customStyle="1" w:styleId="86">
    <w:name w:val="文档结构图 字符"/>
    <w:link w:val="17"/>
    <w:qFormat/>
    <w:uiPriority w:val="0"/>
    <w:rPr>
      <w:kern w:val="2"/>
      <w:sz w:val="21"/>
      <w:shd w:val="clear" w:color="auto" w:fill="000080"/>
    </w:rPr>
  </w:style>
  <w:style w:type="character" w:customStyle="1" w:styleId="87">
    <w:name w:val="标题 9 字符"/>
    <w:link w:val="12"/>
    <w:qFormat/>
    <w:uiPriority w:val="0"/>
    <w:rPr>
      <w:rFonts w:ascii="Arial" w:hAnsi="Arial" w:eastAsia="黑体"/>
      <w:kern w:val="2"/>
      <w:sz w:val="21"/>
    </w:rPr>
  </w:style>
  <w:style w:type="character" w:customStyle="1" w:styleId="88">
    <w:name w:val="标题 6 字符"/>
    <w:link w:val="9"/>
    <w:qFormat/>
    <w:uiPriority w:val="0"/>
    <w:rPr>
      <w:rFonts w:ascii="Arial" w:hAnsi="Arial" w:eastAsia="黑体"/>
      <w:b/>
      <w:kern w:val="2"/>
      <w:sz w:val="24"/>
    </w:rPr>
  </w:style>
  <w:style w:type="character" w:customStyle="1" w:styleId="89">
    <w:name w:val="font21"/>
    <w:basedOn w:val="52"/>
    <w:qFormat/>
    <w:uiPriority w:val="0"/>
    <w:rPr>
      <w:rFonts w:hint="eastAsia" w:ascii="仿宋_GB2312" w:eastAsia="仿宋_GB2312" w:cs="仿宋_GB2312"/>
      <w:color w:val="000000"/>
      <w:sz w:val="24"/>
      <w:szCs w:val="24"/>
      <w:u w:val="none"/>
    </w:rPr>
  </w:style>
  <w:style w:type="character" w:customStyle="1" w:styleId="90">
    <w:name w:val="日期 字符"/>
    <w:link w:val="29"/>
    <w:qFormat/>
    <w:uiPriority w:val="0"/>
    <w:rPr>
      <w:rFonts w:ascii="宋体"/>
      <w:kern w:val="2"/>
      <w:sz w:val="24"/>
    </w:rPr>
  </w:style>
  <w:style w:type="character" w:customStyle="1" w:styleId="91">
    <w:name w:val="页眉 字符"/>
    <w:link w:val="33"/>
    <w:qFormat/>
    <w:uiPriority w:val="0"/>
    <w:rPr>
      <w:kern w:val="2"/>
      <w:sz w:val="18"/>
    </w:rPr>
  </w:style>
  <w:style w:type="character" w:customStyle="1" w:styleId="92">
    <w:name w:val="正文文本 3 字符"/>
    <w:link w:val="21"/>
    <w:qFormat/>
    <w:uiPriority w:val="0"/>
    <w:rPr>
      <w:kern w:val="2"/>
      <w:sz w:val="16"/>
      <w:szCs w:val="16"/>
    </w:rPr>
  </w:style>
  <w:style w:type="character" w:customStyle="1" w:styleId="93">
    <w:name w:val="正文缩进 字符"/>
    <w:link w:val="5"/>
    <w:qFormat/>
    <w:uiPriority w:val="0"/>
    <w:rPr>
      <w:rFonts w:eastAsia="宋体"/>
      <w:kern w:val="2"/>
      <w:sz w:val="21"/>
      <w:lang w:val="en-US" w:eastAsia="zh-CN" w:bidi="ar-SA"/>
    </w:rPr>
  </w:style>
  <w:style w:type="character" w:customStyle="1" w:styleId="94">
    <w:name w:val="正文文本 字符"/>
    <w:link w:val="22"/>
    <w:qFormat/>
    <w:uiPriority w:val="0"/>
    <w:rPr>
      <w:rFonts w:ascii="Arial" w:hAnsi="Arial" w:eastAsia="宋体"/>
      <w:color w:val="000000"/>
      <w:kern w:val="2"/>
      <w:sz w:val="21"/>
      <w:szCs w:val="24"/>
      <w:lang w:val="en-US" w:eastAsia="zh-CN" w:bidi="ar-SA"/>
    </w:rPr>
  </w:style>
  <w:style w:type="character" w:customStyle="1" w:styleId="95">
    <w:name w:val="题注 字符"/>
    <w:link w:val="15"/>
    <w:qFormat/>
    <w:uiPriority w:val="0"/>
    <w:rPr>
      <w:rFonts w:ascii="宋体" w:hAnsi="宋体"/>
      <w:b/>
      <w:bCs/>
      <w:kern w:val="2"/>
      <w:sz w:val="21"/>
    </w:rPr>
  </w:style>
  <w:style w:type="character" w:customStyle="1" w:styleId="96">
    <w:name w:val="wctjfont1"/>
    <w:qFormat/>
    <w:uiPriority w:val="0"/>
    <w:rPr>
      <w:sz w:val="18"/>
      <w:szCs w:val="18"/>
    </w:rPr>
  </w:style>
  <w:style w:type="character" w:customStyle="1" w:styleId="97">
    <w:name w:val="样式1 Char"/>
    <w:link w:val="98"/>
    <w:qFormat/>
    <w:uiPriority w:val="0"/>
    <w:rPr>
      <w:rFonts w:ascii="黑体" w:hAnsi="Arial"/>
      <w:color w:val="FF00FF"/>
      <w:sz w:val="24"/>
    </w:rPr>
  </w:style>
  <w:style w:type="paragraph" w:customStyle="1" w:styleId="98">
    <w:name w:val="样式1"/>
    <w:basedOn w:val="1"/>
    <w:link w:val="97"/>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99">
    <w:name w:val="标题 8 字符"/>
    <w:link w:val="11"/>
    <w:qFormat/>
    <w:uiPriority w:val="0"/>
    <w:rPr>
      <w:rFonts w:ascii="Arial" w:hAnsi="Arial" w:eastAsia="黑体"/>
      <w:kern w:val="2"/>
      <w:sz w:val="24"/>
    </w:rPr>
  </w:style>
  <w:style w:type="character" w:customStyle="1" w:styleId="100">
    <w:name w:val="副标题 字符"/>
    <w:link w:val="37"/>
    <w:qFormat/>
    <w:locked/>
    <w:uiPriority w:val="0"/>
    <w:rPr>
      <w:rFonts w:ascii="Arial" w:hAnsi="Arial" w:eastAsia="宋体" w:cs="Arial"/>
      <w:b/>
      <w:bCs/>
      <w:kern w:val="28"/>
      <w:sz w:val="32"/>
      <w:szCs w:val="32"/>
      <w:lang w:val="en-US" w:eastAsia="zh-CN" w:bidi="ar-SA"/>
    </w:rPr>
  </w:style>
  <w:style w:type="character" w:customStyle="1" w:styleId="101">
    <w:name w:val="title_emph1"/>
    <w:qFormat/>
    <w:uiPriority w:val="0"/>
    <w:rPr>
      <w:rFonts w:hint="default" w:ascii="Arial" w:hAnsi="Arial" w:cs="Arial"/>
      <w:b/>
      <w:bCs/>
      <w:sz w:val="20"/>
      <w:szCs w:val="20"/>
    </w:rPr>
  </w:style>
  <w:style w:type="character" w:customStyle="1" w:styleId="102">
    <w:name w:val="15"/>
    <w:basedOn w:val="52"/>
    <w:qFormat/>
    <w:uiPriority w:val="0"/>
    <w:rPr>
      <w:rFonts w:hint="eastAsia" w:ascii="仿宋" w:hAnsi="仿宋" w:eastAsia="仿宋" w:cs="仿宋"/>
      <w:color w:val="000000"/>
      <w:sz w:val="32"/>
      <w:szCs w:val="32"/>
    </w:rPr>
  </w:style>
  <w:style w:type="character" w:customStyle="1" w:styleId="103">
    <w:name w:val="lh131"/>
    <w:basedOn w:val="52"/>
    <w:qFormat/>
    <w:uiPriority w:val="0"/>
  </w:style>
  <w:style w:type="character" w:customStyle="1" w:styleId="104">
    <w:name w:val="纯文本 Char Char"/>
    <w:qFormat/>
    <w:uiPriority w:val="0"/>
    <w:rPr>
      <w:rFonts w:ascii="仿宋_GB2312" w:hAnsi="Courier New" w:eastAsia="仿宋_GB2312"/>
      <w:kern w:val="2"/>
      <w:sz w:val="30"/>
      <w:szCs w:val="28"/>
      <w:lang w:val="en-US" w:eastAsia="zh-CN" w:bidi="ar-SA"/>
    </w:rPr>
  </w:style>
  <w:style w:type="character" w:customStyle="1" w:styleId="105">
    <w:name w:val="正文文本缩进 字符"/>
    <w:link w:val="23"/>
    <w:qFormat/>
    <w:uiPriority w:val="0"/>
    <w:rPr>
      <w:rFonts w:eastAsia="宋体"/>
      <w:kern w:val="2"/>
      <w:sz w:val="21"/>
      <w:lang w:val="en-US" w:eastAsia="zh-CN" w:bidi="ar-SA"/>
    </w:rPr>
  </w:style>
  <w:style w:type="character" w:customStyle="1" w:styleId="106">
    <w:name w:val="页码1"/>
    <w:qFormat/>
    <w:uiPriority w:val="0"/>
    <w:rPr>
      <w:rFonts w:ascii="宋体" w:eastAsia="宋体"/>
      <w:sz w:val="18"/>
    </w:rPr>
  </w:style>
  <w:style w:type="character" w:customStyle="1" w:styleId="107">
    <w:name w:val="正文文本 2 字符"/>
    <w:link w:val="43"/>
    <w:qFormat/>
    <w:uiPriority w:val="0"/>
    <w:rPr>
      <w:kern w:val="2"/>
      <w:sz w:val="21"/>
      <w:szCs w:val="24"/>
    </w:rPr>
  </w:style>
  <w:style w:type="character" w:customStyle="1" w:styleId="108">
    <w:name w:val="文档正文 Char"/>
    <w:link w:val="109"/>
    <w:qFormat/>
    <w:uiPriority w:val="0"/>
    <w:rPr>
      <w:rFonts w:ascii="宋体"/>
      <w:sz w:val="28"/>
    </w:rPr>
  </w:style>
  <w:style w:type="paragraph" w:customStyle="1" w:styleId="109">
    <w:name w:val="文档正文"/>
    <w:basedOn w:val="1"/>
    <w:link w:val="108"/>
    <w:qFormat/>
    <w:uiPriority w:val="0"/>
    <w:pPr>
      <w:keepNext/>
      <w:adjustRightInd w:val="0"/>
      <w:spacing w:line="312" w:lineRule="atLeast"/>
      <w:ind w:firstLine="567"/>
      <w:textAlignment w:val="baseline"/>
    </w:pPr>
    <w:rPr>
      <w:rFonts w:ascii="宋体"/>
      <w:kern w:val="0"/>
      <w:sz w:val="28"/>
    </w:rPr>
  </w:style>
  <w:style w:type="character" w:customStyle="1" w:styleId="110">
    <w:name w:val="contents1"/>
    <w:qFormat/>
    <w:uiPriority w:val="0"/>
    <w:rPr>
      <w:color w:val="000000"/>
      <w:sz w:val="21"/>
      <w:szCs w:val="21"/>
      <w:u w:val="none"/>
    </w:rPr>
  </w:style>
  <w:style w:type="character" w:customStyle="1" w:styleId="111">
    <w:name w:val="批注主题 字符"/>
    <w:link w:val="47"/>
    <w:qFormat/>
    <w:uiPriority w:val="0"/>
    <w:rPr>
      <w:b/>
      <w:bCs/>
      <w:kern w:val="2"/>
      <w:sz w:val="21"/>
    </w:rPr>
  </w:style>
  <w:style w:type="character" w:customStyle="1" w:styleId="112">
    <w:name w:val="Highlighted Variable"/>
    <w:qFormat/>
    <w:uiPriority w:val="0"/>
    <w:rPr>
      <w:color w:val="000000"/>
    </w:rPr>
  </w:style>
  <w:style w:type="character" w:customStyle="1" w:styleId="113">
    <w:name w:val="正文文本首行缩进 字符"/>
    <w:basedOn w:val="94"/>
    <w:link w:val="48"/>
    <w:qFormat/>
    <w:uiPriority w:val="0"/>
    <w:rPr>
      <w:rFonts w:ascii="Arial" w:hAnsi="Arial" w:eastAsia="宋体"/>
      <w:color w:val="000000"/>
      <w:kern w:val="2"/>
      <w:sz w:val="21"/>
      <w:szCs w:val="24"/>
      <w:lang w:val="en-US" w:eastAsia="zh-CN" w:bidi="ar-SA"/>
    </w:rPr>
  </w:style>
  <w:style w:type="character" w:customStyle="1" w:styleId="114">
    <w:name w:val="标题 3 字符"/>
    <w:link w:val="6"/>
    <w:qFormat/>
    <w:uiPriority w:val="0"/>
    <w:rPr>
      <w:rFonts w:ascii="Arial" w:hAnsi="Arial" w:cs="Arial"/>
      <w:b/>
      <w:kern w:val="2"/>
      <w:sz w:val="28"/>
    </w:rPr>
  </w:style>
  <w:style w:type="character" w:customStyle="1" w:styleId="115">
    <w:name w:val="纯文本 字符"/>
    <w:link w:val="27"/>
    <w:qFormat/>
    <w:uiPriority w:val="0"/>
    <w:rPr>
      <w:rFonts w:ascii="宋体" w:hAnsi="Courier New" w:eastAsia="宋体" w:cs="Courier New"/>
      <w:kern w:val="2"/>
      <w:sz w:val="21"/>
      <w:szCs w:val="21"/>
      <w:lang w:val="en-US" w:eastAsia="zh-CN" w:bidi="ar-SA"/>
    </w:rPr>
  </w:style>
  <w:style w:type="character" w:customStyle="1" w:styleId="116">
    <w:name w:val="正文文本缩进 2 字符"/>
    <w:link w:val="30"/>
    <w:qFormat/>
    <w:uiPriority w:val="0"/>
    <w:rPr>
      <w:kern w:val="2"/>
      <w:sz w:val="21"/>
    </w:rPr>
  </w:style>
  <w:style w:type="character" w:customStyle="1" w:styleId="117">
    <w:name w:val="标题 2 字符"/>
    <w:link w:val="4"/>
    <w:qFormat/>
    <w:uiPriority w:val="0"/>
    <w:rPr>
      <w:rFonts w:ascii="Arial" w:hAnsi="Arial" w:eastAsia="黑体"/>
      <w:b/>
      <w:kern w:val="2"/>
      <w:sz w:val="24"/>
    </w:rPr>
  </w:style>
  <w:style w:type="character" w:customStyle="1" w:styleId="118">
    <w:name w:val="批注框文本 字符"/>
    <w:link w:val="31"/>
    <w:qFormat/>
    <w:uiPriority w:val="0"/>
    <w:rPr>
      <w:kern w:val="2"/>
      <w:sz w:val="18"/>
      <w:szCs w:val="18"/>
    </w:rPr>
  </w:style>
  <w:style w:type="character" w:customStyle="1" w:styleId="119">
    <w:name w:val="DeltaView Insertion"/>
    <w:qFormat/>
    <w:uiPriority w:val="0"/>
  </w:style>
  <w:style w:type="character" w:customStyle="1" w:styleId="120">
    <w:name w:val="样式 正文Alt+Z +"/>
    <w:qFormat/>
    <w:uiPriority w:val="0"/>
    <w:rPr>
      <w:sz w:val="21"/>
    </w:rPr>
  </w:style>
  <w:style w:type="character" w:customStyle="1" w:styleId="121">
    <w:name w:val="正文 + 首行缩进:  2 字符 Char"/>
    <w:link w:val="122"/>
    <w:qFormat/>
    <w:uiPriority w:val="0"/>
    <w:rPr>
      <w:rFonts w:hAnsi="宋体"/>
      <w:sz w:val="28"/>
      <w:szCs w:val="28"/>
    </w:rPr>
  </w:style>
  <w:style w:type="paragraph" w:customStyle="1" w:styleId="122">
    <w:name w:val="正文 + 首行缩进:  2 字符"/>
    <w:basedOn w:val="1"/>
    <w:link w:val="121"/>
    <w:qFormat/>
    <w:uiPriority w:val="0"/>
    <w:pPr>
      <w:spacing w:line="360" w:lineRule="auto"/>
      <w:ind w:right="31" w:firstLine="560" w:firstLineChars="200"/>
    </w:pPr>
    <w:rPr>
      <w:rFonts w:hAnsi="宋体"/>
      <w:kern w:val="0"/>
      <w:sz w:val="28"/>
      <w:szCs w:val="28"/>
    </w:rPr>
  </w:style>
  <w:style w:type="character" w:customStyle="1" w:styleId="123">
    <w:name w:val="正文文本缩进 3 字符"/>
    <w:link w:val="40"/>
    <w:qFormat/>
    <w:uiPriority w:val="0"/>
    <w:rPr>
      <w:rFonts w:ascii="宋体" w:hAnsi="宋体"/>
      <w:b/>
      <w:kern w:val="2"/>
      <w:sz w:val="21"/>
    </w:rPr>
  </w:style>
  <w:style w:type="character" w:customStyle="1" w:styleId="124">
    <w:name w:val="表格五号字 Char"/>
    <w:link w:val="125"/>
    <w:qFormat/>
    <w:uiPriority w:val="0"/>
    <w:rPr>
      <w:sz w:val="21"/>
    </w:rPr>
  </w:style>
  <w:style w:type="paragraph" w:customStyle="1" w:styleId="125">
    <w:name w:val="表格五号字"/>
    <w:basedOn w:val="1"/>
    <w:link w:val="124"/>
    <w:qFormat/>
    <w:uiPriority w:val="0"/>
    <w:pPr>
      <w:adjustRightInd w:val="0"/>
      <w:snapToGrid w:val="0"/>
      <w:spacing w:beforeLines="20" w:afterLines="20"/>
      <w:jc w:val="center"/>
    </w:pPr>
    <w:rPr>
      <w:kern w:val="0"/>
    </w:rPr>
  </w:style>
  <w:style w:type="character" w:customStyle="1" w:styleId="126">
    <w:name w:val="批注引用1"/>
    <w:qFormat/>
    <w:uiPriority w:val="0"/>
    <w:rPr>
      <w:sz w:val="21"/>
      <w:szCs w:val="21"/>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31">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32">
    <w:name w:val="表格1"/>
    <w:basedOn w:val="1"/>
    <w:qFormat/>
    <w:uiPriority w:val="0"/>
    <w:pPr>
      <w:jc w:val="center"/>
    </w:pPr>
    <w:rPr>
      <w:rFonts w:ascii="宋体"/>
      <w:color w:val="000000"/>
      <w:sz w:val="24"/>
    </w:rPr>
  </w:style>
  <w:style w:type="paragraph" w:customStyle="1" w:styleId="13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34">
    <w:name w:val="信息标题2"/>
    <w:basedOn w:val="15"/>
    <w:next w:val="15"/>
    <w:qFormat/>
    <w:uiPriority w:val="0"/>
    <w:rPr>
      <w:rFonts w:ascii="Arial Black" w:hAnsi="Arial Black"/>
      <w:sz w:val="3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3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39">
    <w:name w:val="Char Char Char"/>
    <w:basedOn w:val="1"/>
    <w:qFormat/>
    <w:uiPriority w:val="0"/>
    <w:rPr>
      <w:rFonts w:ascii="Tahoma" w:hAnsi="Tahoma"/>
      <w:sz w:val="24"/>
    </w:rPr>
  </w:style>
  <w:style w:type="paragraph" w:customStyle="1" w:styleId="140">
    <w:name w:val="表格标题(居中)"/>
    <w:basedOn w:val="1"/>
    <w:qFormat/>
    <w:uiPriority w:val="0"/>
    <w:pPr>
      <w:snapToGrid w:val="0"/>
      <w:spacing w:line="300" w:lineRule="auto"/>
      <w:ind w:firstLine="454"/>
      <w:jc w:val="center"/>
    </w:pPr>
    <w:rPr>
      <w:rFonts w:ascii="宋体" w:eastAsia="黑体"/>
      <w:sz w:val="24"/>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43">
    <w:name w:val="纯文本2"/>
    <w:basedOn w:val="1"/>
    <w:qFormat/>
    <w:uiPriority w:val="0"/>
    <w:rPr>
      <w:rFonts w:ascii="宋体" w:hAnsi="Courier New"/>
    </w:rPr>
  </w:style>
  <w:style w:type="paragraph" w:customStyle="1" w:styleId="14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45">
    <w:name w:val="表格文字"/>
    <w:basedOn w:val="1"/>
    <w:qFormat/>
    <w:uiPriority w:val="0"/>
    <w:pPr>
      <w:spacing w:beforeLines="25" w:afterLines="25"/>
    </w:pPr>
    <w:rPr>
      <w:spacing w:val="10"/>
      <w:szCs w:val="24"/>
    </w:rPr>
  </w:style>
  <w:style w:type="paragraph" w:customStyle="1" w:styleId="146">
    <w:name w:val="正文文本缩进 31"/>
    <w:basedOn w:val="1"/>
    <w:qFormat/>
    <w:uiPriority w:val="0"/>
    <w:pPr>
      <w:spacing w:line="360" w:lineRule="auto"/>
      <w:ind w:firstLine="425"/>
    </w:pPr>
    <w:rPr>
      <w:rFonts w:ascii="宋体"/>
    </w:rPr>
  </w:style>
  <w:style w:type="paragraph" w:customStyle="1" w:styleId="1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8">
    <w:name w:val="正文文本缩进 21"/>
    <w:basedOn w:val="1"/>
    <w:qFormat/>
    <w:uiPriority w:val="0"/>
    <w:pPr>
      <w:spacing w:after="120" w:line="480" w:lineRule="auto"/>
      <w:ind w:left="420" w:leftChars="200" w:firstLine="454"/>
    </w:pPr>
    <w:rPr>
      <w:rFonts w:ascii="宋体"/>
    </w:rPr>
  </w:style>
  <w:style w:type="paragraph" w:customStyle="1" w:styleId="149">
    <w:name w:val="列表 51"/>
    <w:basedOn w:val="1"/>
    <w:qFormat/>
    <w:uiPriority w:val="0"/>
    <w:pPr>
      <w:widowControl/>
      <w:spacing w:line="360" w:lineRule="auto"/>
      <w:ind w:left="100" w:leftChars="800" w:hanging="200" w:hangingChars="200"/>
      <w:jc w:val="left"/>
    </w:pPr>
    <w:rPr>
      <w:kern w:val="0"/>
      <w:sz w:val="28"/>
    </w:rPr>
  </w:style>
  <w:style w:type="paragraph" w:customStyle="1" w:styleId="150">
    <w:name w:val="p0"/>
    <w:basedOn w:val="1"/>
    <w:qFormat/>
    <w:uiPriority w:val="0"/>
    <w:pPr>
      <w:widowControl/>
    </w:pPr>
    <w:rPr>
      <w:kern w:val="0"/>
      <w:szCs w:val="21"/>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
    <w:name w:val="表例"/>
    <w:basedOn w:val="7"/>
    <w:qFormat/>
    <w:uiPriority w:val="0"/>
    <w:pPr>
      <w:keepLines/>
      <w:snapToGrid w:val="0"/>
      <w:spacing w:line="360" w:lineRule="auto"/>
      <w:ind w:firstLine="480" w:firstLineChars="200"/>
    </w:pPr>
    <w:rPr>
      <w:rFonts w:hAnsi="Times New Roman"/>
      <w:b/>
      <w:bCs/>
      <w:sz w:val="24"/>
    </w:rPr>
  </w:style>
  <w:style w:type="paragraph" w:customStyle="1" w:styleId="153">
    <w:name w:val="样式 标题 2H2标题 1.1 + 首行缩进:  1.13 厘米"/>
    <w:basedOn w:val="4"/>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54">
    <w:name w:val="--规划正文"/>
    <w:basedOn w:val="1"/>
    <w:qFormat/>
    <w:uiPriority w:val="0"/>
    <w:pPr>
      <w:spacing w:line="360" w:lineRule="auto"/>
      <w:ind w:firstLine="200" w:firstLineChars="200"/>
    </w:pPr>
  </w:style>
  <w:style w:type="paragraph" w:customStyle="1" w:styleId="155">
    <w:name w:val="列表 21"/>
    <w:basedOn w:val="1"/>
    <w:qFormat/>
    <w:uiPriority w:val="0"/>
    <w:pPr>
      <w:spacing w:line="360" w:lineRule="auto"/>
      <w:ind w:left="100" w:leftChars="200" w:hanging="200" w:hangingChars="200"/>
    </w:pPr>
    <w:rPr>
      <w:rFonts w:ascii="宋体"/>
    </w:rPr>
  </w:style>
  <w:style w:type="paragraph" w:customStyle="1" w:styleId="156">
    <w:name w:val="Char Char Char Char Char Char1 Char Char Char Char"/>
    <w:basedOn w:val="1"/>
    <w:qFormat/>
    <w:uiPriority w:val="0"/>
    <w:rPr>
      <w:rFonts w:ascii="Tahoma" w:hAnsi="Tahoma"/>
      <w:sz w:val="24"/>
    </w:rPr>
  </w:style>
  <w:style w:type="paragraph" w:customStyle="1" w:styleId="15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1"/>
    <w:basedOn w:val="22"/>
    <w:qFormat/>
    <w:uiPriority w:val="0"/>
    <w:pPr>
      <w:spacing w:after="120"/>
      <w:ind w:firstLine="420" w:firstLineChars="100"/>
    </w:pPr>
    <w:rPr>
      <w:rFonts w:ascii="Times New Roman" w:hAnsi="Times New Roman"/>
      <w:color w:val="auto"/>
      <w:szCs w:val="20"/>
    </w:rPr>
  </w:style>
  <w:style w:type="paragraph" w:customStyle="1" w:styleId="159">
    <w:name w:val="1 Char Char Char Char Char Char Char"/>
    <w:basedOn w:val="1"/>
    <w:qFormat/>
    <w:uiPriority w:val="0"/>
    <w:rPr>
      <w:sz w:val="30"/>
    </w:rPr>
  </w:style>
  <w:style w:type="paragraph" w:customStyle="1" w:styleId="160">
    <w:name w:val="样式4"/>
    <w:basedOn w:val="1"/>
    <w:qFormat/>
    <w:uiPriority w:val="0"/>
    <w:pPr>
      <w:tabs>
        <w:tab w:val="left" w:pos="1320"/>
      </w:tabs>
      <w:spacing w:line="360" w:lineRule="auto"/>
      <w:ind w:left="1320" w:hanging="420"/>
    </w:pPr>
    <w:rPr>
      <w:bCs/>
      <w:szCs w:val="24"/>
    </w:rPr>
  </w:style>
  <w:style w:type="paragraph" w:customStyle="1" w:styleId="16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2">
    <w:name w:val="6表"/>
    <w:basedOn w:val="1"/>
    <w:qFormat/>
    <w:uiPriority w:val="0"/>
    <w:pPr>
      <w:textAlignment w:val="baseline"/>
    </w:pPr>
    <w:rPr>
      <w:kern w:val="0"/>
      <w:sz w:val="24"/>
      <w:szCs w:val="24"/>
    </w:rPr>
  </w:style>
  <w:style w:type="paragraph" w:customStyle="1" w:styleId="163">
    <w:name w:val="Char Char Char Char"/>
    <w:basedOn w:val="1"/>
    <w:qFormat/>
    <w:uiPriority w:val="0"/>
    <w:rPr>
      <w:szCs w:val="24"/>
    </w:rPr>
  </w:style>
  <w:style w:type="paragraph" w:customStyle="1" w:styleId="16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65">
    <w:name w:val="列出段落2"/>
    <w:basedOn w:val="1"/>
    <w:qFormat/>
    <w:uiPriority w:val="0"/>
    <w:pPr>
      <w:spacing w:line="360" w:lineRule="auto"/>
      <w:ind w:firstLine="420" w:firstLineChars="200"/>
    </w:pPr>
    <w:rPr>
      <w:rFonts w:ascii="宋体"/>
    </w:rPr>
  </w:style>
  <w:style w:type="paragraph" w:customStyle="1" w:styleId="166">
    <w:name w:val="列表接续 51"/>
    <w:basedOn w:val="1"/>
    <w:qFormat/>
    <w:uiPriority w:val="0"/>
    <w:pPr>
      <w:widowControl/>
      <w:spacing w:after="120" w:line="360" w:lineRule="auto"/>
      <w:ind w:left="2100" w:leftChars="1000"/>
      <w:jc w:val="left"/>
    </w:pPr>
    <w:rPr>
      <w:kern w:val="0"/>
      <w:sz w:val="28"/>
    </w:rPr>
  </w:style>
  <w:style w:type="paragraph" w:customStyle="1" w:styleId="1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TT1"/>
    <w:basedOn w:val="1"/>
    <w:qFormat/>
    <w:uiPriority w:val="0"/>
    <w:rPr>
      <w:rFonts w:ascii="宋体"/>
      <w:b/>
      <w:sz w:val="28"/>
    </w:rPr>
  </w:style>
  <w:style w:type="paragraph" w:customStyle="1" w:styleId="171">
    <w:name w:val="引文目录标题1"/>
    <w:basedOn w:val="1"/>
    <w:next w:val="1"/>
    <w:qFormat/>
    <w:uiPriority w:val="0"/>
    <w:pPr>
      <w:spacing w:before="120" w:after="60" w:line="360" w:lineRule="auto"/>
    </w:pPr>
    <w:rPr>
      <w:rFonts w:ascii="Arial" w:hAnsi="Arial"/>
    </w:rPr>
  </w:style>
  <w:style w:type="paragraph" w:customStyle="1" w:styleId="172">
    <w:name w:val="题目副题"/>
    <w:basedOn w:val="37"/>
    <w:qFormat/>
    <w:uiPriority w:val="0"/>
    <w:pPr>
      <w:spacing w:before="0" w:after="312"/>
      <w:ind w:left="240" w:firstLine="600"/>
      <w:jc w:val="left"/>
      <w:outlineLvl w:val="9"/>
    </w:pPr>
    <w:rPr>
      <w:rFonts w:ascii="宋体" w:hAnsi="宋体" w:cs="Times New Roman"/>
      <w:bCs w:val="0"/>
      <w:sz w:val="30"/>
      <w:szCs w:val="20"/>
    </w:rPr>
  </w:style>
  <w:style w:type="paragraph" w:customStyle="1" w:styleId="173">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74">
    <w:name w:val="批注主题1"/>
    <w:basedOn w:val="19"/>
    <w:next w:val="19"/>
    <w:qFormat/>
    <w:uiPriority w:val="0"/>
    <w:pPr>
      <w:spacing w:line="360" w:lineRule="auto"/>
      <w:ind w:firstLine="454"/>
    </w:pPr>
    <w:rPr>
      <w:rFonts w:ascii="宋体"/>
      <w:b/>
      <w:bCs/>
      <w:sz w:val="24"/>
    </w:rPr>
  </w:style>
  <w:style w:type="paragraph" w:customStyle="1" w:styleId="175">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1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8">
    <w:name w:val="表正文"/>
    <w:basedOn w:val="1"/>
    <w:next w:val="21"/>
    <w:qFormat/>
    <w:uiPriority w:val="0"/>
    <w:rPr>
      <w:sz w:val="18"/>
      <w:szCs w:val="24"/>
    </w:rPr>
  </w:style>
  <w:style w:type="paragraph" w:customStyle="1" w:styleId="179">
    <w:name w:val="样式 标题 2 +"/>
    <w:basedOn w:val="4"/>
    <w:qFormat/>
    <w:uiPriority w:val="0"/>
    <w:pPr>
      <w:keepLines w:val="0"/>
      <w:widowControl/>
      <w:tabs>
        <w:tab w:val="left" w:pos="567"/>
      </w:tabs>
      <w:spacing w:before="240" w:after="60" w:line="240" w:lineRule="auto"/>
      <w:jc w:val="left"/>
    </w:pPr>
    <w:rPr>
      <w:rFonts w:ascii="Cambria" w:hAnsi="Cambria" w:eastAsia="宋体"/>
      <w:i/>
      <w:iCs/>
      <w:kern w:val="0"/>
      <w:sz w:val="32"/>
      <w:szCs w:val="32"/>
    </w:rPr>
  </w:style>
  <w:style w:type="paragraph" w:customStyle="1" w:styleId="18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1">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82">
    <w:name w:val="二级条标题"/>
    <w:basedOn w:val="180"/>
    <w:next w:val="1"/>
    <w:qFormat/>
    <w:uiPriority w:val="0"/>
  </w:style>
  <w:style w:type="paragraph" w:customStyle="1" w:styleId="183">
    <w:name w:val="图名"/>
    <w:basedOn w:val="1"/>
    <w:next w:val="1"/>
    <w:qFormat/>
    <w:uiPriority w:val="0"/>
    <w:pPr>
      <w:spacing w:line="360" w:lineRule="auto"/>
      <w:jc w:val="center"/>
    </w:pPr>
    <w:rPr>
      <w:rFonts w:ascii="宋体"/>
      <w:b/>
      <w:sz w:val="28"/>
    </w:rPr>
  </w:style>
  <w:style w:type="paragraph" w:customStyle="1" w:styleId="18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5">
    <w:name w:val="五级条标题"/>
    <w:basedOn w:val="186"/>
    <w:next w:val="1"/>
    <w:qFormat/>
    <w:uiPriority w:val="0"/>
    <w:pPr>
      <w:outlineLvl w:val="6"/>
    </w:pPr>
  </w:style>
  <w:style w:type="paragraph" w:customStyle="1" w:styleId="186">
    <w:name w:val="四级条标题"/>
    <w:basedOn w:val="187"/>
    <w:next w:val="1"/>
    <w:qFormat/>
    <w:uiPriority w:val="0"/>
    <w:pPr>
      <w:outlineLvl w:val="5"/>
    </w:pPr>
  </w:style>
  <w:style w:type="paragraph" w:customStyle="1" w:styleId="187">
    <w:name w:val="三级条标题"/>
    <w:basedOn w:val="182"/>
    <w:next w:val="1"/>
    <w:qFormat/>
    <w:uiPriority w:val="0"/>
    <w:pPr>
      <w:outlineLvl w:val="4"/>
    </w:pPr>
  </w:style>
  <w:style w:type="paragraph" w:customStyle="1" w:styleId="188">
    <w:name w:val="statenumter"/>
    <w:basedOn w:val="1"/>
    <w:qFormat/>
    <w:uiPriority w:val="0"/>
    <w:pPr>
      <w:adjustRightInd w:val="0"/>
      <w:spacing w:line="360" w:lineRule="auto"/>
    </w:pPr>
    <w:rPr>
      <w:rFonts w:hint="eastAsia" w:ascii="宋体"/>
      <w:kern w:val="0"/>
    </w:rPr>
  </w:style>
  <w:style w:type="paragraph" w:customStyle="1" w:styleId="189">
    <w:name w:val="正文文本 21"/>
    <w:basedOn w:val="1"/>
    <w:qFormat/>
    <w:uiPriority w:val="0"/>
    <w:pPr>
      <w:spacing w:line="360" w:lineRule="auto"/>
    </w:pPr>
    <w:rPr>
      <w:rFonts w:ascii="宋体"/>
      <w:color w:val="333399"/>
    </w:rPr>
  </w:style>
  <w:style w:type="paragraph" w:customStyle="1" w:styleId="190">
    <w:name w:val="样式 标题 2 + 宋体"/>
    <w:basedOn w:val="4"/>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19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2">
    <w:name w:val="样式 宋体 小四"/>
    <w:basedOn w:val="1"/>
    <w:qFormat/>
    <w:uiPriority w:val="0"/>
    <w:pPr>
      <w:spacing w:line="360" w:lineRule="auto"/>
      <w:ind w:firstLine="480" w:firstLineChars="200"/>
    </w:pPr>
    <w:rPr>
      <w:rFonts w:ascii="宋体" w:hAnsi="宋体" w:cs="宋体"/>
      <w:sz w:val="24"/>
    </w:rPr>
  </w:style>
  <w:style w:type="paragraph" w:customStyle="1" w:styleId="193">
    <w:name w:val="Char Char1 Char"/>
    <w:basedOn w:val="194"/>
    <w:qFormat/>
    <w:uiPriority w:val="0"/>
    <w:pPr>
      <w:spacing w:line="240" w:lineRule="auto"/>
      <w:ind w:firstLine="0"/>
    </w:pPr>
  </w:style>
  <w:style w:type="paragraph" w:customStyle="1" w:styleId="194">
    <w:name w:val="文档结构图1"/>
    <w:basedOn w:val="1"/>
    <w:qFormat/>
    <w:uiPriority w:val="0"/>
    <w:pPr>
      <w:shd w:val="clear" w:color="auto" w:fill="000080"/>
      <w:spacing w:line="360" w:lineRule="auto"/>
      <w:ind w:firstLine="454"/>
    </w:pPr>
    <w:rPr>
      <w:rFonts w:ascii="宋体"/>
    </w:rPr>
  </w:style>
  <w:style w:type="paragraph" w:customStyle="1" w:styleId="19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6">
    <w:name w:val="箭头列表1（Alt+Q）"/>
    <w:basedOn w:val="1"/>
    <w:qFormat/>
    <w:uiPriority w:val="0"/>
    <w:pPr>
      <w:tabs>
        <w:tab w:val="left" w:pos="1110"/>
      </w:tabs>
      <w:spacing w:line="360" w:lineRule="auto"/>
      <w:ind w:left="1110" w:hanging="600"/>
    </w:pPr>
    <w:rPr>
      <w:rFonts w:ascii="宋体"/>
    </w:rPr>
  </w:style>
  <w:style w:type="paragraph" w:customStyle="1" w:styleId="197">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98">
    <w:name w:val="签名 - 公司"/>
    <w:basedOn w:val="34"/>
    <w:next w:val="19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9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00">
    <w:name w:val="样式 标准正文 + 加粗"/>
    <w:basedOn w:val="66"/>
    <w:qFormat/>
    <w:uiPriority w:val="0"/>
    <w:rPr>
      <w:b/>
      <w:bCs/>
    </w:rPr>
  </w:style>
  <w:style w:type="paragraph" w:customStyle="1" w:styleId="201">
    <w:name w:val="1111 Char Char Char Char"/>
    <w:basedOn w:val="1"/>
    <w:qFormat/>
    <w:uiPriority w:val="0"/>
    <w:pPr>
      <w:spacing w:line="360" w:lineRule="auto"/>
      <w:ind w:firstLine="560" w:firstLineChars="200"/>
    </w:pPr>
    <w:rPr>
      <w:rFonts w:ascii="宋体"/>
      <w:sz w:val="28"/>
      <w:szCs w:val="28"/>
    </w:rPr>
  </w:style>
  <w:style w:type="paragraph" w:customStyle="1" w:styleId="202">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3">
    <w:name w:val="Char1 Char Char Char"/>
    <w:basedOn w:val="1"/>
    <w:qFormat/>
    <w:uiPriority w:val="0"/>
    <w:pPr>
      <w:ind w:firstLine="357" w:firstLineChars="170"/>
    </w:pPr>
    <w:rPr>
      <w:rFonts w:ascii="Tahoma" w:hAnsi="Tahoma"/>
    </w:rPr>
  </w:style>
  <w:style w:type="paragraph" w:customStyle="1" w:styleId="204">
    <w:name w:val="正文顶格缩进"/>
    <w:basedOn w:val="1"/>
    <w:qFormat/>
    <w:uiPriority w:val="0"/>
    <w:pPr>
      <w:spacing w:line="360" w:lineRule="auto"/>
      <w:ind w:left="510"/>
    </w:pPr>
    <w:rPr>
      <w:rFonts w:ascii="宋体"/>
    </w:rPr>
  </w:style>
  <w:style w:type="paragraph" w:customStyle="1" w:styleId="205">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6">
    <w:name w:val="圆点列表2"/>
    <w:basedOn w:val="207"/>
    <w:qFormat/>
    <w:uiPriority w:val="0"/>
    <w:pPr>
      <w:tabs>
        <w:tab w:val="left" w:pos="360"/>
      </w:tabs>
      <w:ind w:left="867" w:hanging="357"/>
    </w:pPr>
  </w:style>
  <w:style w:type="paragraph" w:customStyle="1" w:styleId="207">
    <w:name w:val="圆点列表1（Alt+A）"/>
    <w:basedOn w:val="1"/>
    <w:qFormat/>
    <w:uiPriority w:val="0"/>
    <w:pPr>
      <w:tabs>
        <w:tab w:val="left" w:pos="360"/>
      </w:tabs>
      <w:spacing w:line="360" w:lineRule="auto"/>
      <w:ind w:firstLine="454"/>
    </w:pPr>
    <w:rPr>
      <w:rFonts w:ascii="宋体"/>
    </w:rPr>
  </w:style>
  <w:style w:type="paragraph" w:customStyle="1" w:styleId="208">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0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10">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11">
    <w:name w:val="_Style 20"/>
    <w:basedOn w:val="1"/>
    <w:next w:val="22"/>
    <w:qFormat/>
    <w:uiPriority w:val="0"/>
    <w:pPr>
      <w:tabs>
        <w:tab w:val="left" w:pos="5250"/>
      </w:tabs>
    </w:pPr>
    <w:rPr>
      <w:sz w:val="28"/>
    </w:rPr>
  </w:style>
  <w:style w:type="paragraph" w:customStyle="1" w:styleId="212">
    <w:name w:val="小标题"/>
    <w:basedOn w:val="1"/>
    <w:next w:val="5"/>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3">
    <w:name w:val="Char Char Char1 Char"/>
    <w:basedOn w:val="1"/>
    <w:qFormat/>
    <w:uiPriority w:val="0"/>
    <w:rPr>
      <w:rFonts w:ascii="Tahoma" w:hAnsi="Tahoma" w:cs="仿宋_GB2312"/>
      <w:sz w:val="24"/>
    </w:rPr>
  </w:style>
  <w:style w:type="paragraph" w:customStyle="1" w:styleId="214">
    <w:name w:val="Table"/>
    <w:qFormat/>
    <w:uiPriority w:val="0"/>
    <w:rPr>
      <w:rFonts w:ascii="Times New Roman" w:hAnsi="Times New Roman" w:eastAsia="宋体" w:cs="Times New Roman"/>
      <w:sz w:val="21"/>
      <w:lang w:val="en-US" w:eastAsia="en-US" w:bidi="ar-SA"/>
    </w:rPr>
  </w:style>
  <w:style w:type="paragraph" w:customStyle="1" w:styleId="2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18">
    <w:name w:val="正文缩进2"/>
    <w:basedOn w:val="1"/>
    <w:qFormat/>
    <w:uiPriority w:val="0"/>
    <w:pPr>
      <w:spacing w:line="360" w:lineRule="auto"/>
      <w:ind w:left="510" w:firstLine="454"/>
    </w:pPr>
    <w:rPr>
      <w:rFonts w:ascii="宋体"/>
    </w:rPr>
  </w:style>
  <w:style w:type="paragraph" w:customStyle="1" w:styleId="219">
    <w:name w:val="表格栏头"/>
    <w:basedOn w:val="131"/>
    <w:next w:val="131"/>
    <w:qFormat/>
    <w:uiPriority w:val="0"/>
    <w:rPr>
      <w:b/>
    </w:rPr>
  </w:style>
  <w:style w:type="paragraph" w:customStyle="1" w:styleId="22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21">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2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2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24">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25">
    <w:name w:val="Char Char Char1"/>
    <w:basedOn w:val="17"/>
    <w:qFormat/>
    <w:uiPriority w:val="0"/>
    <w:pPr>
      <w:spacing w:line="360" w:lineRule="auto"/>
      <w:ind w:firstLine="454"/>
    </w:pPr>
    <w:rPr>
      <w:rFonts w:ascii="宋体"/>
    </w:rPr>
  </w:style>
  <w:style w:type="paragraph" w:customStyle="1" w:styleId="226">
    <w:name w:val="*正文"/>
    <w:basedOn w:val="1"/>
    <w:qFormat/>
    <w:uiPriority w:val="0"/>
    <w:pPr>
      <w:widowControl/>
      <w:ind w:firstLine="200" w:firstLineChars="200"/>
    </w:pPr>
    <w:rPr>
      <w:rFonts w:ascii="仿宋_GB2312" w:eastAsia="仿宋_GB2312"/>
      <w:sz w:val="24"/>
      <w:szCs w:val="28"/>
    </w:rPr>
  </w:style>
  <w:style w:type="paragraph" w:customStyle="1" w:styleId="227">
    <w:name w:val="正文文本 31"/>
    <w:basedOn w:val="1"/>
    <w:qFormat/>
    <w:uiPriority w:val="0"/>
    <w:pPr>
      <w:spacing w:line="360" w:lineRule="auto"/>
      <w:jc w:val="center"/>
    </w:pPr>
    <w:rPr>
      <w:rFonts w:ascii="黑体" w:eastAsia="黑体"/>
      <w:color w:val="FF0000"/>
    </w:rPr>
  </w:style>
  <w:style w:type="paragraph" w:customStyle="1" w:styleId="228">
    <w:name w:val="标题 2标题"/>
    <w:basedOn w:val="2"/>
    <w:next w:val="2"/>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29">
    <w:name w:val="标号"/>
    <w:basedOn w:val="1"/>
    <w:qFormat/>
    <w:uiPriority w:val="0"/>
    <w:pPr>
      <w:tabs>
        <w:tab w:val="left" w:pos="644"/>
      </w:tabs>
      <w:spacing w:line="360" w:lineRule="auto"/>
      <w:ind w:left="420" w:hanging="136"/>
    </w:p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1">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3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Char1"/>
    <w:basedOn w:val="17"/>
    <w:qFormat/>
    <w:uiPriority w:val="0"/>
    <w:rPr>
      <w:rFonts w:ascii="Tahoma" w:hAnsi="Tahoma"/>
      <w:sz w:val="24"/>
      <w:szCs w:val="24"/>
    </w:rPr>
  </w:style>
  <w:style w:type="paragraph" w:customStyle="1" w:styleId="234">
    <w:name w:val="大圆点标题"/>
    <w:basedOn w:val="16"/>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8">
    <w:name w:val="日期1"/>
    <w:basedOn w:val="1"/>
    <w:next w:val="1"/>
    <w:qFormat/>
    <w:uiPriority w:val="0"/>
    <w:pPr>
      <w:spacing w:line="360" w:lineRule="auto"/>
      <w:ind w:left="100" w:leftChars="2500" w:firstLine="454"/>
    </w:pPr>
    <w:rPr>
      <w:rFonts w:ascii="宋体"/>
      <w:color w:val="0000FF"/>
      <w:sz w:val="30"/>
    </w:rPr>
  </w:style>
  <w:style w:type="paragraph" w:customStyle="1" w:styleId="239">
    <w:name w:val="正文小四"/>
    <w:basedOn w:val="5"/>
    <w:qFormat/>
    <w:uiPriority w:val="0"/>
    <w:pPr>
      <w:spacing w:line="360" w:lineRule="auto"/>
      <w:ind w:firstLine="480" w:firstLineChars="200"/>
    </w:pPr>
    <w:rPr>
      <w:sz w:val="24"/>
      <w:szCs w:val="24"/>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表格4"/>
    <w:basedOn w:val="132"/>
    <w:qFormat/>
    <w:uiPriority w:val="0"/>
    <w:pPr>
      <w:adjustRightInd w:val="0"/>
      <w:snapToGrid w:val="0"/>
      <w:jc w:val="both"/>
    </w:pPr>
    <w:rPr>
      <w:rFonts w:ascii="Times New Roman"/>
      <w:color w:val="auto"/>
      <w:spacing w:val="-10"/>
      <w:sz w:val="20"/>
    </w:rPr>
  </w:style>
  <w:style w:type="paragraph" w:customStyle="1" w:styleId="242">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43">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44">
    <w:name w:val="样式5"/>
    <w:basedOn w:val="6"/>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47">
    <w:name w:val="font7"/>
    <w:basedOn w:val="1"/>
    <w:qFormat/>
    <w:uiPriority w:val="0"/>
    <w:pPr>
      <w:widowControl/>
      <w:spacing w:before="100" w:beforeAutospacing="1" w:after="100" w:afterAutospacing="1"/>
      <w:jc w:val="left"/>
    </w:pPr>
    <w:rPr>
      <w:kern w:val="0"/>
      <w:sz w:val="22"/>
      <w:szCs w:val="22"/>
    </w:rPr>
  </w:style>
  <w:style w:type="paragraph" w:styleId="248">
    <w:name w:val="List Paragraph"/>
    <w:basedOn w:val="1"/>
    <w:qFormat/>
    <w:uiPriority w:val="34"/>
    <w:pPr>
      <w:snapToGrid w:val="0"/>
      <w:spacing w:line="360" w:lineRule="auto"/>
      <w:ind w:firstLine="420" w:firstLineChars="200"/>
    </w:pPr>
    <w:rPr>
      <w:sz w:val="24"/>
    </w:rPr>
  </w:style>
  <w:style w:type="paragraph" w:customStyle="1" w:styleId="249">
    <w:name w:val="版权"/>
    <w:basedOn w:val="1"/>
    <w:qFormat/>
    <w:uiPriority w:val="0"/>
    <w:pPr>
      <w:spacing w:before="312" w:after="312"/>
      <w:ind w:firstLine="480"/>
      <w:jc w:val="center"/>
      <w:outlineLvl w:val="0"/>
    </w:pPr>
    <w:rPr>
      <w:rFonts w:ascii="华文中宋" w:hAnsi="华文中宋"/>
      <w:b/>
      <w:sz w:val="24"/>
    </w:rPr>
  </w:style>
  <w:style w:type="paragraph" w:customStyle="1" w:styleId="250">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2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5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5">
    <w:name w:val="PTSS Normal Char Char1 Char Char"/>
    <w:basedOn w:val="1"/>
    <w:qFormat/>
    <w:uiPriority w:val="0"/>
    <w:pPr>
      <w:widowControl/>
      <w:spacing w:before="240" w:after="120" w:line="288" w:lineRule="auto"/>
      <w:ind w:firstLine="420"/>
      <w:jc w:val="left"/>
    </w:pPr>
    <w:rPr>
      <w:szCs w:val="24"/>
    </w:rPr>
  </w:style>
  <w:style w:type="paragraph" w:customStyle="1" w:styleId="256">
    <w:name w:val="汇总"/>
    <w:basedOn w:val="1"/>
    <w:next w:val="3"/>
    <w:qFormat/>
    <w:uiPriority w:val="0"/>
    <w:pPr>
      <w:adjustRightInd w:val="0"/>
      <w:spacing w:line="360" w:lineRule="atLeast"/>
      <w:jc w:val="left"/>
      <w:textAlignment w:val="baseline"/>
    </w:pPr>
    <w:rPr>
      <w:kern w:val="0"/>
      <w:sz w:val="24"/>
    </w:rPr>
  </w:style>
  <w:style w:type="paragraph" w:customStyle="1" w:styleId="257">
    <w:name w:val="样式 样式 行距: 1.5 倍行距3 + 首行缩进: 2字符"/>
    <w:basedOn w:val="1"/>
    <w:next w:val="148"/>
    <w:qFormat/>
    <w:uiPriority w:val="0"/>
    <w:pPr>
      <w:spacing w:after="120" w:line="360" w:lineRule="auto"/>
      <w:ind w:firstLine="240" w:firstLineChars="100"/>
    </w:pPr>
  </w:style>
  <w:style w:type="paragraph" w:customStyle="1" w:styleId="258">
    <w:name w:val="Char Char Char Char Char Char Char"/>
    <w:basedOn w:val="194"/>
    <w:qFormat/>
    <w:uiPriority w:val="0"/>
    <w:pPr>
      <w:spacing w:line="240" w:lineRule="auto"/>
      <w:ind w:firstLine="0"/>
    </w:pPr>
    <w:rPr>
      <w:rFonts w:ascii="Tahoma" w:hAnsi="Tahoma"/>
      <w:sz w:val="24"/>
      <w:szCs w:val="24"/>
    </w:rPr>
  </w:style>
  <w:style w:type="paragraph" w:customStyle="1" w:styleId="259">
    <w:name w:val="样式 标题 3H3列表编号33 bulletbbulletbullets2nd order hd2nd orde..."/>
    <w:basedOn w:val="6"/>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60">
    <w:name w:val="Char Char1 Char Char Char Char"/>
    <w:basedOn w:val="1"/>
    <w:qFormat/>
    <w:uiPriority w:val="0"/>
    <w:rPr>
      <w:rFonts w:ascii="Tahoma" w:hAnsi="Tahoma"/>
      <w:sz w:val="24"/>
      <w:szCs w:val="24"/>
    </w:rPr>
  </w:style>
  <w:style w:type="paragraph" w:customStyle="1" w:styleId="261">
    <w:name w:val="正文标题"/>
    <w:basedOn w:val="1"/>
    <w:qFormat/>
    <w:uiPriority w:val="0"/>
    <w:pPr>
      <w:spacing w:before="120" w:line="360" w:lineRule="auto"/>
      <w:ind w:firstLine="482" w:firstLineChars="200"/>
    </w:pPr>
    <w:rPr>
      <w:rFonts w:cs="宋体"/>
      <w:b/>
      <w:bCs/>
      <w:sz w:val="24"/>
    </w:rPr>
  </w:style>
  <w:style w:type="paragraph" w:customStyle="1" w:styleId="262">
    <w:name w:val="Char12"/>
    <w:basedOn w:val="1"/>
    <w:qFormat/>
    <w:uiPriority w:val="0"/>
    <w:rPr>
      <w:sz w:val="24"/>
      <w:szCs w:val="24"/>
    </w:rPr>
  </w:style>
  <w:style w:type="paragraph" w:customStyle="1" w:styleId="263">
    <w:name w:val="样式 小四 首行缩进:  2 字符"/>
    <w:basedOn w:val="1"/>
    <w:qFormat/>
    <w:uiPriority w:val="0"/>
    <w:pPr>
      <w:spacing w:line="360" w:lineRule="auto"/>
      <w:ind w:left="480"/>
    </w:pPr>
  </w:style>
  <w:style w:type="paragraph" w:customStyle="1" w:styleId="26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5">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6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67">
    <w:name w:val="文本块1"/>
    <w:basedOn w:val="1"/>
    <w:qFormat/>
    <w:uiPriority w:val="0"/>
    <w:pPr>
      <w:spacing w:after="120" w:line="360" w:lineRule="auto"/>
      <w:ind w:left="1440" w:right="1440" w:firstLine="454"/>
    </w:pPr>
    <w:rPr>
      <w:rFonts w:ascii="宋体"/>
    </w:rPr>
  </w:style>
  <w:style w:type="paragraph" w:customStyle="1" w:styleId="268">
    <w:name w:val="样式 标题 2H2h2l22nd level2Header 2UNDERRUBRIK 1-2 + Arial 段..."/>
    <w:basedOn w:val="4"/>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69">
    <w:name w:val="移动五期"/>
    <w:basedOn w:val="1"/>
    <w:qFormat/>
    <w:uiPriority w:val="0"/>
    <w:pPr>
      <w:spacing w:line="360" w:lineRule="auto"/>
      <w:ind w:firstLine="454"/>
    </w:pPr>
    <w:rPr>
      <w:rFonts w:ascii="宋体"/>
      <w:sz w:val="24"/>
    </w:rPr>
  </w:style>
  <w:style w:type="paragraph" w:customStyle="1" w:styleId="27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qptext"/>
    <w:basedOn w:val="1"/>
    <w:qFormat/>
    <w:uiPriority w:val="0"/>
    <w:pPr>
      <w:adjustRightInd w:val="0"/>
      <w:snapToGrid w:val="0"/>
      <w:spacing w:before="60" w:after="60" w:line="360" w:lineRule="auto"/>
      <w:jc w:val="left"/>
    </w:pPr>
    <w:rPr>
      <w:rFonts w:ascii="宋体"/>
      <w:sz w:val="24"/>
    </w:rPr>
  </w:style>
  <w:style w:type="paragraph" w:customStyle="1" w:styleId="27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73">
    <w:name w:val="样式 宋体 小四 段后: 7.8 磅 行距: 固定值 25 磅1"/>
    <w:basedOn w:val="4"/>
    <w:next w:val="4"/>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6">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7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79">
    <w:name w:val="圆点列表3（Alt+D）"/>
    <w:basedOn w:val="206"/>
    <w:qFormat/>
    <w:uiPriority w:val="0"/>
    <w:pPr>
      <w:tabs>
        <w:tab w:val="clear" w:pos="360"/>
      </w:tabs>
      <w:ind w:left="1378"/>
    </w:pPr>
  </w:style>
  <w:style w:type="paragraph" w:customStyle="1" w:styleId="28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81">
    <w:name w:val="箭头列表3（Alt+E）"/>
    <w:basedOn w:val="282"/>
    <w:qFormat/>
    <w:uiPriority w:val="0"/>
    <w:pPr>
      <w:tabs>
        <w:tab w:val="left" w:pos="425"/>
      </w:tabs>
      <w:ind w:left="1446"/>
    </w:pPr>
  </w:style>
  <w:style w:type="paragraph" w:customStyle="1" w:styleId="282">
    <w:name w:val="箭头列表2（Alt+W）"/>
    <w:basedOn w:val="196"/>
    <w:qFormat/>
    <w:uiPriority w:val="0"/>
    <w:pPr>
      <w:tabs>
        <w:tab w:val="left" w:pos="425"/>
        <w:tab w:val="clear" w:pos="1110"/>
      </w:tabs>
      <w:ind w:left="425" w:hanging="425"/>
    </w:pPr>
  </w:style>
  <w:style w:type="paragraph" w:customStyle="1" w:styleId="283">
    <w:name w:val="正文首行缩进2字"/>
    <w:basedOn w:val="1"/>
    <w:next w:val="1"/>
    <w:qFormat/>
    <w:uiPriority w:val="0"/>
    <w:pPr>
      <w:spacing w:line="360" w:lineRule="auto"/>
      <w:ind w:firstLine="600" w:firstLineChars="200"/>
    </w:pPr>
    <w:rPr>
      <w:rFonts w:cs="Arial"/>
      <w:szCs w:val="30"/>
    </w:rPr>
  </w:style>
  <w:style w:type="paragraph" w:customStyle="1" w:styleId="2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Style First line:  0.35&quot;"/>
    <w:basedOn w:val="1"/>
    <w:qFormat/>
    <w:uiPriority w:val="0"/>
    <w:pPr>
      <w:spacing w:before="60" w:after="60" w:line="360" w:lineRule="auto"/>
      <w:ind w:firstLine="504"/>
    </w:pPr>
    <w:rPr>
      <w:rFonts w:ascii="Arial" w:hAnsi="Arial" w:cs="宋体"/>
      <w:sz w:val="24"/>
    </w:rPr>
  </w:style>
  <w:style w:type="paragraph" w:customStyle="1" w:styleId="287">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8">
    <w:name w:val="表格1粗"/>
    <w:basedOn w:val="132"/>
    <w:qFormat/>
    <w:uiPriority w:val="0"/>
    <w:pPr>
      <w:tabs>
        <w:tab w:val="left" w:pos="2134"/>
      </w:tabs>
      <w:adjustRightInd w:val="0"/>
      <w:snapToGrid w:val="0"/>
    </w:pPr>
    <w:rPr>
      <w:rFonts w:ascii="Times New Roman" w:cs="宋体"/>
      <w:b/>
      <w:color w:val="auto"/>
      <w:szCs w:val="24"/>
    </w:rPr>
  </w:style>
  <w:style w:type="paragraph" w:customStyle="1" w:styleId="28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90">
    <w:name w:val="Char Char7 Char"/>
    <w:basedOn w:val="1"/>
    <w:qFormat/>
    <w:uiPriority w:val="0"/>
    <w:pPr>
      <w:spacing w:line="360" w:lineRule="auto"/>
    </w:pPr>
    <w:rPr>
      <w:rFonts w:ascii="宋体" w:hAnsi="宋体"/>
      <w:sz w:val="22"/>
      <w:szCs w:val="24"/>
    </w:rPr>
  </w:style>
  <w:style w:type="paragraph" w:customStyle="1" w:styleId="291">
    <w:name w:val="样式 标题 1 + 段前: 10 磅 段后: 10 磅 行距: 1.5 倍行距"/>
    <w:basedOn w:val="3"/>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92">
    <w:name w:val=".."/>
    <w:basedOn w:val="275"/>
    <w:next w:val="275"/>
    <w:qFormat/>
    <w:uiPriority w:val="0"/>
    <w:rPr>
      <w:rFonts w:ascii="黑体" w:eastAsia="黑体" w:cs="Times New Roman"/>
      <w:color w:val="auto"/>
    </w:rPr>
  </w:style>
  <w:style w:type="paragraph" w:customStyle="1" w:styleId="293">
    <w:name w:val="样式 标题 3 + 段前: 31.2 磅 段后: 15.6 磅"/>
    <w:basedOn w:val="6"/>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9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95">
    <w:name w:val="样式 正文缩进 + 首行缩进:  2 字符 段前: 0.5 行 段后: 0.5 行"/>
    <w:basedOn w:val="5"/>
    <w:qFormat/>
    <w:uiPriority w:val="0"/>
    <w:pPr>
      <w:spacing w:beforeLines="50" w:afterLines="50" w:line="360" w:lineRule="auto"/>
      <w:ind w:firstLine="480" w:firstLineChars="200"/>
    </w:pPr>
    <w:rPr>
      <w:rFonts w:cs="宋体"/>
      <w:sz w:val="24"/>
    </w:rPr>
  </w:style>
  <w:style w:type="paragraph" w:customStyle="1" w:styleId="2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98">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character" w:customStyle="1" w:styleId="299">
    <w:name w:val="font31"/>
    <w:basedOn w:val="52"/>
    <w:qFormat/>
    <w:uiPriority w:val="0"/>
    <w:rPr>
      <w:rFonts w:hint="eastAsia" w:ascii="仿宋" w:hAnsi="仿宋" w:eastAsia="仿宋" w:cs="仿宋"/>
      <w:b/>
      <w:color w:val="FF0000"/>
      <w:sz w:val="24"/>
      <w:szCs w:val="24"/>
      <w:u w:val="none"/>
    </w:rPr>
  </w:style>
  <w:style w:type="character" w:customStyle="1" w:styleId="300">
    <w:name w:val="font91"/>
    <w:basedOn w:val="52"/>
    <w:qFormat/>
    <w:uiPriority w:val="0"/>
    <w:rPr>
      <w:rFonts w:hint="eastAsia" w:ascii="仿宋" w:hAnsi="仿宋" w:eastAsia="仿宋" w:cs="仿宋"/>
      <w:color w:val="000000"/>
      <w:sz w:val="24"/>
      <w:szCs w:val="24"/>
      <w:u w:val="none"/>
    </w:rPr>
  </w:style>
  <w:style w:type="character" w:customStyle="1" w:styleId="301">
    <w:name w:val="font41"/>
    <w:basedOn w:val="52"/>
    <w:qFormat/>
    <w:uiPriority w:val="0"/>
    <w:rPr>
      <w:rFonts w:hint="eastAsia" w:ascii="仿宋" w:hAnsi="仿宋" w:eastAsia="仿宋" w:cs="仿宋"/>
      <w:b/>
      <w:color w:val="FF0000"/>
      <w:sz w:val="24"/>
      <w:szCs w:val="24"/>
      <w:u w:val="single"/>
    </w:rPr>
  </w:style>
  <w:style w:type="character" w:customStyle="1" w:styleId="302">
    <w:name w:val="font101"/>
    <w:basedOn w:val="52"/>
    <w:qFormat/>
    <w:uiPriority w:val="0"/>
    <w:rPr>
      <w:rFonts w:hint="eastAsia" w:ascii="仿宋" w:hAnsi="仿宋" w:eastAsia="仿宋" w:cs="仿宋"/>
      <w:color w:val="000000"/>
      <w:sz w:val="24"/>
      <w:szCs w:val="24"/>
      <w:u w:val="none"/>
    </w:rPr>
  </w:style>
  <w:style w:type="character" w:customStyle="1" w:styleId="303">
    <w:name w:val="font112"/>
    <w:basedOn w:val="52"/>
    <w:qFormat/>
    <w:uiPriority w:val="0"/>
    <w:rPr>
      <w:rFonts w:hint="eastAsia" w:ascii="仿宋" w:hAnsi="仿宋" w:eastAsia="仿宋" w:cs="仿宋"/>
      <w:b/>
      <w:color w:val="000000"/>
      <w:sz w:val="24"/>
      <w:szCs w:val="24"/>
      <w:u w:val="single"/>
    </w:rPr>
  </w:style>
  <w:style w:type="character" w:customStyle="1" w:styleId="304">
    <w:name w:val="font51"/>
    <w:basedOn w:val="52"/>
    <w:qFormat/>
    <w:uiPriority w:val="0"/>
    <w:rPr>
      <w:rFonts w:hint="eastAsia" w:ascii="仿宋" w:hAnsi="仿宋" w:eastAsia="仿宋" w:cs="仿宋"/>
      <w:b/>
      <w:color w:val="000000"/>
      <w:sz w:val="24"/>
      <w:szCs w:val="24"/>
      <w:u w:val="none"/>
    </w:rPr>
  </w:style>
  <w:style w:type="character" w:customStyle="1" w:styleId="305">
    <w:name w:val="font71"/>
    <w:basedOn w:val="52"/>
    <w:qFormat/>
    <w:uiPriority w:val="0"/>
    <w:rPr>
      <w:rFonts w:hint="eastAsia" w:ascii="仿宋" w:hAnsi="仿宋" w:eastAsia="仿宋" w:cs="仿宋"/>
      <w:color w:val="000000"/>
      <w:sz w:val="24"/>
      <w:szCs w:val="24"/>
      <w:u w:val="none"/>
    </w:rPr>
  </w:style>
  <w:style w:type="character" w:customStyle="1" w:styleId="306">
    <w:name w:val="font61"/>
    <w:basedOn w:val="52"/>
    <w:qFormat/>
    <w:uiPriority w:val="0"/>
    <w:rPr>
      <w:rFonts w:hint="eastAsia" w:ascii="仿宋" w:hAnsi="仿宋" w:eastAsia="仿宋" w:cs="仿宋"/>
      <w:b/>
      <w:color w:val="000000"/>
      <w:sz w:val="24"/>
      <w:szCs w:val="24"/>
      <w:u w:val="none"/>
    </w:rPr>
  </w:style>
  <w:style w:type="character" w:customStyle="1" w:styleId="307">
    <w:name w:val="font81"/>
    <w:basedOn w:val="52"/>
    <w:qFormat/>
    <w:uiPriority w:val="0"/>
    <w:rPr>
      <w:rFonts w:hint="eastAsia" w:ascii="仿宋" w:hAnsi="仿宋" w:eastAsia="仿宋" w:cs="仿宋"/>
      <w:b/>
      <w:color w:val="000000"/>
      <w:sz w:val="24"/>
      <w:szCs w:val="24"/>
      <w:u w:val="single"/>
    </w:rPr>
  </w:style>
  <w:style w:type="character" w:customStyle="1" w:styleId="308">
    <w:name w:val="unnamed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1830</Words>
  <Characters>10435</Characters>
  <Lines>86</Lines>
  <Paragraphs>24</Paragraphs>
  <TotalTime>21</TotalTime>
  <ScaleCrop>false</ScaleCrop>
  <LinksUpToDate>false</LinksUpToDate>
  <CharactersWithSpaces>12241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2021-01-06T02:34:00Z</dcterms:created>
  <dc:creator>zw</dc:creator>
  <cp:keywords>FoxChit SOFTWARE SOLUTIONS</cp:keywords>
  <cp:lastModifiedBy>LZ</cp:lastModifiedBy>
  <cp:lastPrinted>2020-11-10T06:46:00Z</cp:lastPrinted>
  <dcterms:modified xsi:type="dcterms:W3CDTF">2021-08-20T08:12:32Z</dcterms:modified>
  <dc:title>26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