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8"/>
        </w:rPr>
      </w:pPr>
      <w:bookmarkStart w:id="0" w:name="_Hlk11089628"/>
      <w:r>
        <w:rPr>
          <w:rFonts w:hint="eastAsia" w:ascii="宋体" w:hAnsi="宋体"/>
          <w:b/>
          <w:sz w:val="48"/>
        </w:rPr>
        <w:t>广东机场白云信息科技有限公司</w:t>
      </w:r>
    </w:p>
    <w:p>
      <w:pPr>
        <w:pStyle w:val="2"/>
      </w:pPr>
    </w:p>
    <w:bookmarkEnd w:id="0"/>
    <w:p>
      <w:pPr>
        <w:jc w:val="center"/>
        <w:rPr>
          <w:rFonts w:eastAsia="黑体"/>
          <w:sz w:val="48"/>
        </w:rPr>
      </w:pPr>
      <w:r>
        <w:rPr>
          <w:rFonts w:hint="eastAsia" w:eastAsia="黑体"/>
          <w:sz w:val="48"/>
          <w:szCs w:val="22"/>
        </w:rPr>
        <w:t>知识产权代理服务项目</w:t>
      </w:r>
      <w:r>
        <w:rPr>
          <w:rFonts w:hint="eastAsia" w:eastAsia="黑体"/>
          <w:sz w:val="48"/>
        </w:rPr>
        <w:t>采购文件</w:t>
      </w:r>
    </w:p>
    <w:p>
      <w:pPr>
        <w:jc w:val="center"/>
        <w:rPr>
          <w:rFonts w:eastAsia="黑体"/>
          <w:sz w:val="32"/>
        </w:rPr>
      </w:pPr>
    </w:p>
    <w:p>
      <w:pPr>
        <w:jc w:val="center"/>
        <w:rPr>
          <w:rFonts w:eastAsia="黑体"/>
          <w:b/>
          <w:sz w:val="32"/>
        </w:r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r>
        <w:rPr>
          <w:rFonts w:hint="eastAsia" w:eastAsia="黑体"/>
          <w:bCs/>
          <w:sz w:val="32"/>
        </w:rPr>
        <w:t>第二部分               报价人须知</w:t>
      </w: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r>
        <w:rPr>
          <w:rFonts w:hint="eastAsia" w:eastAsia="黑体"/>
          <w:bCs/>
          <w:sz w:val="32"/>
        </w:rPr>
        <w:t>第四部分               报价文件格式</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eastAsia="黑体"/>
          <w:b/>
          <w:sz w:val="52"/>
        </w:rPr>
      </w:pPr>
      <w:r>
        <w:rPr>
          <w:rFonts w:eastAsia="黑体"/>
          <w:b/>
          <w:sz w:val="52"/>
        </w:rPr>
        <w:br w:type="page"/>
      </w:r>
    </w:p>
    <w:p>
      <w:pPr>
        <w:spacing w:line="312" w:lineRule="auto"/>
        <w:jc w:val="center"/>
        <w:outlineLvl w:val="0"/>
        <w:rPr>
          <w:b/>
          <w:sz w:val="32"/>
          <w:szCs w:val="32"/>
        </w:rPr>
      </w:pPr>
      <w:r>
        <w:rPr>
          <w:rFonts w:hint="eastAsia"/>
          <w:b/>
          <w:sz w:val="32"/>
          <w:szCs w:val="32"/>
        </w:rPr>
        <w:t>第一部分  邀请函</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广东机场白云信息科技有限公司（以下简称“采购人”）就知识产权代理服务采购，现邀请合格的合作商（以下简称“报价人”）提交密封报价文件。</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 项目概况：</w:t>
      </w:r>
    </w:p>
    <w:p>
      <w:pPr>
        <w:spacing w:line="312"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1.1项目名称：知识产权代理服务采购项目</w:t>
      </w:r>
    </w:p>
    <w:p>
      <w:pPr>
        <w:spacing w:line="312" w:lineRule="auto"/>
        <w:ind w:firstLine="420" w:firstLineChars="200"/>
      </w:pPr>
      <w:r>
        <w:rPr>
          <w:rFonts w:hint="eastAsia" w:ascii="仿宋_GB2312" w:hAnsi="仿宋_GB2312" w:eastAsia="仿宋_GB2312" w:cs="仿宋_GB2312"/>
          <w:szCs w:val="21"/>
        </w:rPr>
        <w:t>1.2项目编号：网站自动生成</w:t>
      </w:r>
    </w:p>
    <w:p>
      <w:pPr>
        <w:tabs>
          <w:tab w:val="left" w:pos="540"/>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1.3项目地点：广州白云机场</w:t>
      </w:r>
    </w:p>
    <w:p>
      <w:pPr>
        <w:spacing w:line="312" w:lineRule="auto"/>
        <w:ind w:firstLine="420" w:firstLineChars="200"/>
        <w:rPr>
          <w:rFonts w:ascii="仿宋_GB2312" w:hAnsi="仿宋_GB2312" w:eastAsia="仿宋_GB2312" w:cs="仿宋_GB2312"/>
          <w:szCs w:val="21"/>
          <w:highlight w:val="yellow"/>
        </w:rPr>
      </w:pPr>
      <w:r>
        <w:rPr>
          <w:rFonts w:hint="eastAsia" w:ascii="仿宋_GB2312" w:hAnsi="仿宋_GB2312" w:eastAsia="仿宋_GB2312" w:cs="仿宋_GB2312"/>
          <w:szCs w:val="21"/>
        </w:rPr>
        <w:t>1.4项目内容：第二部分采购人须知</w:t>
      </w:r>
    </w:p>
    <w:p>
      <w:pPr>
        <w:numPr>
          <w:ilvl w:val="0"/>
          <w:numId w:val="1"/>
        </w:num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采购内容及限价：</w:t>
      </w:r>
    </w:p>
    <w:p>
      <w:pPr>
        <w:pStyle w:val="2"/>
        <w:rPr>
          <w:rFonts w:eastAsia="仿宋_GB2312"/>
        </w:rPr>
      </w:pPr>
    </w:p>
    <w:tbl>
      <w:tblPr>
        <w:tblStyle w:val="50"/>
        <w:tblW w:w="7455" w:type="dxa"/>
        <w:tblInd w:w="0" w:type="dxa"/>
        <w:tblLayout w:type="autofit"/>
        <w:tblCellMar>
          <w:top w:w="0" w:type="dxa"/>
          <w:left w:w="0" w:type="dxa"/>
          <w:bottom w:w="0" w:type="dxa"/>
          <w:right w:w="0" w:type="dxa"/>
        </w:tblCellMar>
      </w:tblPr>
      <w:tblGrid>
        <w:gridCol w:w="720"/>
        <w:gridCol w:w="1080"/>
        <w:gridCol w:w="3390"/>
        <w:gridCol w:w="1155"/>
        <w:gridCol w:w="1110"/>
      </w:tblGrid>
      <w:tr>
        <w:tblPrEx>
          <w:tblCellMar>
            <w:top w:w="0" w:type="dxa"/>
            <w:left w:w="0" w:type="dxa"/>
            <w:bottom w:w="0" w:type="dxa"/>
            <w:right w:w="0"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lang w:bidi="ar"/>
              </w:rPr>
              <w:t>类别</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lang w:bidi="ar"/>
              </w:rPr>
              <w:t>服务内容项目</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单价限价（含官费、代理费）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权重</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专利</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发明专利快速预审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实用新型专利申请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实用新型快速预审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外观专利申请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外观专利优先审查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发明专利+实用新型（一案两申）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kern w:val="0"/>
                <w:sz w:val="24"/>
                <w:szCs w:val="24"/>
                <w:lang w:bidi="ar"/>
              </w:rPr>
              <w:t>专利年度维护</w:t>
            </w:r>
            <w:r>
              <w:rPr>
                <w:rFonts w:hint="eastAsia" w:ascii="微软雅黑" w:hAnsi="微软雅黑" w:eastAsia="微软雅黑" w:cs="微软雅黑"/>
                <w:color w:val="000000"/>
                <w:kern w:val="0"/>
                <w:sz w:val="24"/>
                <w:szCs w:val="24"/>
                <w:lang w:eastAsia="zh-CN" w:bidi="ar"/>
              </w:rPr>
              <w:t>（</w:t>
            </w:r>
            <w:r>
              <w:rPr>
                <w:rFonts w:hint="eastAsia" w:ascii="微软雅黑" w:hAnsi="微软雅黑" w:eastAsia="微软雅黑" w:cs="微软雅黑"/>
                <w:color w:val="000000"/>
                <w:kern w:val="0"/>
                <w:sz w:val="24"/>
                <w:szCs w:val="24"/>
                <w:lang w:val="en-US" w:eastAsia="zh-CN" w:bidi="ar"/>
              </w:rPr>
              <w:t>本项不含官费</w:t>
            </w:r>
            <w:r>
              <w:rPr>
                <w:rFonts w:hint="eastAsia" w:ascii="微软雅黑" w:hAnsi="微软雅黑" w:eastAsia="微软雅黑" w:cs="微软雅黑"/>
                <w:color w:val="000000"/>
                <w:kern w:val="0"/>
                <w:sz w:val="24"/>
                <w:szCs w:val="24"/>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kern w:val="0"/>
                <w:sz w:val="22"/>
                <w:szCs w:val="22"/>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科技查新报告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r>
      <w:tr>
        <w:tblPrEx>
          <w:tblCellMar>
            <w:top w:w="0" w:type="dxa"/>
            <w:left w:w="0" w:type="dxa"/>
            <w:bottom w:w="0" w:type="dxa"/>
            <w:right w:w="0"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软件测试报告</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软件测试报告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r>
      <w:tr>
        <w:tblPrEx>
          <w:tblCellMar>
            <w:top w:w="0" w:type="dxa"/>
            <w:left w:w="0" w:type="dxa"/>
            <w:bottom w:w="0" w:type="dxa"/>
            <w:right w:w="0"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软件登记证</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软件登记证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著作权</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软件著作权注册办理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r>
      <w:tr>
        <w:tblPrEx>
          <w:tblCellMar>
            <w:top w:w="0" w:type="dxa"/>
            <w:left w:w="0" w:type="dxa"/>
            <w:bottom w:w="0" w:type="dxa"/>
            <w:right w:w="0"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软件著作权加急办理（11-15个工作日）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软件著作权加急办理（16-20个工作日）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作品著作权注册办理</w:t>
            </w:r>
          </w:p>
          <w:p>
            <w:pPr>
              <w:pStyle w:val="2"/>
              <w:widowControl/>
              <w:jc w:val="center"/>
              <w:textAlignment w:val="center"/>
              <w:rPr>
                <w:rFonts w:ascii="微软雅黑" w:hAnsi="微软雅黑" w:eastAsia="微软雅黑" w:cs="微软雅黑"/>
                <w:color w:val="000000"/>
                <w:sz w:val="24"/>
                <w:szCs w:val="24"/>
                <w:lang w:bidi="ar"/>
              </w:rPr>
            </w:pPr>
            <w:r>
              <w:rPr>
                <w:rFonts w:hint="eastAsia"/>
                <w:lang w:bidi="ar"/>
              </w:rPr>
              <w:t>（工程设计图/产品设计图门类）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r>
      <w:tr>
        <w:tblPrEx>
          <w:tblCellMar>
            <w:top w:w="0" w:type="dxa"/>
            <w:left w:w="0" w:type="dxa"/>
            <w:bottom w:w="0" w:type="dxa"/>
            <w:right w:w="0"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作品著作权申请加急办理（11-15个工作日）</w:t>
            </w:r>
          </w:p>
          <w:p>
            <w:pPr>
              <w:widowControl/>
              <w:jc w:val="center"/>
              <w:textAlignment w:val="center"/>
              <w:rPr>
                <w:rFonts w:ascii="微软雅黑" w:hAnsi="微软雅黑" w:eastAsia="微软雅黑" w:cs="微软雅黑"/>
                <w:color w:val="000000"/>
                <w:sz w:val="24"/>
                <w:szCs w:val="24"/>
              </w:rPr>
            </w:pPr>
            <w:r>
              <w:rPr>
                <w:rFonts w:hint="eastAsia"/>
                <w:lang w:bidi="ar"/>
              </w:rPr>
              <w:t>（工程设计图/产品设计图门类）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作品著作权申请加急办理（16-20个工作日）</w:t>
            </w:r>
          </w:p>
          <w:p>
            <w:pPr>
              <w:pStyle w:val="2"/>
              <w:widowControl/>
              <w:jc w:val="center"/>
              <w:textAlignment w:val="center"/>
              <w:rPr>
                <w:rFonts w:ascii="微软雅黑" w:hAnsi="微软雅黑" w:eastAsia="微软雅黑" w:cs="微软雅黑"/>
                <w:color w:val="000000"/>
                <w:sz w:val="24"/>
                <w:szCs w:val="24"/>
                <w:lang w:bidi="ar"/>
              </w:rPr>
            </w:pPr>
            <w:r>
              <w:rPr>
                <w:rFonts w:hint="eastAsia"/>
                <w:lang w:bidi="ar"/>
              </w:rPr>
              <w:t>（工程设计图/产品设计图门类）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商标注册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商标转让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商标续期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商标驳回复审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商标异议申请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商标异议答辩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商标无效宣告申请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商标无效宣告答辩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商标撤销三年不使用申请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商标撤销三年不使用答辩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r>
    </w:tbl>
    <w:p>
      <w:pPr>
        <w:pStyle w:val="275"/>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w:t>
      </w:r>
      <w:r>
        <w:rPr>
          <w:rFonts w:hint="eastAsia" w:ascii="仿宋_GB2312" w:hAnsi="仿宋_GB2312" w:eastAsia="仿宋_GB2312" w:cs="仿宋_GB2312"/>
          <w:kern w:val="28"/>
          <w:szCs w:val="21"/>
        </w:rPr>
        <w:t>有税费。</w:t>
      </w:r>
      <w:r>
        <w:rPr>
          <w:rFonts w:hint="eastAsia" w:ascii="仿宋_GB2312" w:hAnsi="仿宋_GB2312" w:eastAsia="仿宋_GB2312" w:cs="仿宋_GB2312"/>
          <w:kern w:val="28"/>
        </w:rPr>
        <w:t>合同执行期间如遇</w:t>
      </w:r>
      <w:r>
        <w:rPr>
          <w:rFonts w:hint="eastAsia" w:ascii="仿宋_GB2312" w:hAnsi="仿宋_GB2312" w:eastAsia="仿宋_GB2312" w:cs="仿宋_GB2312"/>
          <w:kern w:val="28"/>
          <w:szCs w:val="21"/>
        </w:rPr>
        <w:t>官费调整，</w:t>
      </w:r>
      <w:r>
        <w:rPr>
          <w:rFonts w:hint="eastAsia" w:ascii="仿宋_GB2312" w:hAnsi="仿宋_GB2312" w:eastAsia="仿宋_GB2312" w:cs="仿宋_GB2312"/>
          <w:szCs w:val="21"/>
        </w:rPr>
        <w:t xml:space="preserve">可根据官方通知文件相应调整。 </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 合格报价人资格条件：</w:t>
      </w:r>
    </w:p>
    <w:p>
      <w:pPr>
        <w:spacing w:line="312" w:lineRule="auto"/>
        <w:ind w:firstLine="420" w:firstLineChars="200"/>
        <w:rPr>
          <w:rFonts w:ascii="仿宋_GB2312" w:hAnsi="仿宋_GB2312" w:eastAsia="仿宋_GB2312" w:cs="仿宋_GB2312"/>
          <w:color w:val="000000"/>
          <w:szCs w:val="21"/>
          <w:highlight w:val="yellow"/>
        </w:rPr>
      </w:pPr>
      <w:r>
        <w:rPr>
          <w:rFonts w:hint="eastAsia" w:ascii="仿宋_GB2312" w:hAnsi="仿宋_GB2312" w:eastAsia="仿宋_GB2312" w:cs="仿宋_GB2312"/>
          <w:color w:val="000000"/>
          <w:szCs w:val="21"/>
        </w:rPr>
        <w:t>3.1在中华人民共和国境内注册的独立的企业法人。</w:t>
      </w:r>
    </w:p>
    <w:p>
      <w:pPr>
        <w:spacing w:line="312" w:lineRule="auto"/>
        <w:ind w:firstLine="420" w:firstLineChars="200"/>
        <w:rPr>
          <w:rFonts w:ascii="仿宋_GB2312" w:hAnsi="仿宋_GB2312" w:eastAsia="仿宋_GB2312" w:cs="仿宋_GB2312"/>
          <w:color w:val="000000"/>
          <w:szCs w:val="21"/>
        </w:rPr>
      </w:pPr>
      <w:bookmarkStart w:id="1" w:name="_Hlk22711910"/>
      <w:r>
        <w:rPr>
          <w:rFonts w:hint="eastAsia" w:ascii="仿宋_GB2312" w:hAnsi="仿宋_GB2312" w:eastAsia="仿宋_GB2312" w:cs="仿宋_GB2312"/>
          <w:color w:val="000000"/>
          <w:szCs w:val="21"/>
        </w:rPr>
        <w:t>3.2</w:t>
      </w:r>
      <w:bookmarkEnd w:id="1"/>
      <w:r>
        <w:rPr>
          <w:rFonts w:hint="eastAsia" w:ascii="仿宋_GB2312" w:hAnsi="仿宋_GB2312" w:eastAsia="仿宋_GB2312" w:cs="仿宋_GB2312"/>
          <w:color w:val="000000"/>
          <w:szCs w:val="21"/>
        </w:rPr>
        <w:t>报价人应不存在下列情形（需就以下内容出具诚信承诺函并加盖公章）：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（1）近三年因腐败或欺诈行为而被政府或业主宣布取消投标资格；</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（2）近三年（包括独立法人及关联公司和自然人）与广东省机场管理集团有限公司其下属的全资、控股公司、非法人实体单位发生各种诉讼和仲裁；</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（3）被采购人认定为发生不良行为供应商，且仍在处置期内的；</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（4）被列入国家企业信用信息公示系统（http://www.gsxt.gov.cn/）的经营异常名录或严重违法失信企业名单；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（5）被列入信用中国（http://www.creditchina.gov.cn/）的失信被执行人或企业经营异常名录；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bookmarkStart w:id="2" w:name="_Hlk8050188"/>
      <w:r>
        <w:rPr>
          <w:rFonts w:hint="eastAsia" w:ascii="仿宋_GB2312" w:hAnsi="仿宋_GB2312" w:eastAsia="仿宋_GB2312" w:cs="仿宋_GB2312"/>
          <w:color w:val="000000"/>
          <w:szCs w:val="21"/>
        </w:rPr>
        <w:t>被列入中国执行信息公开网（http://zxgk.court.gov.cn/）的全国法院失信被执行人名单；</w:t>
      </w:r>
    </w:p>
    <w:bookmarkEnd w:id="2"/>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（7）存在其它失信情况的。</w:t>
      </w:r>
    </w:p>
    <w:p>
      <w:pPr>
        <w:pStyle w:val="13"/>
        <w:ind w:left="420"/>
      </w:pPr>
      <w:r>
        <w:rPr>
          <w:rFonts w:hint="eastAsia" w:ascii="仿宋_GB2312" w:hAnsi="仿宋_GB2312" w:eastAsia="仿宋_GB2312" w:cs="仿宋_GB2312"/>
          <w:color w:val="000000"/>
          <w:szCs w:val="21"/>
        </w:rPr>
        <w:t>3.3 可开具增值税专用发票。</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3.4本项目不接受联合体报价。</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 报价人为国家知识产权局认可的专利代理机构及在国家知识产权局成功备案的商标代理机构，以上提供国家知识产权局网站截图证明文件并加盖公章。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3.5.投标人须具备依法纳税和缴纳社会保障资金的良好记录。（提供投标截止时间前六个月内任一月的纳税证明及缴纳社会保障资金材料，如依法免税和依法不需要缴纳社会保障资金的，应提供相应证明文件）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 报价文件的提交形式、地址和截止时间</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rPr>
        <w:t>1）报价文件的递交有现场递交和邮寄两种方式</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邮寄的资料务必做好保护措施以保证运输途中密封完整</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rPr>
        <w:t>2）报价文件现场递交地址：广州白云国际机场东南工作区横二路A4综合北楼一楼101室，收件人：李小姐</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rPr>
        <w:t>3）报价文件递交截止时间：</w:t>
      </w:r>
      <w:r>
        <w:rPr>
          <w:rFonts w:hint="eastAsia" w:ascii="仿宋_GB2312" w:hAnsi="仿宋_GB2312" w:eastAsia="仿宋_GB2312" w:cs="仿宋_GB2312"/>
          <w:b/>
          <w:bCs/>
          <w:szCs w:val="21"/>
        </w:rPr>
        <w:t>2021年</w:t>
      </w:r>
      <w:r>
        <w:rPr>
          <w:rFonts w:hint="eastAsia" w:ascii="仿宋_GB2312" w:hAnsi="仿宋_GB2312" w:eastAsia="仿宋_GB2312" w:cs="仿宋_GB2312"/>
          <w:b/>
          <w:bCs/>
          <w:szCs w:val="21"/>
          <w:lang w:val="en-US" w:eastAsia="zh-CN"/>
        </w:rPr>
        <w:t>8</w:t>
      </w:r>
      <w:r>
        <w:rPr>
          <w:rFonts w:hint="eastAsia" w:ascii="仿宋_GB2312" w:hAnsi="仿宋_GB2312" w:eastAsia="仿宋_GB2312" w:cs="仿宋_GB2312"/>
          <w:b/>
          <w:bCs/>
          <w:szCs w:val="21"/>
        </w:rPr>
        <w:t>月</w:t>
      </w:r>
      <w:r>
        <w:rPr>
          <w:rFonts w:hint="eastAsia" w:ascii="仿宋_GB2312" w:hAnsi="仿宋_GB2312" w:eastAsia="仿宋_GB2312" w:cs="仿宋_GB2312"/>
          <w:b/>
          <w:bCs/>
          <w:szCs w:val="21"/>
          <w:lang w:val="en-US" w:eastAsia="zh-CN"/>
        </w:rPr>
        <w:t>9</w:t>
      </w:r>
      <w:r>
        <w:rPr>
          <w:rFonts w:hint="eastAsia" w:ascii="仿宋_GB2312" w:hAnsi="仿宋_GB2312" w:eastAsia="仿宋_GB2312" w:cs="仿宋_GB2312"/>
          <w:b/>
          <w:bCs/>
          <w:szCs w:val="21"/>
        </w:rPr>
        <w:t>日，</w:t>
      </w:r>
      <w:r>
        <w:rPr>
          <w:rFonts w:hint="eastAsia" w:ascii="仿宋_GB2312" w:hAnsi="仿宋_GB2312" w:eastAsia="仿宋_GB2312" w:cs="仿宋_GB2312"/>
          <w:b/>
          <w:bCs/>
          <w:szCs w:val="21"/>
          <w:lang w:val="en-US" w:eastAsia="zh-CN"/>
        </w:rPr>
        <w:t>17</w:t>
      </w:r>
      <w:r>
        <w:rPr>
          <w:rFonts w:hint="eastAsia" w:ascii="仿宋_GB2312" w:hAnsi="仿宋_GB2312" w:eastAsia="仿宋_GB2312" w:cs="仿宋_GB2312"/>
          <w:b/>
          <w:bCs/>
          <w:szCs w:val="21"/>
        </w:rPr>
        <w:t>:00</w:t>
      </w:r>
      <w:r>
        <w:rPr>
          <w:rFonts w:hint="eastAsia" w:ascii="仿宋_GB2312" w:hAnsi="仿宋_GB2312" w:eastAsia="仿宋_GB2312" w:cs="仿宋_GB2312"/>
          <w:szCs w:val="21"/>
        </w:rPr>
        <w:t>（邮寄的报价文件以文件到达时间为准）。</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color w:val="333333"/>
          <w:szCs w:val="21"/>
        </w:rPr>
        <w:t>4）采购人不接受逾期递交的报价文件，不接收以邮件、电话、传真等形式的报价。</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5. 本项目不设未成交报价人经济补偿，准备报价文件和递交报价文件所发生的任何成本或费用由报价人自理。</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 有关此次采购之事宜，可按下列联系方式向采购人查询：</w:t>
      </w:r>
    </w:p>
    <w:p>
      <w:pPr>
        <w:tabs>
          <w:tab w:val="left" w:pos="540"/>
        </w:tabs>
        <w:spacing w:line="360" w:lineRule="auto"/>
        <w:ind w:left="357" w:firstLine="67" w:firstLineChars="32"/>
        <w:rPr>
          <w:rFonts w:ascii="仿宋_GB2312" w:hAnsi="仿宋_GB2312" w:eastAsia="仿宋_GB2312" w:cs="仿宋_GB2312"/>
          <w:szCs w:val="21"/>
        </w:rPr>
      </w:pPr>
      <w:r>
        <w:rPr>
          <w:rFonts w:hint="eastAsia" w:ascii="仿宋_GB2312" w:hAnsi="仿宋_GB2312" w:eastAsia="仿宋_GB2312" w:cs="仿宋_GB2312"/>
          <w:szCs w:val="21"/>
        </w:rPr>
        <w:t>采购人：广东机场白云信息科技有限公司</w:t>
      </w:r>
    </w:p>
    <w:p>
      <w:pPr>
        <w:tabs>
          <w:tab w:val="left" w:pos="2127"/>
        </w:tabs>
        <w:spacing w:line="360" w:lineRule="auto"/>
        <w:ind w:left="1274" w:leftChars="202" w:hanging="850" w:hangingChars="405"/>
        <w:rPr>
          <w:rFonts w:ascii="仿宋_GB2312" w:hAnsi="仿宋_GB2312" w:eastAsia="仿宋_GB2312" w:cs="仿宋_GB2312"/>
          <w:szCs w:val="21"/>
        </w:rPr>
      </w:pPr>
      <w:r>
        <w:rPr>
          <w:rFonts w:hint="eastAsia" w:ascii="仿宋_GB2312" w:hAnsi="仿宋_GB2312" w:eastAsia="仿宋_GB2312" w:cs="仿宋_GB2312"/>
          <w:szCs w:val="21"/>
        </w:rPr>
        <w:t>地  址：广州白云国际机场东南工作区横二路A4综合北楼</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联系人：李小姐</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联系电话：020-36066620</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电子邮箱：lizhe@gdairport.com</w:t>
      </w:r>
    </w:p>
    <w:p>
      <w:pPr>
        <w:widowControl/>
        <w:tabs>
          <w:tab w:val="left" w:pos="720"/>
        </w:tabs>
        <w:autoSpaceDE w:val="0"/>
        <w:autoSpaceDN w:val="0"/>
        <w:spacing w:line="400" w:lineRule="exact"/>
        <w:textAlignment w:val="bottom"/>
        <w:rPr>
          <w:rFonts w:ascii="仿宋_GB2312" w:hAnsi="仿宋_GB2312" w:eastAsia="仿宋_GB2312" w:cs="仿宋_GB2312"/>
          <w:sz w:val="28"/>
          <w:szCs w:val="28"/>
        </w:rPr>
      </w:pP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8"/>
          <w:szCs w:val="28"/>
        </w:rPr>
      </w:pPr>
    </w:p>
    <w:p/>
    <w:p>
      <w:pPr>
        <w:tabs>
          <w:tab w:val="left" w:pos="986"/>
        </w:tabs>
        <w:jc w:val="left"/>
        <w:sectPr>
          <w:footerReference r:id="rId5" w:type="first"/>
          <w:headerReference r:id="rId3" w:type="default"/>
          <w:footerReference r:id="rId4" w:type="default"/>
          <w:pgSz w:w="11906" w:h="16838"/>
          <w:pgMar w:top="1286" w:right="1616" w:bottom="1246" w:left="1701" w:header="737" w:footer="680" w:gutter="0"/>
          <w:pgNumType w:start="1"/>
          <w:cols w:space="720" w:num="1"/>
          <w:titlePg/>
          <w:docGrid w:type="lines" w:linePitch="312" w:charSpace="0"/>
        </w:sectPr>
      </w:pPr>
      <w:r>
        <w:rPr>
          <w:rFonts w:hint="eastAsia"/>
        </w:rPr>
        <w:tab/>
      </w:r>
    </w:p>
    <w:p>
      <w:pPr>
        <w:spacing w:line="312" w:lineRule="auto"/>
        <w:outlineLvl w:val="0"/>
        <w:rPr>
          <w:b/>
          <w:sz w:val="32"/>
          <w:szCs w:val="32"/>
        </w:rPr>
      </w:pPr>
    </w:p>
    <w:p>
      <w:pPr>
        <w:numPr>
          <w:ilvl w:val="0"/>
          <w:numId w:val="2"/>
        </w:numPr>
        <w:spacing w:line="312" w:lineRule="auto"/>
        <w:jc w:val="center"/>
        <w:outlineLvl w:val="0"/>
        <w:rPr>
          <w:b/>
          <w:sz w:val="32"/>
          <w:szCs w:val="32"/>
        </w:rPr>
      </w:pPr>
      <w:r>
        <w:rPr>
          <w:rFonts w:hint="eastAsia"/>
          <w:b/>
          <w:sz w:val="32"/>
          <w:szCs w:val="32"/>
        </w:rPr>
        <w:t>报价人须知</w:t>
      </w:r>
    </w:p>
    <w:p>
      <w:pPr>
        <w:pStyle w:val="13"/>
        <w:ind w:left="0" w:leftChars="0"/>
      </w:pPr>
    </w:p>
    <w:p>
      <w:pPr>
        <w:pStyle w:val="40"/>
        <w:snapToGrid w:val="0"/>
        <w:spacing w:line="360" w:lineRule="auto"/>
        <w:ind w:left="0"/>
        <w:jc w:val="both"/>
        <w:rPr>
          <w:rFonts w:ascii="黑体" w:hAnsi="黑体" w:eastAsia="黑体" w:cs="黑体"/>
          <w:bCs/>
          <w:smallCaps w:val="0"/>
          <w:color w:val="auto"/>
        </w:rPr>
      </w:pPr>
      <w:bookmarkStart w:id="3" w:name="_Toc22149441"/>
    </w:p>
    <w:p>
      <w:pPr>
        <w:pStyle w:val="40"/>
        <w:snapToGrid w:val="0"/>
        <w:spacing w:line="360" w:lineRule="auto"/>
        <w:ind w:left="0"/>
        <w:jc w:val="both"/>
        <w:rPr>
          <w:rFonts w:ascii="Times New Roman" w:hAnsi="Times New Roman"/>
          <w:b w:val="0"/>
          <w:smallCaps w:val="0"/>
          <w:color w:val="auto"/>
          <w:sz w:val="21"/>
          <w:szCs w:val="20"/>
        </w:rPr>
      </w:pPr>
      <w:r>
        <w:rPr>
          <w:rFonts w:hint="eastAsia" w:ascii="黑体" w:hAnsi="黑体" w:eastAsia="黑体" w:cs="黑体"/>
          <w:bCs/>
          <w:smallCaps w:val="0"/>
          <w:color w:val="auto"/>
        </w:rPr>
        <w:t>一、项目说明</w:t>
      </w:r>
      <w:bookmarkEnd w:id="3"/>
    </w:p>
    <w:p>
      <w:pPr>
        <w:spacing w:line="312" w:lineRule="auto"/>
        <w:ind w:firstLine="420" w:firstLineChars="200"/>
      </w:pPr>
      <w:r>
        <w:rPr>
          <w:rFonts w:hint="eastAsia"/>
        </w:rPr>
        <w:t>广东机场白云信息科技有限公司（以下简称“采购人”）拟就知识产权代理服务进行采购，本项目采用综合评审方式确定成交合作商，采购人组织综合评审工作。</w:t>
      </w:r>
    </w:p>
    <w:p>
      <w:pPr>
        <w:pStyle w:val="2"/>
        <w:numPr>
          <w:ilvl w:val="255"/>
          <w:numId w:val="0"/>
        </w:numPr>
        <w:spacing w:after="120"/>
      </w:pPr>
      <w:r>
        <w:rPr>
          <w:rFonts w:hint="eastAsia"/>
          <w:b/>
          <w:bCs/>
        </w:rPr>
        <w:t>（一）</w:t>
      </w:r>
      <w:r>
        <w:rPr>
          <w:rFonts w:hint="eastAsia"/>
        </w:rPr>
        <w:t xml:space="preserve"> 采购范围及限价</w:t>
      </w:r>
    </w:p>
    <w:tbl>
      <w:tblPr>
        <w:tblStyle w:val="50"/>
        <w:tblW w:w="8576" w:type="dxa"/>
        <w:tblInd w:w="0" w:type="dxa"/>
        <w:tblLayout w:type="fixed"/>
        <w:tblCellMar>
          <w:top w:w="0" w:type="dxa"/>
          <w:left w:w="0" w:type="dxa"/>
          <w:bottom w:w="0" w:type="dxa"/>
          <w:right w:w="0" w:type="dxa"/>
        </w:tblCellMar>
      </w:tblPr>
      <w:tblGrid>
        <w:gridCol w:w="1080"/>
        <w:gridCol w:w="859"/>
        <w:gridCol w:w="3212"/>
        <w:gridCol w:w="2188"/>
        <w:gridCol w:w="1237"/>
      </w:tblGrid>
      <w:tr>
        <w:tblPrEx>
          <w:tblCellMar>
            <w:top w:w="0" w:type="dxa"/>
            <w:left w:w="0" w:type="dxa"/>
            <w:bottom w:w="0" w:type="dxa"/>
            <w:right w:w="0"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序号</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类别</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服务内容项目</w:t>
            </w:r>
          </w:p>
        </w:tc>
        <w:tc>
          <w:tcPr>
            <w:tcW w:w="2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单价限价（含官费、代理费）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权重</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专利申请</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发明专利申请</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7250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发明专利快速预审</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3</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实用新型专利申请</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4</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实用新型快速预审</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5</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外观专利申请</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6</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外观专利优先审查</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7</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发明专利+实用新型（一案两申）</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8</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kern w:val="0"/>
                <w:sz w:val="24"/>
                <w:szCs w:val="24"/>
                <w:lang w:bidi="ar"/>
              </w:rPr>
              <w:t>专利年度维护</w:t>
            </w:r>
            <w:r>
              <w:rPr>
                <w:rFonts w:hint="eastAsia" w:ascii="微软雅黑" w:hAnsi="微软雅黑" w:eastAsia="微软雅黑" w:cs="微软雅黑"/>
                <w:color w:val="000000"/>
                <w:kern w:val="0"/>
                <w:sz w:val="24"/>
                <w:szCs w:val="24"/>
                <w:lang w:eastAsia="zh-CN" w:bidi="ar"/>
              </w:rPr>
              <w:t>（</w:t>
            </w:r>
            <w:r>
              <w:rPr>
                <w:rFonts w:hint="eastAsia" w:ascii="微软雅黑" w:hAnsi="微软雅黑" w:eastAsia="微软雅黑" w:cs="微软雅黑"/>
                <w:color w:val="000000"/>
                <w:kern w:val="0"/>
                <w:sz w:val="24"/>
                <w:szCs w:val="24"/>
                <w:lang w:val="en-US" w:eastAsia="zh-CN" w:bidi="ar"/>
              </w:rPr>
              <w:t>本项不含官费</w:t>
            </w:r>
            <w:r>
              <w:rPr>
                <w:rFonts w:hint="eastAsia" w:ascii="微软雅黑" w:hAnsi="微软雅黑" w:eastAsia="微软雅黑" w:cs="微软雅黑"/>
                <w:color w:val="000000"/>
                <w:kern w:val="0"/>
                <w:sz w:val="24"/>
                <w:szCs w:val="24"/>
                <w:lang w:eastAsia="zh-CN" w:bidi="ar"/>
              </w:rPr>
              <w:t>）</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ascii="微软雅黑" w:hAnsi="微软雅黑" w:eastAsia="微软雅黑" w:cs="微软雅黑"/>
                <w:color w:val="auto"/>
                <w:kern w:val="0"/>
                <w:sz w:val="22"/>
                <w:szCs w:val="22"/>
                <w:lang w:bidi="ar"/>
              </w:rPr>
              <w:t>50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9</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科技查新报告</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r>
      <w:tr>
        <w:tblPrEx>
          <w:tblCellMar>
            <w:top w:w="0" w:type="dxa"/>
            <w:left w:w="0" w:type="dxa"/>
            <w:bottom w:w="0" w:type="dxa"/>
            <w:right w:w="0" w:type="dxa"/>
          </w:tblCellMar>
        </w:tblPrEx>
        <w:trPr>
          <w:trHeight w:val="6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软件测试报告</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软件测试报告</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r>
      <w:tr>
        <w:tblPrEx>
          <w:tblCellMar>
            <w:top w:w="0" w:type="dxa"/>
            <w:left w:w="0" w:type="dxa"/>
            <w:bottom w:w="0" w:type="dxa"/>
            <w:right w:w="0" w:type="dxa"/>
          </w:tblCellMar>
        </w:tblPrEx>
        <w:trPr>
          <w:trHeight w:val="6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软件登记证</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软件登记证</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12</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著作权申请</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软件著作权注册办理</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r>
      <w:tr>
        <w:tblPrEx>
          <w:tblCellMar>
            <w:top w:w="0" w:type="dxa"/>
            <w:left w:w="0" w:type="dxa"/>
            <w:bottom w:w="0" w:type="dxa"/>
            <w:right w:w="0" w:type="dxa"/>
          </w:tblCellMar>
        </w:tblPrEx>
        <w:trPr>
          <w:trHeight w:val="6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13</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软件著作权加急办理（11-15个工作日）</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6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14</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软件著作权加急办理（16-20个工作日）</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15</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作品著作权注册办理</w:t>
            </w:r>
          </w:p>
          <w:p>
            <w:pPr>
              <w:pStyle w:val="2"/>
              <w:widowControl/>
              <w:jc w:val="center"/>
              <w:textAlignment w:val="center"/>
              <w:rPr>
                <w:rFonts w:ascii="微软雅黑" w:hAnsi="微软雅黑" w:eastAsia="微软雅黑" w:cs="微软雅黑"/>
                <w:color w:val="000000"/>
                <w:sz w:val="24"/>
                <w:szCs w:val="24"/>
                <w:lang w:bidi="ar"/>
              </w:rPr>
            </w:pPr>
            <w:r>
              <w:rPr>
                <w:rFonts w:hint="eastAsia"/>
                <w:lang w:bidi="ar"/>
              </w:rPr>
              <w:t>（工程设计图/产品设计图门类）</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r>
      <w:tr>
        <w:tblPrEx>
          <w:tblCellMar>
            <w:top w:w="0" w:type="dxa"/>
            <w:left w:w="0" w:type="dxa"/>
            <w:bottom w:w="0" w:type="dxa"/>
            <w:right w:w="0" w:type="dxa"/>
          </w:tblCellMar>
        </w:tblPrEx>
        <w:trPr>
          <w:trHeight w:val="6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16</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作品著作权申请加急办理（11-15个工作日）</w:t>
            </w:r>
          </w:p>
          <w:p>
            <w:pPr>
              <w:widowControl/>
              <w:jc w:val="center"/>
              <w:textAlignment w:val="center"/>
              <w:rPr>
                <w:rFonts w:ascii="微软雅黑" w:hAnsi="微软雅黑" w:eastAsia="微软雅黑" w:cs="微软雅黑"/>
                <w:b/>
                <w:bCs/>
                <w:color w:val="000000"/>
                <w:sz w:val="24"/>
                <w:szCs w:val="24"/>
              </w:rPr>
            </w:pPr>
            <w:r>
              <w:rPr>
                <w:rFonts w:hint="eastAsia"/>
                <w:lang w:bidi="ar"/>
              </w:rPr>
              <w:t>（工程设计图/产品设计图门类）</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17</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作品著作权申请加急办理（16-20个工作日）</w:t>
            </w:r>
          </w:p>
          <w:p>
            <w:pPr>
              <w:widowControl/>
              <w:jc w:val="center"/>
              <w:textAlignment w:val="center"/>
              <w:rPr>
                <w:rFonts w:ascii="微软雅黑" w:hAnsi="微软雅黑" w:eastAsia="微软雅黑" w:cs="微软雅黑"/>
                <w:b/>
                <w:bCs/>
                <w:color w:val="000000"/>
                <w:sz w:val="24"/>
                <w:szCs w:val="24"/>
              </w:rPr>
            </w:pPr>
            <w:r>
              <w:rPr>
                <w:rFonts w:hint="eastAsia"/>
                <w:lang w:bidi="ar"/>
              </w:rPr>
              <w:t>（工程设计图/产品设计图门类）</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18</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商标注册</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770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19</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商标转让</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750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20</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商标续期</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21</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商标变更</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22</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商标驳回复审</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2950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23</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商标异议申请</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24</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商标异议答辩</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25</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商标无效宣告申请</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26</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商标无效宣告答辩</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27</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商标撤销三年不使用申请</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28</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商标撤销三年不使用答辩</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r>
    </w:tbl>
    <w:p>
      <w:pPr>
        <w:pStyle w:val="2"/>
        <w:numPr>
          <w:ilvl w:val="255"/>
          <w:numId w:val="0"/>
        </w:numPr>
        <w:spacing w:after="120"/>
      </w:pPr>
    </w:p>
    <w:p>
      <w:pPr>
        <w:pStyle w:val="44"/>
        <w:widowControl/>
        <w:spacing w:line="360" w:lineRule="auto"/>
        <w:ind w:firstLine="420"/>
        <w:rPr>
          <w:rFonts w:ascii="宋体" w:hAnsi="宋体"/>
          <w:b/>
          <w:bCs/>
        </w:rPr>
      </w:pPr>
      <w:bookmarkStart w:id="4" w:name="_Toc472608693"/>
      <w:bookmarkStart w:id="5" w:name="_Toc520146435"/>
      <w:bookmarkStart w:id="6" w:name="_Toc22149446"/>
      <w:r>
        <w:rPr>
          <w:rFonts w:hint="eastAsia" w:ascii="宋体" w:hAnsi="宋体" w:cs="宋体"/>
          <w:b/>
          <w:bCs/>
          <w:snapToGrid w:val="0"/>
          <w:kern w:val="0"/>
        </w:rPr>
        <w:t>注：报价</w:t>
      </w:r>
      <w:r>
        <w:rPr>
          <w:rFonts w:hint="eastAsia" w:ascii="宋体" w:hAnsi="宋体" w:cs="宋体"/>
          <w:snapToGrid w:val="0"/>
          <w:kern w:val="0"/>
        </w:rPr>
        <w:t>人须按上表报出各项单价,投标人单价报价不得超过对应的最高单价限价。报价人各项单价报价按照各权重比例计算出“单价加权合计金额”作为评审价，例如</w:t>
      </w:r>
      <w:r>
        <w:rPr>
          <w:rFonts w:hint="eastAsia" w:cs="宋体"/>
          <w:snapToGrid w:val="0"/>
          <w:kern w:val="0"/>
        </w:rPr>
        <w:t>7250</w:t>
      </w:r>
      <w:r>
        <w:rPr>
          <w:rFonts w:hint="eastAsia" w:ascii="宋体" w:hAnsi="宋体" w:cs="宋体"/>
          <w:snapToGrid w:val="0"/>
          <w:kern w:val="0"/>
        </w:rPr>
        <w:t>×15%+2</w:t>
      </w:r>
      <w:r>
        <w:rPr>
          <w:rFonts w:hint="eastAsia" w:cs="宋体"/>
          <w:snapToGrid w:val="0"/>
          <w:kern w:val="0"/>
        </w:rPr>
        <w:t>000</w:t>
      </w:r>
      <w:r>
        <w:rPr>
          <w:rFonts w:hint="eastAsia" w:ascii="宋体" w:hAnsi="宋体" w:cs="宋体"/>
          <w:snapToGrid w:val="0"/>
          <w:kern w:val="0"/>
        </w:rPr>
        <w:t>×2</w:t>
      </w:r>
      <w:r>
        <w:rPr>
          <w:rFonts w:hint="eastAsia" w:cs="宋体"/>
          <w:snapToGrid w:val="0"/>
          <w:kern w:val="0"/>
        </w:rPr>
        <w:t>%</w:t>
      </w:r>
      <w:r>
        <w:rPr>
          <w:rFonts w:hint="eastAsia" w:ascii="宋体" w:hAnsi="宋体" w:cs="宋体"/>
          <w:snapToGrid w:val="0"/>
          <w:kern w:val="0"/>
        </w:rPr>
        <w:t>+</w:t>
      </w:r>
      <w:r>
        <w:rPr>
          <w:rFonts w:hint="eastAsia" w:cs="宋体"/>
          <w:snapToGrid w:val="0"/>
          <w:kern w:val="0"/>
        </w:rPr>
        <w:t>2000</w:t>
      </w:r>
      <w:r>
        <w:rPr>
          <w:rFonts w:hint="eastAsia" w:ascii="宋体" w:hAnsi="宋体" w:cs="宋体"/>
          <w:snapToGrid w:val="0"/>
          <w:kern w:val="0"/>
        </w:rPr>
        <w:t>×10%+</w:t>
      </w:r>
      <w:r>
        <w:rPr>
          <w:rFonts w:hint="eastAsia" w:cs="宋体"/>
          <w:snapToGrid w:val="0"/>
          <w:kern w:val="0"/>
        </w:rPr>
        <w:t>2000</w:t>
      </w:r>
      <w:r>
        <w:rPr>
          <w:rFonts w:hint="eastAsia" w:ascii="宋体" w:hAnsi="宋体" w:cs="宋体"/>
          <w:snapToGrid w:val="0"/>
          <w:kern w:val="0"/>
        </w:rPr>
        <w:t>×2%+11</w:t>
      </w:r>
      <w:r>
        <w:rPr>
          <w:rFonts w:hint="eastAsia" w:cs="宋体"/>
          <w:snapToGrid w:val="0"/>
          <w:kern w:val="0"/>
        </w:rPr>
        <w:t>00</w:t>
      </w:r>
      <w:r>
        <w:rPr>
          <w:rFonts w:hint="eastAsia" w:ascii="宋体" w:hAnsi="宋体" w:cs="宋体"/>
          <w:snapToGrid w:val="0"/>
          <w:kern w:val="0"/>
        </w:rPr>
        <w:t>×</w:t>
      </w:r>
      <w:r>
        <w:rPr>
          <w:rFonts w:hint="eastAsia" w:cs="宋体"/>
          <w:snapToGrid w:val="0"/>
          <w:kern w:val="0"/>
        </w:rPr>
        <w:t>10</w:t>
      </w:r>
      <w:r>
        <w:rPr>
          <w:rFonts w:hint="eastAsia" w:ascii="宋体" w:hAnsi="宋体" w:cs="宋体"/>
          <w:snapToGrid w:val="0"/>
          <w:kern w:val="0"/>
        </w:rPr>
        <w:t>%+20</w:t>
      </w:r>
      <w:r>
        <w:rPr>
          <w:rFonts w:hint="eastAsia" w:cs="宋体"/>
          <w:snapToGrid w:val="0"/>
          <w:kern w:val="0"/>
        </w:rPr>
        <w:t>00</w:t>
      </w:r>
      <w:r>
        <w:rPr>
          <w:rFonts w:hint="eastAsia" w:ascii="宋体" w:hAnsi="宋体" w:cs="宋体"/>
          <w:snapToGrid w:val="0"/>
          <w:kern w:val="0"/>
        </w:rPr>
        <w:t>×2%+</w:t>
      </w:r>
      <w:r>
        <w:rPr>
          <w:rFonts w:hint="eastAsia" w:cs="宋体"/>
          <w:snapToGrid w:val="0"/>
          <w:kern w:val="0"/>
        </w:rPr>
        <w:t>9000</w:t>
      </w:r>
      <w:r>
        <w:rPr>
          <w:rFonts w:hint="eastAsia" w:ascii="宋体" w:hAnsi="宋体" w:cs="宋体"/>
          <w:snapToGrid w:val="0"/>
          <w:kern w:val="0"/>
        </w:rPr>
        <w:t>×10%+</w:t>
      </w:r>
      <w:r>
        <w:rPr>
          <w:rFonts w:hint="eastAsia" w:cs="宋体"/>
          <w:snapToGrid w:val="0"/>
          <w:kern w:val="0"/>
          <w:lang w:val="en-US" w:eastAsia="zh-CN"/>
        </w:rPr>
        <w:t>50</w:t>
      </w:r>
      <w:r>
        <w:rPr>
          <w:rFonts w:hint="eastAsia" w:ascii="宋体" w:hAnsi="宋体" w:cs="宋体"/>
          <w:snapToGrid w:val="0"/>
          <w:kern w:val="0"/>
        </w:rPr>
        <w:t>×1%+350</w:t>
      </w:r>
      <w:r>
        <w:rPr>
          <w:rFonts w:hint="eastAsia" w:cs="宋体"/>
          <w:snapToGrid w:val="0"/>
          <w:kern w:val="0"/>
        </w:rPr>
        <w:t>0</w:t>
      </w:r>
      <w:r>
        <w:rPr>
          <w:rFonts w:hint="eastAsia" w:ascii="宋体" w:hAnsi="宋体" w:cs="宋体"/>
          <w:snapToGrid w:val="0"/>
          <w:kern w:val="0"/>
        </w:rPr>
        <w:t>×5%+3000×8%+28</w:t>
      </w:r>
      <w:r>
        <w:rPr>
          <w:rFonts w:hint="eastAsia" w:cs="宋体"/>
          <w:snapToGrid w:val="0"/>
          <w:kern w:val="0"/>
        </w:rPr>
        <w:t>00</w:t>
      </w:r>
      <w:r>
        <w:rPr>
          <w:rFonts w:hint="eastAsia" w:ascii="宋体" w:hAnsi="宋体" w:cs="宋体"/>
          <w:snapToGrid w:val="0"/>
          <w:kern w:val="0"/>
        </w:rPr>
        <w:t>×2%+50</w:t>
      </w:r>
      <w:r>
        <w:rPr>
          <w:rFonts w:hint="eastAsia" w:cs="宋体"/>
          <w:snapToGrid w:val="0"/>
          <w:kern w:val="0"/>
        </w:rPr>
        <w:t>0</w:t>
      </w:r>
      <w:r>
        <w:rPr>
          <w:rFonts w:hint="eastAsia" w:ascii="宋体" w:hAnsi="宋体" w:cs="宋体"/>
          <w:snapToGrid w:val="0"/>
          <w:kern w:val="0"/>
        </w:rPr>
        <w:t>×3%+20</w:t>
      </w:r>
      <w:r>
        <w:rPr>
          <w:rFonts w:hint="eastAsia" w:cs="宋体"/>
          <w:snapToGrid w:val="0"/>
          <w:kern w:val="0"/>
        </w:rPr>
        <w:t>00</w:t>
      </w:r>
      <w:r>
        <w:rPr>
          <w:rFonts w:hint="eastAsia" w:ascii="宋体" w:hAnsi="宋体" w:cs="宋体"/>
          <w:snapToGrid w:val="0"/>
          <w:kern w:val="0"/>
        </w:rPr>
        <w:t>×1%+1</w:t>
      </w:r>
      <w:r>
        <w:rPr>
          <w:rFonts w:hint="eastAsia" w:cs="宋体"/>
          <w:snapToGrid w:val="0"/>
          <w:kern w:val="0"/>
        </w:rPr>
        <w:t>500</w:t>
      </w:r>
      <w:r>
        <w:rPr>
          <w:rFonts w:hint="eastAsia" w:ascii="宋体" w:hAnsi="宋体" w:cs="宋体"/>
          <w:snapToGrid w:val="0"/>
          <w:kern w:val="0"/>
        </w:rPr>
        <w:t>×1%+80</w:t>
      </w:r>
      <w:r>
        <w:rPr>
          <w:rFonts w:hint="eastAsia" w:cs="宋体"/>
          <w:snapToGrid w:val="0"/>
          <w:kern w:val="0"/>
        </w:rPr>
        <w:t>0</w:t>
      </w:r>
      <w:r>
        <w:rPr>
          <w:rFonts w:hint="eastAsia" w:ascii="宋体" w:hAnsi="宋体" w:cs="宋体"/>
          <w:snapToGrid w:val="0"/>
          <w:kern w:val="0"/>
        </w:rPr>
        <w:t>×3%+11</w:t>
      </w:r>
      <w:r>
        <w:rPr>
          <w:rFonts w:hint="eastAsia" w:cs="宋体"/>
          <w:snapToGrid w:val="0"/>
          <w:kern w:val="0"/>
        </w:rPr>
        <w:t>00</w:t>
      </w:r>
      <w:r>
        <w:rPr>
          <w:rFonts w:hint="eastAsia" w:ascii="宋体" w:hAnsi="宋体" w:cs="宋体"/>
          <w:snapToGrid w:val="0"/>
          <w:kern w:val="0"/>
        </w:rPr>
        <w:t>×</w:t>
      </w:r>
      <w:r>
        <w:rPr>
          <w:rFonts w:hint="eastAsia" w:cs="宋体"/>
          <w:snapToGrid w:val="0"/>
          <w:kern w:val="0"/>
        </w:rPr>
        <w:t>1</w:t>
      </w:r>
      <w:r>
        <w:rPr>
          <w:rFonts w:hint="eastAsia" w:ascii="宋体" w:hAnsi="宋体" w:cs="宋体"/>
          <w:snapToGrid w:val="0"/>
          <w:kern w:val="0"/>
        </w:rPr>
        <w:t>%+</w:t>
      </w:r>
      <w:r>
        <w:rPr>
          <w:rFonts w:hint="eastAsia" w:cs="宋体"/>
          <w:snapToGrid w:val="0"/>
          <w:kern w:val="0"/>
        </w:rPr>
        <w:t>1300</w:t>
      </w:r>
      <w:r>
        <w:rPr>
          <w:rFonts w:hint="eastAsia" w:ascii="宋体" w:hAnsi="宋体" w:cs="宋体"/>
          <w:snapToGrid w:val="0"/>
          <w:kern w:val="0"/>
        </w:rPr>
        <w:t>×</w:t>
      </w:r>
      <w:r>
        <w:rPr>
          <w:rFonts w:hint="eastAsia" w:cs="宋体"/>
          <w:snapToGrid w:val="0"/>
          <w:kern w:val="0"/>
        </w:rPr>
        <w:t>1</w:t>
      </w:r>
      <w:r>
        <w:rPr>
          <w:rFonts w:hint="eastAsia" w:ascii="宋体" w:hAnsi="宋体" w:cs="宋体"/>
          <w:snapToGrid w:val="0"/>
          <w:kern w:val="0"/>
        </w:rPr>
        <w:t>%+77</w:t>
      </w:r>
      <w:r>
        <w:rPr>
          <w:rFonts w:hint="eastAsia" w:cs="宋体"/>
          <w:snapToGrid w:val="0"/>
          <w:kern w:val="0"/>
        </w:rPr>
        <w:t>0</w:t>
      </w:r>
      <w:r>
        <w:rPr>
          <w:rFonts w:hint="eastAsia" w:ascii="宋体" w:hAnsi="宋体" w:cs="宋体"/>
          <w:snapToGrid w:val="0"/>
          <w:kern w:val="0"/>
        </w:rPr>
        <w:t>×2%+75</w:t>
      </w:r>
      <w:r>
        <w:rPr>
          <w:rFonts w:hint="eastAsia" w:cs="宋体"/>
          <w:snapToGrid w:val="0"/>
          <w:kern w:val="0"/>
        </w:rPr>
        <w:t>0</w:t>
      </w:r>
      <w:r>
        <w:rPr>
          <w:rFonts w:hint="eastAsia" w:ascii="宋体" w:hAnsi="宋体" w:cs="宋体"/>
          <w:snapToGrid w:val="0"/>
          <w:kern w:val="0"/>
        </w:rPr>
        <w:t>×</w:t>
      </w:r>
      <w:r>
        <w:rPr>
          <w:rFonts w:hint="eastAsia" w:cs="宋体"/>
          <w:snapToGrid w:val="0"/>
          <w:kern w:val="0"/>
        </w:rPr>
        <w:t>1</w:t>
      </w:r>
      <w:r>
        <w:rPr>
          <w:rFonts w:hint="eastAsia" w:ascii="宋体" w:hAnsi="宋体" w:cs="宋体"/>
          <w:snapToGrid w:val="0"/>
          <w:kern w:val="0"/>
        </w:rPr>
        <w:t>%+9</w:t>
      </w:r>
      <w:r>
        <w:rPr>
          <w:rFonts w:hint="eastAsia" w:cs="宋体"/>
          <w:snapToGrid w:val="0"/>
          <w:kern w:val="0"/>
        </w:rPr>
        <w:t>00</w:t>
      </w:r>
      <w:r>
        <w:rPr>
          <w:rFonts w:hint="eastAsia" w:ascii="宋体" w:hAnsi="宋体" w:cs="宋体"/>
          <w:snapToGrid w:val="0"/>
          <w:kern w:val="0"/>
        </w:rPr>
        <w:t>×1%+3</w:t>
      </w:r>
      <w:r>
        <w:rPr>
          <w:rFonts w:hint="eastAsia" w:cs="宋体"/>
          <w:snapToGrid w:val="0"/>
          <w:kern w:val="0"/>
        </w:rPr>
        <w:t>00</w:t>
      </w:r>
      <w:r>
        <w:rPr>
          <w:rFonts w:hint="eastAsia" w:ascii="宋体" w:hAnsi="宋体" w:cs="宋体"/>
          <w:snapToGrid w:val="0"/>
          <w:kern w:val="0"/>
        </w:rPr>
        <w:t>×</w:t>
      </w:r>
      <w:r>
        <w:rPr>
          <w:rFonts w:hint="eastAsia" w:cs="宋体"/>
          <w:snapToGrid w:val="0"/>
          <w:kern w:val="0"/>
        </w:rPr>
        <w:t>1</w:t>
      </w:r>
      <w:r>
        <w:rPr>
          <w:rFonts w:hint="eastAsia" w:ascii="宋体" w:hAnsi="宋体" w:cs="宋体"/>
          <w:snapToGrid w:val="0"/>
          <w:kern w:val="0"/>
        </w:rPr>
        <w:t>%+</w:t>
      </w:r>
      <w:r>
        <w:rPr>
          <w:rFonts w:hint="eastAsia" w:cs="宋体"/>
          <w:snapToGrid w:val="0"/>
          <w:kern w:val="0"/>
        </w:rPr>
        <w:t>2950</w:t>
      </w:r>
      <w:r>
        <w:rPr>
          <w:rFonts w:hint="eastAsia" w:ascii="宋体" w:hAnsi="宋体" w:cs="宋体"/>
          <w:snapToGrid w:val="0"/>
          <w:kern w:val="0"/>
        </w:rPr>
        <w:t>×2%+</w:t>
      </w:r>
      <w:r>
        <w:rPr>
          <w:rFonts w:hint="eastAsia" w:cs="宋体"/>
          <w:snapToGrid w:val="0"/>
          <w:kern w:val="0"/>
        </w:rPr>
        <w:t>2500</w:t>
      </w:r>
      <w:r>
        <w:rPr>
          <w:rFonts w:hint="eastAsia" w:ascii="宋体" w:hAnsi="宋体" w:cs="宋体"/>
          <w:snapToGrid w:val="0"/>
          <w:kern w:val="0"/>
        </w:rPr>
        <w:t>×2%+2500×2%+3</w:t>
      </w:r>
      <w:r>
        <w:rPr>
          <w:rFonts w:hint="eastAsia" w:cs="宋体"/>
          <w:snapToGrid w:val="0"/>
          <w:kern w:val="0"/>
        </w:rPr>
        <w:t>000</w:t>
      </w:r>
      <w:r>
        <w:rPr>
          <w:rFonts w:hint="eastAsia" w:ascii="宋体" w:hAnsi="宋体" w:cs="宋体"/>
          <w:snapToGrid w:val="0"/>
          <w:kern w:val="0"/>
        </w:rPr>
        <w:t>×</w:t>
      </w:r>
      <w:r>
        <w:rPr>
          <w:rFonts w:hint="eastAsia" w:cs="宋体"/>
          <w:snapToGrid w:val="0"/>
          <w:kern w:val="0"/>
        </w:rPr>
        <w:t>1</w:t>
      </w:r>
      <w:r>
        <w:rPr>
          <w:rFonts w:hint="eastAsia" w:ascii="宋体" w:hAnsi="宋体" w:cs="宋体"/>
          <w:snapToGrid w:val="0"/>
          <w:kern w:val="0"/>
        </w:rPr>
        <w:t>%+30</w:t>
      </w:r>
      <w:r>
        <w:rPr>
          <w:rFonts w:hint="eastAsia" w:cs="宋体"/>
          <w:snapToGrid w:val="0"/>
          <w:kern w:val="0"/>
        </w:rPr>
        <w:t>00</w:t>
      </w:r>
      <w:r>
        <w:rPr>
          <w:rFonts w:hint="eastAsia" w:ascii="宋体" w:hAnsi="宋体" w:cs="宋体"/>
          <w:snapToGrid w:val="0"/>
          <w:kern w:val="0"/>
        </w:rPr>
        <w:t>×</w:t>
      </w:r>
      <w:r>
        <w:rPr>
          <w:rFonts w:hint="eastAsia" w:cs="宋体"/>
          <w:snapToGrid w:val="0"/>
          <w:kern w:val="0"/>
        </w:rPr>
        <w:t>1</w:t>
      </w:r>
      <w:r>
        <w:rPr>
          <w:rFonts w:hint="eastAsia" w:ascii="宋体" w:hAnsi="宋体" w:cs="宋体"/>
          <w:snapToGrid w:val="0"/>
          <w:kern w:val="0"/>
        </w:rPr>
        <w:t>%+</w:t>
      </w:r>
      <w:r>
        <w:rPr>
          <w:rFonts w:hint="eastAsia" w:cs="宋体"/>
          <w:snapToGrid w:val="0"/>
          <w:kern w:val="0"/>
        </w:rPr>
        <w:t>2300</w:t>
      </w:r>
      <w:r>
        <w:rPr>
          <w:rFonts w:hint="eastAsia" w:ascii="宋体" w:hAnsi="宋体" w:cs="宋体"/>
          <w:snapToGrid w:val="0"/>
          <w:kern w:val="0"/>
        </w:rPr>
        <w:t>×5%+</w:t>
      </w:r>
      <w:r>
        <w:rPr>
          <w:rFonts w:hint="eastAsia" w:cs="宋体"/>
          <w:snapToGrid w:val="0"/>
          <w:kern w:val="0"/>
        </w:rPr>
        <w:t>2300</w:t>
      </w:r>
      <w:r>
        <w:rPr>
          <w:rFonts w:hint="eastAsia" w:ascii="宋体" w:hAnsi="宋体" w:cs="宋体"/>
          <w:snapToGrid w:val="0"/>
          <w:kern w:val="0"/>
        </w:rPr>
        <w:t>×</w:t>
      </w:r>
      <w:r>
        <w:rPr>
          <w:rFonts w:hint="eastAsia" w:ascii="宋体" w:hAnsi="宋体" w:cs="宋体"/>
          <w:snapToGrid w:val="0"/>
          <w:kern w:val="0"/>
          <w:highlight w:val="none"/>
        </w:rPr>
        <w:t>5%=347</w:t>
      </w:r>
      <w:r>
        <w:rPr>
          <w:rFonts w:hint="eastAsia" w:ascii="宋体" w:hAnsi="宋体" w:cs="宋体"/>
          <w:snapToGrid w:val="0"/>
          <w:kern w:val="0"/>
          <w:highlight w:val="none"/>
          <w:lang w:val="en-US" w:eastAsia="zh-CN"/>
        </w:rPr>
        <w:t>5</w:t>
      </w:r>
      <w:r>
        <w:rPr>
          <w:rFonts w:hint="eastAsia" w:ascii="宋体" w:hAnsi="宋体" w:cs="宋体"/>
          <w:snapToGrid w:val="0"/>
          <w:kern w:val="0"/>
          <w:highlight w:val="none"/>
        </w:rPr>
        <w:t>.40</w:t>
      </w:r>
      <w:r>
        <w:rPr>
          <w:rFonts w:hint="eastAsia" w:cs="宋体"/>
          <w:snapToGrid w:val="0"/>
          <w:kern w:val="0"/>
          <w:highlight w:val="none"/>
        </w:rPr>
        <w:t>，</w:t>
      </w:r>
      <w:r>
        <w:rPr>
          <w:rFonts w:hint="eastAsia" w:ascii="宋体" w:hAnsi="宋体" w:cs="宋体"/>
          <w:snapToGrid w:val="0"/>
          <w:color w:val="000000"/>
          <w:kern w:val="0"/>
          <w:highlight w:val="none"/>
        </w:rPr>
        <w:t>即评审价为347</w:t>
      </w:r>
      <w:r>
        <w:rPr>
          <w:rFonts w:hint="eastAsia" w:ascii="宋体" w:hAnsi="宋体" w:cs="宋体"/>
          <w:snapToGrid w:val="0"/>
          <w:color w:val="000000"/>
          <w:kern w:val="0"/>
          <w:highlight w:val="none"/>
          <w:lang w:val="en-US" w:eastAsia="zh-CN"/>
        </w:rPr>
        <w:t>5</w:t>
      </w:r>
      <w:r>
        <w:rPr>
          <w:rFonts w:hint="eastAsia" w:ascii="宋体" w:hAnsi="宋体" w:cs="宋体"/>
          <w:snapToGrid w:val="0"/>
          <w:color w:val="000000"/>
          <w:kern w:val="0"/>
          <w:highlight w:val="none"/>
        </w:rPr>
        <w:t>.40元</w:t>
      </w:r>
      <w:r>
        <w:rPr>
          <w:rFonts w:hint="eastAsia" w:ascii="宋体" w:hAnsi="宋体" w:cs="宋体"/>
          <w:snapToGrid w:val="0"/>
          <w:kern w:val="0"/>
          <w:highlight w:val="none"/>
        </w:rPr>
        <w:t>，即评审价为347</w:t>
      </w:r>
      <w:r>
        <w:rPr>
          <w:rFonts w:hint="eastAsia" w:ascii="宋体" w:hAnsi="宋体" w:cs="宋体"/>
          <w:snapToGrid w:val="0"/>
          <w:kern w:val="0"/>
          <w:highlight w:val="none"/>
          <w:lang w:val="en-US" w:eastAsia="zh-CN"/>
        </w:rPr>
        <w:t>5</w:t>
      </w:r>
      <w:r>
        <w:rPr>
          <w:rFonts w:hint="eastAsia" w:ascii="宋体" w:hAnsi="宋体" w:cs="宋体"/>
          <w:snapToGrid w:val="0"/>
          <w:kern w:val="0"/>
          <w:highlight w:val="none"/>
        </w:rPr>
        <w:t>.40元；投标人须按上表报出各项单价</w:t>
      </w:r>
      <w:r>
        <w:rPr>
          <w:rFonts w:hint="eastAsia" w:ascii="宋体" w:hAnsi="宋体" w:cs="宋体"/>
          <w:snapToGrid w:val="0"/>
          <w:kern w:val="0"/>
        </w:rPr>
        <w:t>,投标人单价报价不得超过对应的最高单价限价。</w:t>
      </w:r>
      <w:r>
        <w:rPr>
          <w:rFonts w:hint="eastAsia" w:ascii="宋体" w:hAnsi="宋体" w:cs="宋体"/>
          <w:snapToGrid w:val="0"/>
          <w:color w:val="000000"/>
          <w:kern w:val="0"/>
        </w:rPr>
        <w:t>该评审价不作为中标金额，仅作报价得分计算使用；结算金额</w:t>
      </w:r>
      <w:r>
        <w:rPr>
          <w:rFonts w:hint="eastAsia" w:ascii="宋体" w:hAnsi="宋体" w:cs="宋体"/>
          <w:snapToGrid w:val="0"/>
          <w:kern w:val="0"/>
        </w:rPr>
        <w:t>以报价人分项单价报价金额为准，按实结算。</w:t>
      </w:r>
      <w:r>
        <w:rPr>
          <w:rFonts w:hint="eastAsia" w:ascii="宋体" w:hAnsi="宋体"/>
          <w:b/>
          <w:bCs/>
        </w:rPr>
        <w:t>以上报价限价（包含代理费、官费，我司不享受官费减免政策）</w:t>
      </w:r>
      <w:r>
        <w:rPr>
          <w:rFonts w:hint="eastAsia"/>
          <w:b/>
          <w:bCs/>
        </w:rPr>
        <w:t>，</w:t>
      </w:r>
      <w:r>
        <w:rPr>
          <w:rFonts w:hint="eastAsia" w:ascii="宋体" w:hAnsi="宋体" w:cs="宋体"/>
          <w:b/>
          <w:bCs/>
          <w:color w:val="000000"/>
        </w:rPr>
        <w:t>未按上述要求报价的，按无效投标处理。</w:t>
      </w:r>
      <w:r>
        <w:rPr>
          <w:rFonts w:hint="eastAsia" w:cs="宋体"/>
          <w:b/>
          <w:bCs/>
          <w:color w:val="000000"/>
        </w:rPr>
        <w:t>合同履行过程中</w:t>
      </w:r>
      <w:r>
        <w:rPr>
          <w:rFonts w:hint="eastAsia" w:ascii="宋体" w:hAnsi="宋体" w:cs="宋体"/>
          <w:b/>
          <w:bCs/>
          <w:color w:val="000000"/>
        </w:rPr>
        <w:t>按照</w:t>
      </w:r>
      <w:r>
        <w:rPr>
          <w:rFonts w:hint="eastAsia" w:cs="宋体"/>
          <w:b/>
          <w:bCs/>
          <w:color w:val="000000"/>
        </w:rPr>
        <w:t>业务发生时</w:t>
      </w:r>
      <w:r>
        <w:rPr>
          <w:rFonts w:hint="eastAsia" w:ascii="宋体" w:hAnsi="宋体"/>
          <w:b/>
          <w:bCs/>
        </w:rPr>
        <w:t>官费和年费</w:t>
      </w:r>
      <w:r>
        <w:rPr>
          <w:rFonts w:hint="eastAsia"/>
          <w:b/>
          <w:bCs/>
        </w:rPr>
        <w:t>的</w:t>
      </w:r>
      <w:r>
        <w:rPr>
          <w:rFonts w:hint="eastAsia" w:ascii="宋体" w:hAnsi="宋体"/>
          <w:b/>
          <w:bCs/>
        </w:rPr>
        <w:t>国家实收标准支付给报价</w:t>
      </w:r>
      <w:r>
        <w:rPr>
          <w:rFonts w:hint="eastAsia"/>
          <w:b/>
          <w:bCs/>
        </w:rPr>
        <w:t>人</w:t>
      </w:r>
      <w:r>
        <w:rPr>
          <w:rFonts w:hint="eastAsia" w:ascii="宋体" w:hAnsi="宋体"/>
          <w:b/>
          <w:bCs/>
        </w:rPr>
        <w:t>，由成交</w:t>
      </w:r>
      <w:r>
        <w:rPr>
          <w:rFonts w:hint="eastAsia"/>
          <w:b/>
          <w:bCs/>
        </w:rPr>
        <w:t>人</w:t>
      </w:r>
      <w:r>
        <w:rPr>
          <w:rFonts w:hint="eastAsia" w:ascii="宋体" w:hAnsi="宋体"/>
          <w:b/>
          <w:bCs/>
        </w:rPr>
        <w:t>代缴。</w:t>
      </w:r>
    </w:p>
    <w:p>
      <w:pPr>
        <w:pStyle w:val="44"/>
        <w:widowControl/>
        <w:spacing w:line="360" w:lineRule="auto"/>
        <w:ind w:firstLine="420"/>
        <w:rPr>
          <w:rFonts w:ascii="宋体" w:hAnsi="宋体"/>
          <w:b/>
          <w:bCs/>
        </w:rPr>
      </w:pPr>
    </w:p>
    <w:p>
      <w:pPr>
        <w:pStyle w:val="40"/>
        <w:snapToGrid w:val="0"/>
        <w:spacing w:line="360" w:lineRule="auto"/>
        <w:ind w:left="0"/>
        <w:jc w:val="both"/>
        <w:rPr>
          <w:rFonts w:ascii="黑体" w:hAnsi="黑体" w:eastAsia="黑体" w:cs="黑体"/>
          <w:bCs/>
          <w:smallCaps w:val="0"/>
          <w:color w:val="auto"/>
        </w:rPr>
      </w:pPr>
      <w:r>
        <w:rPr>
          <w:rFonts w:hint="eastAsia" w:ascii="黑体" w:hAnsi="黑体" w:eastAsia="黑体" w:cs="黑体"/>
          <w:bCs/>
          <w:smallCaps w:val="0"/>
          <w:color w:val="auto"/>
        </w:rPr>
        <w:t>（二）服务要求：</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专利申请代理工作包括（不限于）：在与发明人充分沟通的基础上，撰写及提交专利申请文件、审查意见答复建议和正式文本、主动修改文本及要求优先权文件；提出实质审查请求；提出复审请求，撰写及提交复审过程中的各种文件；著录项目变更等手续；提交其他各种文件，转达各种官方文件；办理授权登记的各种手续；协助监管、提醒。</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著作权、商标等知识产权代理工作；</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★配合提供知识产权战略制定，专利案件法律咨询；专利管理制度咨询服务</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★合同期内参与2次采购人科创委立项会议前的项目预审，重点负责提供可进行知识产权相关资质证书的申办建议与方向。定期或者不定期的进行不少于10人次的专利知识培训，协助采购人进行专利知识普及；</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案件代理过程中根据采购人的备案表受理案件，案件受理后及时将受理通知书等原件文件转给采购人，案件结案授权后将授权证书等原件一并及时转交采购人存档并做好交接手续。每半年提供专利申请、授权明细、代缴的“专利官费（申请费、授权、年费等）票据等结算费用。</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投标人拥有熟悉专利布局、知识产权诉讼、知识产权贯标等知识产权业务的工作人员，投标人须提供负责本项目的相关工作人员的名单（姓名、岗位、联系方式)，以及相关学历证书或职称、职业证书，劳动合同复印件，人员投标截止时间前近</w:t>
      </w:r>
      <w:r>
        <w:rPr>
          <w:rFonts w:ascii="宋体" w:hAnsi="宋体" w:cs="宋体"/>
          <w:color w:val="000000"/>
          <w:sz w:val="21"/>
          <w:szCs w:val="21"/>
        </w:rPr>
        <w:t>3</w:t>
      </w:r>
      <w:r>
        <w:rPr>
          <w:rFonts w:hint="eastAsia" w:ascii="宋体" w:hAnsi="宋体" w:cs="宋体"/>
          <w:color w:val="000000"/>
          <w:sz w:val="21"/>
          <w:szCs w:val="21"/>
        </w:rPr>
        <w:t>个月的社保缴费证明。否则按投标无效处理。</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报价人要求至少指定专人任项目负责人，提供专职专利代理人服务，负责组织协调采购人的专利代理服务事宜，收到采购人知识产权提案后，10个工作日内提交相关的申请，并定期提供培训、在采购人需要时2小时内到达现场进行沟通讨论，以保证专利质量，投标人对此须进行书面承诺，否则按投标无效处理。</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负责人应当保持相对稳定，如采购人认为负责人员不能胜任有关工作，中标人应及时调换；中标人因自身原因需要调换负责人员，应当提前15个工作日书面通知采购人，并在征得采购人同意后方可办理工作交接手续。</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★中标人需严格遵守专利代理条列，秉承诚实守信的原则做好专利事务代理工作。</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★中标人对采购人提供的技术资料负有保密责任。</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★中标人收到采购人提供的技术资料后，需进行在先技术检索，出具检索简报，对其授权可能性进行评估；对于授权可能性较高的专利申请，应在10个工作日内提出申请方案和申请进度计划。</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★中标人需慎重对待采购人的专利申请要求，中标人在项目过程中应认真评估采购人专利申请的授权可能性，给出指导性意见，提高采购人专利授权成功率。</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采购人可随时向中标人询问专利申请当前的进度事宜。中标人指定的项目负责人为采购人的询问对象。</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中标人协助采购人申请政府部门有关“专利事务的资助和奖励”，并及时告知相关最新政策。</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中标人应为采购人提供专业、优质的代理服务，不得拖延或推迟采购人下达的专利代理工作。</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中标人应与采购人各专利申请人充分沟通，且按专利申请人的具体项目服务要求提供专业服务，确保专利申请高效、及时。</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收到发明人投诉的，包括案件处理反馈时间过长、不能正确理解技术方案、答复专利申请审查意见时的沟通、拟稿、提交不及时、因错别字以及代理原因造成补正等，将纳入供应商评价机制。</w:t>
      </w:r>
    </w:p>
    <w:p>
      <w:pPr>
        <w:pStyle w:val="44"/>
        <w:widowControl/>
        <w:numPr>
          <w:ilvl w:val="0"/>
          <w:numId w:val="3"/>
        </w:numPr>
        <w:spacing w:line="360" w:lineRule="auto"/>
        <w:ind w:left="-589" w:firstLine="420"/>
        <w:rPr>
          <w:rFonts w:ascii="宋体" w:hAnsi="宋体" w:cs="宋体"/>
          <w:b/>
          <w:bCs/>
          <w:color w:val="000000"/>
          <w:sz w:val="21"/>
          <w:szCs w:val="21"/>
        </w:rPr>
      </w:pPr>
      <w:r>
        <w:rPr>
          <w:rFonts w:hint="eastAsia" w:ascii="宋体" w:hAnsi="宋体" w:cs="宋体"/>
          <w:color w:val="000000"/>
          <w:sz w:val="21"/>
          <w:szCs w:val="21"/>
        </w:rPr>
        <w:t>中标人应建立每一份专利申请的文档汇集并于每一件专利授权或不授权时移交给采购人。所有授权证书应及时移交给采购人。</w:t>
      </w:r>
    </w:p>
    <w:p>
      <w:pPr>
        <w:pStyle w:val="44"/>
        <w:widowControl/>
        <w:numPr>
          <w:ilvl w:val="0"/>
          <w:numId w:val="3"/>
        </w:numPr>
        <w:spacing w:line="360" w:lineRule="auto"/>
        <w:ind w:left="-589" w:firstLine="420"/>
        <w:rPr>
          <w:rFonts w:ascii="宋体" w:hAnsi="宋体" w:cs="宋体"/>
          <w:color w:val="000000"/>
          <w:sz w:val="21"/>
          <w:szCs w:val="21"/>
        </w:rPr>
      </w:pPr>
      <w:r>
        <w:rPr>
          <w:rFonts w:hint="eastAsia" w:ascii="宋体" w:hAnsi="宋体" w:cs="宋体"/>
          <w:color w:val="000000"/>
          <w:sz w:val="21"/>
          <w:szCs w:val="21"/>
        </w:rPr>
        <w:t>★投标人需具有良好信誉和服务意识，并愿意接受采购人有关知识产权代理机构的管理与具体要求。投标人须提供专项书面承诺函。</w:t>
      </w:r>
    </w:p>
    <w:p>
      <w:pPr>
        <w:pStyle w:val="44"/>
        <w:widowControl/>
        <w:numPr>
          <w:ilvl w:val="255"/>
          <w:numId w:val="0"/>
        </w:numPr>
        <w:spacing w:line="360" w:lineRule="auto"/>
        <w:ind w:left="-169"/>
        <w:jc w:val="left"/>
        <w:rPr>
          <w:rFonts w:ascii="宋体" w:hAnsi="宋体" w:cs="宋体"/>
          <w:color w:val="000000"/>
          <w:sz w:val="21"/>
          <w:szCs w:val="21"/>
        </w:rPr>
      </w:pPr>
      <w:r>
        <w:rPr>
          <w:rFonts w:hint="eastAsia" w:ascii="宋体" w:hAnsi="宋体" w:cs="宋体"/>
          <w:color w:val="000000"/>
          <w:sz w:val="21"/>
          <w:szCs w:val="21"/>
        </w:rPr>
        <w:t>2.20合同有效期为1+1年，如第一个合同年度内成交人代理项目成功率低于80%（但非成交方主观因素导致的失败不予计算），合同自然中止；每一个合同年度的结算上限为人民币13万。</w:t>
      </w:r>
    </w:p>
    <w:p>
      <w:pPr>
        <w:pStyle w:val="40"/>
        <w:numPr>
          <w:ilvl w:val="0"/>
          <w:numId w:val="4"/>
        </w:numPr>
        <w:snapToGrid w:val="0"/>
        <w:spacing w:line="360" w:lineRule="auto"/>
        <w:ind w:left="0"/>
        <w:jc w:val="both"/>
        <w:rPr>
          <w:rFonts w:ascii="黑体" w:hAnsi="黑体" w:eastAsia="黑体" w:cs="黑体"/>
          <w:bCs/>
          <w:smallCaps w:val="0"/>
          <w:color w:val="auto"/>
        </w:rPr>
      </w:pPr>
      <w:r>
        <w:rPr>
          <w:rFonts w:hint="eastAsia" w:ascii="黑体" w:hAnsi="黑体" w:eastAsia="黑体" w:cs="黑体"/>
          <w:bCs/>
          <w:smallCaps w:val="0"/>
          <w:color w:val="auto"/>
        </w:rPr>
        <w:t>付款：</w:t>
      </w:r>
    </w:p>
    <w:p>
      <w:pPr>
        <w:pStyle w:val="44"/>
        <w:widowControl/>
        <w:numPr>
          <w:ilvl w:val="255"/>
          <w:numId w:val="0"/>
        </w:numPr>
        <w:spacing w:line="360" w:lineRule="auto"/>
        <w:ind w:left="420"/>
        <w:rPr>
          <w:rFonts w:ascii="宋体" w:hAnsi="宋体" w:cs="宋体"/>
          <w:color w:val="000000"/>
          <w:sz w:val="21"/>
          <w:szCs w:val="21"/>
        </w:rPr>
      </w:pPr>
      <w:r>
        <w:rPr>
          <w:rFonts w:hint="eastAsia" w:ascii="宋体" w:hAnsi="宋体" w:cs="宋体"/>
          <w:color w:val="000000"/>
          <w:sz w:val="21"/>
          <w:szCs w:val="21"/>
        </w:rPr>
        <w:t>分次付款。每三个月付款一次，根据本期间甲方收到受理通知书的数量，且在收到乙方开具增值税专用发票后30个工作日内，甲方向乙方支付总费用的100 %。</w:t>
      </w:r>
    </w:p>
    <w:p>
      <w:pPr>
        <w:numPr>
          <w:ilvl w:val="255"/>
          <w:numId w:val="0"/>
        </w:numPr>
      </w:pPr>
    </w:p>
    <w:p>
      <w:pPr>
        <w:pStyle w:val="44"/>
        <w:widowControl/>
        <w:spacing w:line="360" w:lineRule="auto"/>
        <w:ind w:firstLine="420" w:firstLineChars="200"/>
        <w:rPr>
          <w:rFonts w:ascii="宋体" w:hAnsi="宋体" w:cs="宋体"/>
          <w:color w:val="000000"/>
          <w:sz w:val="21"/>
          <w:szCs w:val="21"/>
        </w:rPr>
      </w:pPr>
    </w:p>
    <w:p>
      <w:pPr>
        <w:numPr>
          <w:ilvl w:val="0"/>
          <w:numId w:val="5"/>
        </w:numPr>
        <w:spacing w:after="240"/>
        <w:rPr>
          <w:rFonts w:eastAsia="黑体"/>
          <w:b/>
          <w:sz w:val="28"/>
          <w:szCs w:val="28"/>
        </w:rPr>
      </w:pPr>
      <w:r>
        <w:rPr>
          <w:rFonts w:hint="eastAsia" w:eastAsia="黑体"/>
          <w:b/>
          <w:sz w:val="28"/>
          <w:szCs w:val="28"/>
        </w:rPr>
        <w:t>采购文件</w:t>
      </w:r>
      <w:bookmarkEnd w:id="4"/>
      <w:bookmarkEnd w:id="5"/>
      <w:bookmarkEnd w:id="6"/>
      <w:bookmarkStart w:id="7" w:name="_Toc22149447"/>
    </w:p>
    <w:p>
      <w:pPr>
        <w:spacing w:after="240"/>
        <w:rPr>
          <w:b/>
          <w:bCs/>
        </w:rPr>
      </w:pPr>
      <w:r>
        <w:rPr>
          <w:rFonts w:hint="eastAsia"/>
          <w:b/>
          <w:bCs/>
        </w:rPr>
        <w:t>3.采购文件构成</w:t>
      </w:r>
      <w:bookmarkEnd w:id="7"/>
    </w:p>
    <w:p>
      <w:pPr>
        <w:spacing w:after="240"/>
      </w:pPr>
      <w:r>
        <w:rPr>
          <w:rFonts w:hint="eastAsia"/>
        </w:rPr>
        <w:t>采购文件包括五个部分：邀请函 、报价人须知、合同条款、项目报价文件格式及用户需求书</w:t>
      </w:r>
      <w:bookmarkStart w:id="8" w:name="_Toc22149448"/>
      <w:r>
        <w:rPr>
          <w:rFonts w:hint="eastAsia"/>
        </w:rPr>
        <w:t>。</w:t>
      </w:r>
    </w:p>
    <w:p>
      <w:pPr>
        <w:spacing w:after="240"/>
      </w:pPr>
      <w:r>
        <w:rPr>
          <w:rFonts w:hint="eastAsia"/>
          <w:b/>
          <w:bCs/>
          <w:szCs w:val="22"/>
        </w:rPr>
        <w:t>4.采购文件的澄清</w:t>
      </w:r>
      <w:bookmarkEnd w:id="8"/>
      <w:r>
        <w:rPr>
          <w:rFonts w:hint="eastAsia"/>
          <w:b/>
          <w:bCs/>
          <w:szCs w:val="22"/>
        </w:rPr>
        <w:t>及修改</w:t>
      </w:r>
    </w:p>
    <w:p>
      <w:pPr>
        <w:spacing w:after="240"/>
        <w:rPr>
          <w:rFonts w:ascii="宋体" w:hAnsi="宋体"/>
          <w:color w:val="000000"/>
        </w:rPr>
      </w:pPr>
      <w:r>
        <w:rPr>
          <w:rFonts w:hint="eastAsia"/>
          <w:szCs w:val="22"/>
        </w:rPr>
        <w:t>4.1</w:t>
      </w:r>
      <w:r>
        <w:rPr>
          <w:rFonts w:hint="eastAsia" w:ascii="宋体" w:hAnsi="宋体"/>
          <w:color w:val="000000"/>
        </w:rPr>
        <w:t>采购人可以对已发出的采购文件进行必要的澄清或者修改。</w:t>
      </w:r>
    </w:p>
    <w:p>
      <w:pPr>
        <w:spacing w:after="240"/>
        <w:rPr>
          <w:rFonts w:ascii="宋体" w:hAnsi="宋体"/>
          <w:color w:val="000000"/>
        </w:rPr>
      </w:pPr>
      <w:r>
        <w:rPr>
          <w:rFonts w:hint="eastAsia"/>
          <w:szCs w:val="22"/>
        </w:rPr>
        <w:t xml:space="preserve">4.2 </w:t>
      </w:r>
      <w:r>
        <w:rPr>
          <w:rFonts w:hint="eastAsia"/>
        </w:rPr>
        <w:t>报价人对采购文件有异议的，应当在</w:t>
      </w:r>
      <w:r>
        <w:rPr>
          <w:rFonts w:hint="eastAsia" w:ascii="宋体" w:hAnsi="宋体"/>
          <w:color w:val="000000"/>
          <w:highlight w:val="none"/>
        </w:rPr>
        <w:t>2021</w:t>
      </w:r>
      <w:r>
        <w:rPr>
          <w:rFonts w:ascii="宋体" w:hAnsi="宋体"/>
          <w:color w:val="000000"/>
          <w:highlight w:val="none"/>
        </w:rPr>
        <w:t>年</w:t>
      </w:r>
      <w:r>
        <w:rPr>
          <w:rFonts w:hint="eastAsia" w:ascii="宋体" w:hAnsi="宋体"/>
          <w:color w:val="000000"/>
          <w:highlight w:val="none"/>
          <w:lang w:val="en-US" w:eastAsia="zh-CN"/>
        </w:rPr>
        <w:t>8</w:t>
      </w:r>
      <w:r>
        <w:rPr>
          <w:rFonts w:ascii="宋体" w:hAnsi="宋体"/>
          <w:color w:val="000000"/>
          <w:highlight w:val="none"/>
        </w:rPr>
        <w:t>月</w:t>
      </w:r>
      <w:r>
        <w:rPr>
          <w:rFonts w:hint="eastAsia" w:ascii="宋体" w:hAnsi="宋体"/>
          <w:color w:val="000000"/>
          <w:highlight w:val="none"/>
          <w:lang w:val="en-US" w:eastAsia="zh-CN"/>
        </w:rPr>
        <w:t>5</w:t>
      </w:r>
      <w:r>
        <w:rPr>
          <w:rFonts w:ascii="宋体" w:hAnsi="宋体"/>
          <w:color w:val="000000"/>
          <w:highlight w:val="none"/>
        </w:rPr>
        <w:t>日</w:t>
      </w:r>
      <w:r>
        <w:rPr>
          <w:rFonts w:hint="eastAsia" w:ascii="宋体" w:hAnsi="宋体"/>
          <w:color w:val="000000"/>
          <w:highlight w:val="none"/>
        </w:rPr>
        <w:t>1</w:t>
      </w:r>
      <w:r>
        <w:rPr>
          <w:rFonts w:hint="eastAsia" w:ascii="宋体" w:hAnsi="宋体"/>
          <w:color w:val="000000"/>
          <w:highlight w:val="none"/>
          <w:lang w:val="en-US" w:eastAsia="zh-CN"/>
        </w:rPr>
        <w:t>7</w:t>
      </w:r>
      <w:r>
        <w:rPr>
          <w:rFonts w:ascii="宋体" w:hAnsi="宋体"/>
          <w:color w:val="000000"/>
          <w:highlight w:val="none"/>
        </w:rPr>
        <w:t>：</w:t>
      </w:r>
      <w:r>
        <w:rPr>
          <w:rFonts w:hint="eastAsia" w:ascii="宋体" w:hAnsi="宋体"/>
          <w:color w:val="000000"/>
          <w:highlight w:val="none"/>
        </w:rPr>
        <w:t>00</w:t>
      </w:r>
      <w:r>
        <w:rPr>
          <w:rFonts w:ascii="宋体" w:hAnsi="宋体"/>
          <w:color w:val="000000"/>
        </w:rPr>
        <w:t>前</w:t>
      </w:r>
      <w:r>
        <w:rPr>
          <w:rFonts w:hint="eastAsia" w:ascii="宋体" w:hAnsi="宋体"/>
          <w:color w:val="000000"/>
        </w:rPr>
        <w:t>以书面形式提出，纸质版加盖公章扫描件以电子邮件方式发送至采购</w:t>
      </w:r>
      <w:bookmarkStart w:id="48" w:name="_GoBack"/>
      <w:bookmarkEnd w:id="48"/>
      <w:r>
        <w:rPr>
          <w:rFonts w:hint="eastAsia" w:ascii="宋体" w:hAnsi="宋体"/>
          <w:color w:val="000000"/>
        </w:rPr>
        <w:t>人邮箱；采购人认为确有必要答复的，将于递交报价文件截止时间前以书面形式予以答复</w:t>
      </w:r>
    </w:p>
    <w:p>
      <w:pPr>
        <w:spacing w:after="240"/>
      </w:pPr>
      <w:r>
        <w:rPr>
          <w:rFonts w:hint="eastAsia"/>
          <w:szCs w:val="22"/>
        </w:rPr>
        <w:t>4.3采购项目</w:t>
      </w:r>
      <w:r>
        <w:rPr>
          <w:rFonts w:hint="eastAsia"/>
        </w:rPr>
        <w:t>出现澄清及修改情况时，采购人可顺延报价文件递交截止时间。</w:t>
      </w:r>
      <w:bookmarkStart w:id="9" w:name="_Toc22149451"/>
    </w:p>
    <w:p>
      <w:pPr>
        <w:numPr>
          <w:ilvl w:val="0"/>
          <w:numId w:val="5"/>
        </w:numPr>
        <w:spacing w:after="240"/>
        <w:rPr>
          <w:rFonts w:eastAsia="黑体"/>
          <w:b/>
          <w:sz w:val="28"/>
          <w:szCs w:val="28"/>
        </w:rPr>
      </w:pPr>
      <w:r>
        <w:rPr>
          <w:rFonts w:hint="eastAsia" w:eastAsia="黑体"/>
          <w:b/>
          <w:sz w:val="28"/>
          <w:szCs w:val="28"/>
        </w:rPr>
        <w:t>报价文件的编制</w:t>
      </w:r>
      <w:bookmarkEnd w:id="9"/>
      <w:bookmarkStart w:id="10" w:name="_Toc22149452"/>
    </w:p>
    <w:p>
      <w:pPr>
        <w:spacing w:after="240"/>
        <w:rPr>
          <w:rFonts w:ascii="宋体" w:hAnsi="宋体" w:cs="宋体"/>
          <w:b/>
          <w:bCs/>
          <w:szCs w:val="21"/>
        </w:rPr>
      </w:pPr>
      <w:r>
        <w:rPr>
          <w:rFonts w:hint="eastAsia" w:ascii="宋体" w:hAnsi="宋体" w:cs="宋体"/>
          <w:b/>
          <w:bCs/>
          <w:szCs w:val="21"/>
        </w:rPr>
        <w:t>5. 项目报价文件</w:t>
      </w:r>
      <w:bookmarkEnd w:id="10"/>
    </w:p>
    <w:p>
      <w:pPr>
        <w:tabs>
          <w:tab w:val="left" w:pos="851"/>
        </w:tabs>
        <w:spacing w:after="240"/>
      </w:pPr>
      <w:r>
        <w:rPr>
          <w:rFonts w:hint="eastAsia"/>
        </w:rPr>
        <w:t>5.1  报价文件由商务和技术两部分组成。</w:t>
      </w:r>
    </w:p>
    <w:p>
      <w:pPr>
        <w:tabs>
          <w:tab w:val="left" w:pos="851"/>
        </w:tabs>
        <w:spacing w:after="240"/>
        <w:rPr>
          <w:rFonts w:ascii="宋体" w:hAnsi="宋体"/>
        </w:rPr>
      </w:pPr>
      <w:r>
        <w:rPr>
          <w:rFonts w:hint="eastAsia"/>
          <w:szCs w:val="22"/>
        </w:rPr>
        <w:t xml:space="preserve">5.2  </w:t>
      </w:r>
      <w:r>
        <w:rPr>
          <w:rFonts w:hint="eastAsia" w:ascii="宋体" w:hAnsi="宋体"/>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ascii="宋体" w:hAnsi="宋体"/>
        </w:rPr>
      </w:pPr>
      <w:r>
        <w:rPr>
          <w:rFonts w:hint="eastAsia" w:ascii="宋体" w:hAnsi="宋体"/>
        </w:rPr>
        <w:t>5.3  报价文件包括纸质文件一式3份，纸质版正本1份，封面标注“正本”字样，副本2份，封面标注“副本”字样。正本与副本不符的内容，以正本为准。电子版文件一份，存储在U盘里随报价文件一并提交。</w:t>
      </w:r>
    </w:p>
    <w:p>
      <w:pPr>
        <w:tabs>
          <w:tab w:val="left" w:pos="840"/>
        </w:tabs>
        <w:spacing w:after="240"/>
      </w:pPr>
      <w:r>
        <w:rPr>
          <w:rFonts w:hint="eastAsia"/>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11" w:name="_Toc22149453"/>
    </w:p>
    <w:p>
      <w:pPr>
        <w:tabs>
          <w:tab w:val="left" w:pos="840"/>
        </w:tabs>
        <w:spacing w:after="240"/>
        <w:rPr>
          <w:rFonts w:ascii="宋体" w:hAnsi="宋体" w:cs="宋体"/>
          <w:b/>
          <w:bCs/>
        </w:rPr>
      </w:pPr>
      <w:r>
        <w:rPr>
          <w:rFonts w:hint="eastAsia" w:ascii="宋体" w:hAnsi="宋体" w:cs="宋体"/>
          <w:b/>
          <w:bCs/>
        </w:rPr>
        <w:t>6. 商务部分</w:t>
      </w:r>
      <w:bookmarkEnd w:id="11"/>
      <w:r>
        <w:rPr>
          <w:rFonts w:hint="eastAsia" w:ascii="宋体" w:hAnsi="宋体" w:cs="宋体"/>
          <w:b/>
          <w:bCs/>
        </w:rPr>
        <w:t>包含以下内容：</w:t>
      </w:r>
    </w:p>
    <w:p>
      <w:pPr>
        <w:tabs>
          <w:tab w:val="left" w:pos="851"/>
        </w:tabs>
        <w:ind w:left="849"/>
      </w:pPr>
      <w:r>
        <w:rPr>
          <w:rFonts w:hint="eastAsia" w:ascii="宋体" w:hAnsi="宋体"/>
        </w:rPr>
        <w:t>1）目录索引；</w:t>
      </w:r>
    </w:p>
    <w:p>
      <w:pPr>
        <w:tabs>
          <w:tab w:val="left" w:pos="851"/>
        </w:tabs>
        <w:ind w:left="849"/>
      </w:pPr>
      <w:r>
        <w:rPr>
          <w:rFonts w:hint="eastAsia"/>
        </w:rPr>
        <w:t>2）报价函；</w:t>
      </w:r>
    </w:p>
    <w:p>
      <w:pPr>
        <w:pStyle w:val="49"/>
        <w:ind w:left="0" w:firstLine="840" w:firstLineChars="400"/>
      </w:pPr>
      <w:r>
        <w:rPr>
          <w:rFonts w:hint="eastAsia"/>
        </w:rPr>
        <w:t>3）</w:t>
      </w:r>
      <w:r>
        <w:rPr>
          <w:rFonts w:hint="eastAsia"/>
          <w:lang w:val="en-US" w:eastAsia="zh-CN"/>
        </w:rPr>
        <w:t>报价</w:t>
      </w:r>
      <w:r>
        <w:rPr>
          <w:rFonts w:hint="eastAsia"/>
        </w:rPr>
        <w:t>人</w:t>
      </w:r>
      <w:r>
        <w:rPr>
          <w:rFonts w:hint="eastAsia"/>
          <w:lang w:val="en-US" w:eastAsia="zh-CN"/>
        </w:rPr>
        <w:t>评分索引表</w:t>
      </w:r>
      <w:r>
        <w:rPr>
          <w:rFonts w:hint="eastAsia" w:ascii="宋体" w:hAnsi="宋体"/>
        </w:rPr>
        <w:t>；</w:t>
      </w:r>
    </w:p>
    <w:p>
      <w:pPr>
        <w:tabs>
          <w:tab w:val="left" w:pos="851"/>
        </w:tabs>
        <w:ind w:left="840"/>
        <w:rPr>
          <w:rFonts w:ascii="宋体" w:hAnsi="宋体"/>
        </w:rPr>
      </w:pPr>
      <w:r>
        <w:rPr>
          <w:rFonts w:hint="eastAsia" w:ascii="宋体" w:hAnsi="宋体"/>
        </w:rPr>
        <w:t>4）企业营业执照复印件；</w:t>
      </w:r>
    </w:p>
    <w:p>
      <w:pPr>
        <w:tabs>
          <w:tab w:val="left" w:pos="851"/>
        </w:tabs>
        <w:ind w:left="840"/>
        <w:rPr>
          <w:rFonts w:ascii="宋体" w:hAnsi="宋体"/>
          <w:szCs w:val="21"/>
        </w:rPr>
      </w:pPr>
      <w:r>
        <w:rPr>
          <w:rFonts w:hint="eastAsia" w:ascii="宋体" w:hAnsi="宋体"/>
          <w:szCs w:val="21"/>
        </w:rPr>
        <w:t>5）法定代表人证明书；</w:t>
      </w:r>
    </w:p>
    <w:p>
      <w:pPr>
        <w:tabs>
          <w:tab w:val="left" w:pos="851"/>
        </w:tabs>
        <w:ind w:left="840"/>
        <w:rPr>
          <w:rFonts w:hint="eastAsia" w:ascii="宋体" w:hAnsi="宋体"/>
          <w:szCs w:val="21"/>
        </w:rPr>
      </w:pPr>
      <w:r>
        <w:rPr>
          <w:rFonts w:hint="eastAsia" w:ascii="宋体" w:hAnsi="宋体"/>
          <w:szCs w:val="21"/>
        </w:rPr>
        <w:t>6）报价文件签署授权委托书；</w:t>
      </w:r>
    </w:p>
    <w:p>
      <w:pPr>
        <w:pStyle w:val="2"/>
        <w:ind w:firstLine="840" w:firstLineChars="400"/>
        <w:rPr>
          <w:rFonts w:hint="default" w:eastAsia="宋体"/>
          <w:lang w:val="en-US" w:eastAsia="zh-CN"/>
        </w:rPr>
      </w:pPr>
      <w:r>
        <w:rPr>
          <w:rFonts w:hint="eastAsia" w:ascii="宋体" w:hAnsi="宋体"/>
          <w:szCs w:val="21"/>
          <w:lang w:val="en-US" w:eastAsia="zh-CN"/>
        </w:rPr>
        <w:t>7）合格供应商登记表（登录网站打印）；</w:t>
      </w:r>
    </w:p>
    <w:p>
      <w:pPr>
        <w:tabs>
          <w:tab w:val="left" w:pos="851"/>
        </w:tabs>
        <w:ind w:left="840"/>
        <w:rPr>
          <w:rFonts w:ascii="宋体" w:hAnsi="宋体"/>
          <w:szCs w:val="21"/>
        </w:rPr>
      </w:pPr>
      <w:bookmarkStart w:id="12" w:name="_Hlk22040916"/>
      <w:r>
        <w:rPr>
          <w:rFonts w:hint="eastAsia" w:ascii="宋体" w:hAnsi="宋体"/>
          <w:szCs w:val="21"/>
          <w:lang w:val="en-US" w:eastAsia="zh-CN"/>
        </w:rPr>
        <w:t>8</w:t>
      </w:r>
      <w:r>
        <w:rPr>
          <w:rFonts w:hint="eastAsia" w:ascii="宋体" w:hAnsi="宋体"/>
          <w:szCs w:val="21"/>
        </w:rPr>
        <w:t>）诚信承诺函</w:t>
      </w:r>
      <w:bookmarkEnd w:id="12"/>
      <w:r>
        <w:rPr>
          <w:rFonts w:hint="eastAsia" w:ascii="宋体" w:hAnsi="宋体"/>
          <w:szCs w:val="21"/>
        </w:rPr>
        <w:t>（网站截图</w:t>
      </w:r>
      <w:r>
        <w:rPr>
          <w:rFonts w:hint="eastAsia" w:ascii="宋体" w:hAnsi="宋体"/>
          <w:b/>
          <w:bCs/>
          <w:szCs w:val="21"/>
        </w:rPr>
        <w:t>需清晰</w:t>
      </w:r>
      <w:r>
        <w:rPr>
          <w:rFonts w:hint="eastAsia" w:ascii="宋体" w:hAnsi="宋体"/>
          <w:szCs w:val="21"/>
        </w:rPr>
        <w:t>显示报价人名称及相应查询信息）；</w:t>
      </w:r>
    </w:p>
    <w:p>
      <w:pPr>
        <w:tabs>
          <w:tab w:val="left" w:pos="851"/>
        </w:tabs>
        <w:ind w:left="840"/>
      </w:pPr>
      <w:r>
        <w:rPr>
          <w:rFonts w:hint="eastAsia"/>
          <w:lang w:val="en-US" w:eastAsia="zh-CN"/>
        </w:rPr>
        <w:t>9</w:t>
      </w:r>
      <w:r>
        <w:rPr>
          <w:rFonts w:hint="eastAsia"/>
        </w:rPr>
        <w:t>）采购文件响应承诺书；</w:t>
      </w:r>
    </w:p>
    <w:p>
      <w:pPr>
        <w:tabs>
          <w:tab w:val="left" w:pos="851"/>
        </w:tabs>
        <w:ind w:left="840"/>
        <w:rPr>
          <w:rFonts w:hint="eastAsia"/>
          <w:szCs w:val="21"/>
        </w:rPr>
      </w:pPr>
      <w:r>
        <w:rPr>
          <w:rFonts w:hint="eastAsia"/>
          <w:lang w:val="en-US" w:eastAsia="zh-CN"/>
        </w:rPr>
        <w:t>10</w:t>
      </w:r>
      <w:r>
        <w:rPr>
          <w:rFonts w:hint="eastAsia"/>
        </w:rPr>
        <w:t>）</w:t>
      </w:r>
      <w:r>
        <w:rPr>
          <w:rFonts w:hint="eastAsia"/>
          <w:szCs w:val="21"/>
        </w:rPr>
        <w:t>纳税证明及缴纳社会保障资金证明材料。</w:t>
      </w:r>
    </w:p>
    <w:p>
      <w:pPr>
        <w:pStyle w:val="2"/>
        <w:ind w:firstLine="840" w:firstLineChars="400"/>
        <w:rPr>
          <w:rFonts w:hint="default" w:eastAsia="仿宋_GB2312"/>
          <w:b/>
          <w:bCs/>
          <w:lang w:val="en-US" w:eastAsia="zh-CN"/>
        </w:rPr>
      </w:pPr>
      <w:r>
        <w:rPr>
          <w:rFonts w:hint="eastAsia"/>
          <w:szCs w:val="21"/>
          <w:lang w:val="en-US" w:eastAsia="zh-CN"/>
        </w:rPr>
        <w:t>11）</w:t>
      </w:r>
      <w:r>
        <w:rPr>
          <w:rFonts w:hint="eastAsia" w:ascii="Times New Roman" w:hAnsi="Times New Roman" w:eastAsia="宋体" w:cs="Times New Roman"/>
          <w:kern w:val="2"/>
          <w:sz w:val="21"/>
          <w:szCs w:val="21"/>
          <w:lang w:val="en-US" w:eastAsia="zh-CN" w:bidi="ar-SA"/>
        </w:rPr>
        <w:t>国家知识产权局认可的专利代理机构截图（包括执业代理师信息等网站查询结果整页截图）及在国家知识产权局成功备案的商标代理机构的截图证明文件加盖公章。</w:t>
      </w:r>
    </w:p>
    <w:p>
      <w:pPr>
        <w:pStyle w:val="46"/>
      </w:pPr>
    </w:p>
    <w:p>
      <w:pPr>
        <w:pStyle w:val="4"/>
        <w:ind w:left="0" w:firstLine="0"/>
        <w:rPr>
          <w:rFonts w:ascii="Times New Roman" w:hAnsi="Times New Roman" w:eastAsia="宋体"/>
          <w:bCs/>
          <w:sz w:val="21"/>
          <w:szCs w:val="22"/>
        </w:rPr>
      </w:pPr>
      <w:bookmarkStart w:id="13" w:name="_Toc22149454"/>
      <w:r>
        <w:rPr>
          <w:rFonts w:hint="eastAsia" w:ascii="Times New Roman" w:hAnsi="Times New Roman" w:eastAsia="宋体"/>
          <w:bCs/>
          <w:sz w:val="21"/>
          <w:szCs w:val="22"/>
        </w:rPr>
        <w:t>7. 技术文件</w:t>
      </w:r>
      <w:bookmarkEnd w:id="13"/>
      <w:r>
        <w:rPr>
          <w:rFonts w:hint="eastAsia" w:ascii="Times New Roman" w:hAnsi="Times New Roman" w:eastAsia="宋体"/>
          <w:bCs/>
          <w:sz w:val="21"/>
          <w:szCs w:val="22"/>
        </w:rPr>
        <w:t>包含以下内容：</w:t>
      </w:r>
    </w:p>
    <w:p>
      <w:pPr>
        <w:tabs>
          <w:tab w:val="left" w:pos="1276"/>
        </w:tabs>
        <w:ind w:left="839"/>
        <w:rPr>
          <w:rFonts w:ascii="宋体" w:hAnsi="宋体"/>
        </w:rPr>
      </w:pPr>
      <w:r>
        <w:rPr>
          <w:rFonts w:hint="eastAsia" w:ascii="宋体" w:hAnsi="宋体"/>
        </w:rPr>
        <w:t>1）目录索引；</w:t>
      </w:r>
    </w:p>
    <w:p>
      <w:pPr>
        <w:tabs>
          <w:tab w:val="left" w:pos="1276"/>
        </w:tabs>
        <w:ind w:left="839"/>
        <w:rPr>
          <w:rFonts w:ascii="宋体" w:hAnsi="宋体"/>
        </w:rPr>
      </w:pPr>
      <w:r>
        <w:rPr>
          <w:rFonts w:hint="eastAsia" w:ascii="宋体" w:hAnsi="宋体"/>
        </w:rPr>
        <w:t>2）服务方案；</w:t>
      </w:r>
    </w:p>
    <w:p>
      <w:pPr>
        <w:tabs>
          <w:tab w:val="left" w:pos="1276"/>
        </w:tabs>
        <w:ind w:left="840"/>
        <w:rPr>
          <w:rFonts w:ascii="宋体" w:hAnsi="宋体"/>
        </w:rPr>
      </w:pPr>
      <w:r>
        <w:rPr>
          <w:rFonts w:hint="eastAsia" w:ascii="宋体" w:hAnsi="宋体"/>
          <w:lang w:val="en-US" w:eastAsia="zh-CN"/>
        </w:rPr>
        <w:t>3</w:t>
      </w:r>
      <w:r>
        <w:rPr>
          <w:rFonts w:hint="eastAsia" w:ascii="宋体" w:hAnsi="宋体"/>
        </w:rPr>
        <w:t>）技术偏离表</w:t>
      </w:r>
      <w:r>
        <w:rPr>
          <w:rFonts w:hint="eastAsia" w:ascii="宋体" w:hAnsi="宋体"/>
          <w:lang w:eastAsia="zh-CN"/>
        </w:rPr>
        <w:t>（</w:t>
      </w:r>
      <w:r>
        <w:rPr>
          <w:rFonts w:hint="eastAsia" w:ascii="宋体" w:hAnsi="宋体"/>
          <w:lang w:val="en-US" w:eastAsia="zh-CN"/>
        </w:rPr>
        <w:t>根据第二部分“服务要求”编制</w:t>
      </w:r>
      <w:r>
        <w:rPr>
          <w:rFonts w:hint="eastAsia" w:ascii="宋体" w:hAnsi="宋体"/>
          <w:lang w:eastAsia="zh-CN"/>
        </w:rPr>
        <w:t>）</w:t>
      </w:r>
      <w:r>
        <w:rPr>
          <w:rFonts w:hint="eastAsia" w:ascii="宋体" w:hAnsi="宋体"/>
        </w:rPr>
        <w:t>；</w:t>
      </w:r>
    </w:p>
    <w:p>
      <w:pPr>
        <w:pStyle w:val="13"/>
        <w:ind w:left="420"/>
      </w:pPr>
      <w:bookmarkStart w:id="14" w:name="_Toc22149458"/>
    </w:p>
    <w:p>
      <w:pPr>
        <w:tabs>
          <w:tab w:val="left" w:pos="1276"/>
        </w:tabs>
        <w:spacing w:after="240"/>
        <w:rPr>
          <w:b/>
          <w:bCs/>
          <w:szCs w:val="22"/>
        </w:rPr>
      </w:pPr>
      <w:r>
        <w:rPr>
          <w:rFonts w:hint="eastAsia"/>
          <w:b/>
          <w:bCs/>
          <w:szCs w:val="22"/>
        </w:rPr>
        <w:t>8. 报价文件有效期</w:t>
      </w:r>
      <w:bookmarkEnd w:id="14"/>
    </w:p>
    <w:p>
      <w:pPr>
        <w:tabs>
          <w:tab w:val="left" w:pos="840"/>
        </w:tabs>
        <w:spacing w:after="240"/>
      </w:pPr>
      <w:r>
        <w:rPr>
          <w:rFonts w:hint="eastAsia"/>
        </w:rPr>
        <w:t>★项目报价文件应在邀请函规定的报价日后的90天有效期内保持有效。</w:t>
      </w:r>
    </w:p>
    <w:p>
      <w:pPr>
        <w:pStyle w:val="13"/>
        <w:ind w:left="420"/>
      </w:pPr>
    </w:p>
    <w:p>
      <w:pPr>
        <w:tabs>
          <w:tab w:val="left" w:pos="840"/>
        </w:tabs>
        <w:spacing w:after="240"/>
        <w:rPr>
          <w:rFonts w:eastAsia="黑体"/>
          <w:b/>
          <w:sz w:val="28"/>
          <w:szCs w:val="28"/>
        </w:rPr>
      </w:pPr>
      <w:bookmarkStart w:id="15" w:name="_Toc22149460"/>
      <w:bookmarkStart w:id="16" w:name="_Toc520146454"/>
      <w:bookmarkStart w:id="17" w:name="_Toc472608695"/>
      <w:r>
        <w:rPr>
          <w:rFonts w:hint="eastAsia" w:eastAsia="黑体"/>
          <w:b/>
          <w:sz w:val="28"/>
          <w:szCs w:val="28"/>
        </w:rPr>
        <w:t>四、报价文件的递交</w:t>
      </w:r>
      <w:bookmarkEnd w:id="15"/>
      <w:bookmarkEnd w:id="16"/>
      <w:bookmarkEnd w:id="17"/>
      <w:bookmarkStart w:id="18" w:name="_Toc22149461"/>
    </w:p>
    <w:p>
      <w:pPr>
        <w:tabs>
          <w:tab w:val="left" w:pos="840"/>
        </w:tabs>
        <w:spacing w:after="240"/>
        <w:rPr>
          <w:b/>
          <w:bCs/>
          <w:szCs w:val="22"/>
        </w:rPr>
      </w:pPr>
      <w:r>
        <w:rPr>
          <w:rFonts w:hint="eastAsia"/>
          <w:b/>
          <w:bCs/>
          <w:szCs w:val="22"/>
        </w:rPr>
        <w:t>9.报价文件的密封和标记</w:t>
      </w:r>
      <w:bookmarkEnd w:id="18"/>
    </w:p>
    <w:p>
      <w:pPr>
        <w:tabs>
          <w:tab w:val="left" w:pos="840"/>
        </w:tabs>
        <w:spacing w:after="240"/>
      </w:pPr>
      <w:r>
        <w:rPr>
          <w:rFonts w:hint="eastAsia"/>
        </w:rPr>
        <w:t>9.1 报价人应将报价文件密封和标记，所有封套外应清楚标明以下内容：项目名称、项目编号、报价人名称并加盖公章、报价人地址、报价人联系方式、报价文件提交地点、“在  （填写投标截止时间）  前不得启封”的字样。</w:t>
      </w:r>
    </w:p>
    <w:p>
      <w:pPr>
        <w:tabs>
          <w:tab w:val="left" w:pos="840"/>
        </w:tabs>
        <w:spacing w:after="240"/>
      </w:pPr>
      <w:r>
        <w:rPr>
          <w:rFonts w:hint="eastAsia"/>
        </w:rPr>
        <w:t>9.2如果报价人递交的报价文件未按要求密封，采购人将拒绝接受其报价文件。</w:t>
      </w:r>
    </w:p>
    <w:p>
      <w:pPr>
        <w:tabs>
          <w:tab w:val="left" w:pos="840"/>
        </w:tabs>
        <w:spacing w:after="240"/>
      </w:pPr>
      <w:r>
        <w:rPr>
          <w:rFonts w:hint="eastAsia"/>
        </w:rPr>
        <w:t>9.3如果因密封不严，标记不清而造成报价文件过早启封、失密等情况，采购人概不负责。</w:t>
      </w:r>
      <w:bookmarkStart w:id="19" w:name="_Toc22149462"/>
    </w:p>
    <w:bookmarkEnd w:id="19"/>
    <w:p>
      <w:pPr>
        <w:numPr>
          <w:ilvl w:val="0"/>
          <w:numId w:val="6"/>
        </w:numPr>
        <w:tabs>
          <w:tab w:val="left" w:pos="840"/>
        </w:tabs>
        <w:spacing w:after="240"/>
        <w:rPr>
          <w:b/>
          <w:bCs/>
          <w:szCs w:val="22"/>
        </w:rPr>
      </w:pPr>
      <w:r>
        <w:rPr>
          <w:rFonts w:hint="eastAsia"/>
          <w:b/>
          <w:bCs/>
          <w:szCs w:val="22"/>
        </w:rPr>
        <w:t>报价文件的递交</w:t>
      </w:r>
    </w:p>
    <w:p>
      <w:pPr>
        <w:pStyle w:val="13"/>
        <w:ind w:left="0" w:leftChars="0"/>
        <w:rPr>
          <w:szCs w:val="22"/>
        </w:rPr>
      </w:pPr>
      <w:r>
        <w:rPr>
          <w:rFonts w:hint="eastAsia"/>
          <w:szCs w:val="22"/>
        </w:rPr>
        <w:t>参照第一部分第4条</w:t>
      </w:r>
      <w:bookmarkStart w:id="20" w:name="_Toc22149464"/>
    </w:p>
    <w:p>
      <w:pPr>
        <w:pStyle w:val="13"/>
        <w:ind w:left="0" w:leftChars="0"/>
        <w:rPr>
          <w:rFonts w:eastAsia="黑体"/>
          <w:b/>
          <w:bCs/>
          <w:sz w:val="28"/>
          <w:szCs w:val="28"/>
        </w:rPr>
      </w:pPr>
    </w:p>
    <w:p>
      <w:pPr>
        <w:pStyle w:val="13"/>
        <w:ind w:left="0" w:leftChars="0"/>
        <w:rPr>
          <w:rFonts w:eastAsia="黑体"/>
          <w:b/>
          <w:bCs/>
          <w:sz w:val="28"/>
          <w:szCs w:val="28"/>
        </w:rPr>
      </w:pPr>
      <w:r>
        <w:rPr>
          <w:rFonts w:hint="eastAsia" w:eastAsia="黑体"/>
          <w:b/>
          <w:bCs/>
          <w:sz w:val="28"/>
          <w:szCs w:val="28"/>
        </w:rPr>
        <w:t>五、综合评审过程</w:t>
      </w:r>
      <w:bookmarkEnd w:id="20"/>
    </w:p>
    <w:p>
      <w:pPr>
        <w:pStyle w:val="4"/>
        <w:spacing w:line="240" w:lineRule="auto"/>
        <w:ind w:left="0" w:firstLine="0"/>
        <w:rPr>
          <w:rFonts w:ascii="宋体" w:hAnsi="宋体" w:eastAsia="宋体" w:cs="宋体"/>
          <w:bCs/>
          <w:sz w:val="21"/>
          <w:szCs w:val="22"/>
        </w:rPr>
      </w:pPr>
      <w:bookmarkStart w:id="21" w:name="_Toc22149466"/>
      <w:bookmarkStart w:id="22" w:name="_Toc488318871"/>
      <w:r>
        <w:rPr>
          <w:rFonts w:hint="eastAsia" w:ascii="宋体" w:hAnsi="宋体" w:eastAsia="宋体" w:cs="宋体"/>
          <w:bCs/>
          <w:sz w:val="21"/>
          <w:szCs w:val="22"/>
        </w:rPr>
        <w:t>11. 总则</w:t>
      </w:r>
      <w:bookmarkEnd w:id="21"/>
      <w:bookmarkEnd w:id="22"/>
    </w:p>
    <w:p>
      <w:pPr>
        <w:tabs>
          <w:tab w:val="left" w:pos="840"/>
        </w:tabs>
        <w:spacing w:after="240"/>
      </w:pPr>
      <w:r>
        <w:rPr>
          <w:rFonts w:hint="eastAsia"/>
        </w:rPr>
        <w:t>11.1本次采用综合评分法进行评审。</w:t>
      </w:r>
    </w:p>
    <w:p>
      <w:pPr>
        <w:tabs>
          <w:tab w:val="left" w:pos="840"/>
        </w:tabs>
        <w:spacing w:after="240"/>
      </w:pPr>
      <w:r>
        <w:rPr>
          <w:rFonts w:hint="eastAsia"/>
        </w:rPr>
        <w:t>11.2本项目的评审工作由采购人内部组成评审小组完成。评审小组由经济技术类共3名以上单数成员组成。</w:t>
      </w:r>
    </w:p>
    <w:p>
      <w:pPr>
        <w:tabs>
          <w:tab w:val="left" w:pos="851"/>
        </w:tabs>
        <w:rPr>
          <w:szCs w:val="22"/>
        </w:rPr>
      </w:pPr>
      <w:r>
        <w:rPr>
          <w:rFonts w:hint="eastAsia"/>
        </w:rPr>
        <w:t xml:space="preserve">11.3 </w:t>
      </w:r>
      <w:r>
        <w:rPr>
          <w:rFonts w:hint="eastAsia" w:ascii="宋体" w:hAnsi="宋体"/>
          <w:szCs w:val="21"/>
        </w:rPr>
        <w:t>本</w:t>
      </w:r>
      <w:r>
        <w:rPr>
          <w:rFonts w:hint="eastAsia"/>
          <w:szCs w:val="22"/>
        </w:rPr>
        <w:t>次评标权重分配为：价格得分占60％，商务技术得分占40％。本次评标是以采购文件为依据，按公正、科学、客观、平等竞争的要求，选择技术先进、报价合理、经验丰富、信誉良好及综合实力强的报价人。</w:t>
      </w:r>
    </w:p>
    <w:p>
      <w:pPr>
        <w:pStyle w:val="13"/>
        <w:ind w:left="0" w:leftChars="0"/>
        <w:rPr>
          <w:rFonts w:ascii="宋体" w:hAnsi="宋体"/>
          <w:szCs w:val="21"/>
        </w:rPr>
      </w:pPr>
    </w:p>
    <w:p>
      <w:pPr>
        <w:rPr>
          <w:rFonts w:ascii="宋体" w:hAnsi="宋体"/>
          <w:b/>
          <w:bCs/>
          <w:szCs w:val="21"/>
        </w:rPr>
      </w:pPr>
      <w:r>
        <w:rPr>
          <w:rFonts w:hint="eastAsia" w:ascii="宋体" w:hAnsi="宋体"/>
          <w:b/>
          <w:bCs/>
          <w:szCs w:val="21"/>
        </w:rPr>
        <w:t>12. 评审过程及评审办法</w:t>
      </w:r>
    </w:p>
    <w:p>
      <w:pPr>
        <w:tabs>
          <w:tab w:val="left" w:pos="360"/>
        </w:tabs>
        <w:spacing w:line="360" w:lineRule="auto"/>
        <w:rPr>
          <w:rFonts w:ascii="宋体" w:hAnsi="宋体"/>
          <w:szCs w:val="21"/>
        </w:rPr>
      </w:pPr>
      <w:r>
        <w:rPr>
          <w:rFonts w:hint="eastAsia"/>
          <w:szCs w:val="22"/>
        </w:rPr>
        <w:t>12.1评审步骤</w:t>
      </w:r>
      <w:r>
        <w:rPr>
          <w:rFonts w:hint="eastAsia" w:ascii="宋体" w:hAnsi="宋体"/>
          <w:szCs w:val="21"/>
        </w:rPr>
        <w:t>：</w:t>
      </w:r>
    </w:p>
    <w:p>
      <w:pPr>
        <w:pStyle w:val="22"/>
        <w:spacing w:line="360" w:lineRule="auto"/>
        <w:ind w:left="0"/>
        <w:rPr>
          <w:rFonts w:ascii="宋体" w:hAnsi="宋体"/>
          <w:szCs w:val="21"/>
        </w:rPr>
      </w:pPr>
      <w:r>
        <w:rPr>
          <w:rFonts w:hint="eastAsia" w:ascii="宋体" w:hAnsi="宋体"/>
          <w:szCs w:val="21"/>
        </w:rPr>
        <w:t>（1）对报价文件进行符合性审查；</w:t>
      </w:r>
    </w:p>
    <w:p>
      <w:pPr>
        <w:pStyle w:val="22"/>
        <w:spacing w:line="360" w:lineRule="auto"/>
        <w:ind w:left="0"/>
        <w:rPr>
          <w:rFonts w:ascii="宋体" w:hAnsi="宋体"/>
          <w:szCs w:val="21"/>
        </w:rPr>
      </w:pPr>
      <w:r>
        <w:rPr>
          <w:rFonts w:hint="eastAsia" w:ascii="宋体" w:hAnsi="宋体"/>
          <w:szCs w:val="21"/>
        </w:rPr>
        <w:t>（2）对报价文件进行商务评审、技术评审；</w:t>
      </w:r>
    </w:p>
    <w:p>
      <w:pPr>
        <w:pStyle w:val="22"/>
        <w:spacing w:line="360" w:lineRule="auto"/>
        <w:ind w:left="0"/>
        <w:rPr>
          <w:rFonts w:ascii="宋体" w:hAnsi="宋体"/>
          <w:szCs w:val="21"/>
        </w:rPr>
      </w:pPr>
      <w:r>
        <w:rPr>
          <w:rFonts w:hint="eastAsia" w:ascii="宋体" w:hAnsi="宋体"/>
          <w:szCs w:val="21"/>
        </w:rPr>
        <w:t>（3）价格评审；</w:t>
      </w:r>
    </w:p>
    <w:p>
      <w:pPr>
        <w:pStyle w:val="22"/>
        <w:spacing w:line="360" w:lineRule="auto"/>
        <w:ind w:left="0"/>
        <w:rPr>
          <w:rFonts w:ascii="宋体" w:hAnsi="宋体"/>
          <w:szCs w:val="21"/>
        </w:rPr>
      </w:pPr>
      <w:r>
        <w:rPr>
          <w:rFonts w:hint="eastAsia" w:ascii="宋体" w:hAnsi="宋体"/>
          <w:szCs w:val="21"/>
        </w:rPr>
        <w:t>（4）计算总分；</w:t>
      </w:r>
    </w:p>
    <w:p>
      <w:pPr>
        <w:pStyle w:val="22"/>
        <w:spacing w:line="360" w:lineRule="auto"/>
        <w:ind w:left="0"/>
        <w:rPr>
          <w:rFonts w:ascii="宋体" w:hAnsi="宋体"/>
          <w:szCs w:val="21"/>
        </w:rPr>
      </w:pPr>
      <w:r>
        <w:rPr>
          <w:rFonts w:hint="eastAsia" w:ascii="宋体" w:hAnsi="宋体"/>
          <w:szCs w:val="21"/>
        </w:rPr>
        <w:t>（5）推荐成交候选人；</w:t>
      </w:r>
    </w:p>
    <w:p>
      <w:pPr>
        <w:pStyle w:val="22"/>
        <w:spacing w:line="360" w:lineRule="auto"/>
        <w:ind w:left="0"/>
        <w:rPr>
          <w:rFonts w:ascii="宋体" w:hAnsi="宋体"/>
          <w:szCs w:val="21"/>
        </w:rPr>
      </w:pPr>
      <w:r>
        <w:rPr>
          <w:rFonts w:hint="eastAsia"/>
          <w:szCs w:val="22"/>
        </w:rPr>
        <w:t xml:space="preserve">12.2 </w:t>
      </w:r>
      <w:r>
        <w:rPr>
          <w:rFonts w:hint="eastAsia" w:ascii="宋体" w:hAnsi="宋体"/>
          <w:szCs w:val="21"/>
        </w:rPr>
        <w:t>投标文件的澄清</w:t>
      </w:r>
    </w:p>
    <w:p>
      <w:pPr>
        <w:pStyle w:val="22"/>
        <w:spacing w:line="360" w:lineRule="auto"/>
        <w:ind w:left="0" w:firstLine="420" w:firstLineChars="200"/>
        <w:rPr>
          <w:rFonts w:ascii="宋体" w:hAnsi="宋体"/>
          <w:szCs w:val="21"/>
        </w:rPr>
      </w:pPr>
      <w:r>
        <w:rPr>
          <w:rFonts w:hint="eastAsia" w:ascii="宋体" w:hAnsi="宋体"/>
          <w:szCs w:val="21"/>
        </w:rPr>
        <w:t>为有助于报价文件的审查、评价和比较，评标委员会可以要求报价人对报价文件含义不明确的内容作必要的澄清或说明，但不得超出投标文件的范围或改变投标文件的实质性内容。</w:t>
      </w:r>
    </w:p>
    <w:p>
      <w:pPr>
        <w:pStyle w:val="13"/>
        <w:spacing w:line="360" w:lineRule="auto"/>
        <w:ind w:left="0" w:leftChars="0"/>
        <w:rPr>
          <w:szCs w:val="22"/>
        </w:rPr>
      </w:pPr>
      <w:r>
        <w:rPr>
          <w:rFonts w:hint="eastAsia"/>
          <w:szCs w:val="22"/>
        </w:rPr>
        <w:t>12.3 评审</w:t>
      </w:r>
    </w:p>
    <w:p>
      <w:pPr>
        <w:spacing w:line="360" w:lineRule="auto"/>
      </w:pPr>
      <w:r>
        <w:rPr>
          <w:rFonts w:hint="eastAsia"/>
        </w:rPr>
        <w:t>1）  符合性审查</w:t>
      </w:r>
    </w:p>
    <w:p>
      <w:pPr>
        <w:pStyle w:val="13"/>
        <w:spacing w:line="360" w:lineRule="auto"/>
        <w:ind w:left="420"/>
      </w:pPr>
      <w:r>
        <w:rPr>
          <w:rFonts w:hint="eastAsia"/>
        </w:rPr>
        <w:t>评审小组根据《符合性审查表》（附件6）内容逐条对报价文件进行审查；不满足《符合</w:t>
      </w:r>
    </w:p>
    <w:p>
      <w:pPr>
        <w:pStyle w:val="13"/>
        <w:spacing w:line="360" w:lineRule="auto"/>
        <w:ind w:left="0" w:leftChars="0"/>
      </w:pPr>
      <w:r>
        <w:rPr>
          <w:rFonts w:hint="eastAsia"/>
        </w:rPr>
        <w:t>性审查表》所列各项要求任何一项的，将被认定为无效报价。通过符合性审查的供应商可进入下一环节评审；</w:t>
      </w:r>
      <w:r>
        <w:rPr>
          <w:rFonts w:hint="eastAsia" w:ascii="宋体" w:hAnsi="宋体"/>
          <w:szCs w:val="21"/>
        </w:rPr>
        <w:t>对于《符合性审查表》中的每一项审查项目实行少数服从多数的原则。</w:t>
      </w:r>
    </w:p>
    <w:p>
      <w:pPr>
        <w:pStyle w:val="13"/>
        <w:numPr>
          <w:ilvl w:val="0"/>
          <w:numId w:val="7"/>
        </w:numPr>
        <w:spacing w:line="360" w:lineRule="auto"/>
        <w:ind w:left="0" w:leftChars="0"/>
      </w:pPr>
      <w:r>
        <w:rPr>
          <w:rFonts w:hint="eastAsia"/>
        </w:rPr>
        <w:t xml:space="preserve"> 商务技术评审及得分计算</w:t>
      </w:r>
    </w:p>
    <w:p>
      <w:pPr>
        <w:pStyle w:val="13"/>
        <w:spacing w:line="360" w:lineRule="auto"/>
        <w:ind w:left="420"/>
      </w:pPr>
      <w:r>
        <w:rPr>
          <w:rFonts w:hint="eastAsia" w:ascii="宋体" w:hAnsi="宋体"/>
          <w:szCs w:val="21"/>
        </w:rPr>
        <w:t>a.商务技术分占40分，</w:t>
      </w:r>
      <w:r>
        <w:rPr>
          <w:rFonts w:hint="eastAsia"/>
        </w:rPr>
        <w:t>由评委打分，评审细则详见附件7《商务技术表》）；</w:t>
      </w:r>
    </w:p>
    <w:p>
      <w:pPr>
        <w:pStyle w:val="13"/>
        <w:spacing w:line="360" w:lineRule="auto"/>
        <w:ind w:left="420"/>
      </w:pPr>
      <w:r>
        <w:rPr>
          <w:rFonts w:hint="eastAsia" w:ascii="宋体" w:hAnsi="宋体"/>
          <w:szCs w:val="21"/>
        </w:rPr>
        <w:t>b.对评委的评分结果，以每个评委对所打出的商务、技术总分为基准，进行算术平均后得出各报价人的商务技术得分。（小数点后保留两位有效数，四舍五入）。</w:t>
      </w:r>
    </w:p>
    <w:p>
      <w:pPr>
        <w:pStyle w:val="13"/>
        <w:spacing w:line="360" w:lineRule="auto"/>
        <w:ind w:left="0" w:leftChars="0"/>
      </w:pPr>
      <w:r>
        <w:rPr>
          <w:rFonts w:hint="eastAsia"/>
        </w:rPr>
        <w:t>3）  价格评审及得分计算</w:t>
      </w:r>
    </w:p>
    <w:p>
      <w:pPr>
        <w:pStyle w:val="13"/>
        <w:spacing w:line="360" w:lineRule="auto"/>
        <w:ind w:left="420"/>
        <w:rPr>
          <w:rFonts w:ascii="宋体" w:hAnsi="宋体"/>
          <w:szCs w:val="21"/>
        </w:rPr>
      </w:pPr>
      <w:r>
        <w:rPr>
          <w:rFonts w:hint="eastAsia" w:ascii="宋体" w:hAnsi="宋体"/>
          <w:szCs w:val="21"/>
        </w:rPr>
        <w:t>a.价格分占60 分,按如下公式计算：</w:t>
      </w:r>
    </w:p>
    <w:p>
      <w:pPr>
        <w:pStyle w:val="13"/>
        <w:spacing w:line="360" w:lineRule="auto"/>
        <w:ind w:left="420"/>
      </w:pPr>
      <w:r>
        <w:rPr>
          <w:rFonts w:hint="eastAsia"/>
        </w:rPr>
        <w:t>投标价每高于基准价1%扣  1分，最多扣60分，每低于基准价1%扣  0.5分，最多扣60分。不足1％的部分按内插法计算。</w:t>
      </w:r>
    </w:p>
    <w:p>
      <w:pPr>
        <w:spacing w:line="360" w:lineRule="auto"/>
        <w:ind w:left="427"/>
      </w:pPr>
      <w:r>
        <w:rPr>
          <w:rFonts w:hint="eastAsia" w:ascii="宋体" w:hAnsi="宋体"/>
          <w:szCs w:val="21"/>
        </w:rPr>
        <w:t>b.价格算术错误更正方法：如果数字表示的金额和用文字表示的金额不一致时，应以文字</w:t>
      </w:r>
    </w:p>
    <w:p>
      <w:pPr>
        <w:spacing w:line="360" w:lineRule="auto"/>
      </w:pPr>
      <w:r>
        <w:rPr>
          <w:rFonts w:hint="eastAsia" w:ascii="宋体" w:hAnsi="宋体"/>
          <w:szCs w:val="21"/>
        </w:rPr>
        <w:t>表示的金额为准。当单价与数量的乘积与合价不一致时，以单价为准，除非评标委员会认为单价有明显的小数点错误，此时应以标出的合价为准，并修改单价。</w:t>
      </w:r>
    </w:p>
    <w:p>
      <w:pPr>
        <w:pStyle w:val="13"/>
        <w:spacing w:line="360" w:lineRule="auto"/>
        <w:ind w:left="0" w:leftChars="0" w:firstLine="422" w:firstLineChars="200"/>
        <w:rPr>
          <w:b/>
          <w:bCs/>
        </w:rPr>
      </w:pPr>
      <w:r>
        <w:rPr>
          <w:rFonts w:hint="eastAsia" w:ascii="宋体" w:hAnsi="宋体"/>
          <w:b/>
          <w:bCs/>
          <w:szCs w:val="21"/>
        </w:rPr>
        <w:t>c.基准价：</w:t>
      </w:r>
      <w:r>
        <w:rPr>
          <w:rFonts w:hint="eastAsia"/>
          <w:b/>
          <w:bCs/>
          <w:szCs w:val="21"/>
        </w:rPr>
        <w:t>取所有通过初步评审的报价人经计算的报价的算术平均值作为基准价</w:t>
      </w:r>
      <w:r>
        <w:rPr>
          <w:rFonts w:hint="eastAsia"/>
          <w:b/>
          <w:bCs/>
        </w:rPr>
        <w:t>。</w:t>
      </w:r>
    </w:p>
    <w:p>
      <w:pPr>
        <w:rPr>
          <w:szCs w:val="21"/>
        </w:rPr>
      </w:pPr>
      <w:r>
        <w:rPr>
          <w:rFonts w:hint="eastAsia"/>
        </w:rPr>
        <w:t xml:space="preserve">        </w:t>
      </w:r>
      <w:r>
        <w:rPr>
          <w:rFonts w:hint="eastAsia" w:ascii="宋体" w:hAnsi="宋体"/>
          <w:szCs w:val="21"/>
        </w:rPr>
        <w:t>d</w:t>
      </w:r>
      <w:r>
        <w:rPr>
          <w:rFonts w:hint="eastAsia"/>
        </w:rPr>
        <w:t>.</w:t>
      </w:r>
      <w:r>
        <w:rPr>
          <w:rFonts w:hint="eastAsia"/>
          <w:szCs w:val="21"/>
        </w:rPr>
        <w:t>按上述方法计算的结果保存两位小数，第三位四舍五入。</w:t>
      </w:r>
    </w:p>
    <w:p>
      <w:pPr>
        <w:pStyle w:val="13"/>
        <w:spacing w:line="360" w:lineRule="auto"/>
        <w:ind w:left="0" w:leftChars="0"/>
      </w:pPr>
      <w:r>
        <w:rPr>
          <w:rFonts w:hint="eastAsia"/>
        </w:rPr>
        <w:t>4）总分计算</w:t>
      </w:r>
    </w:p>
    <w:p>
      <w:pPr>
        <w:pStyle w:val="13"/>
        <w:spacing w:line="360" w:lineRule="auto"/>
        <w:ind w:left="420"/>
      </w:pPr>
      <w:r>
        <w:rPr>
          <w:rFonts w:hint="eastAsia"/>
        </w:rPr>
        <w:t>报价人总得分＝商务技术得分+价格得分</w:t>
      </w:r>
    </w:p>
    <w:p>
      <w:pPr>
        <w:ind w:firstLine="420" w:firstLineChars="200"/>
      </w:pPr>
      <w:r>
        <w:rPr>
          <w:rFonts w:hint="eastAsia" w:ascii="宋体" w:hAnsi="宋体"/>
          <w:szCs w:val="21"/>
        </w:rPr>
        <w:t>全体评委对各评审表校核无误后在评审表上签名确认。</w:t>
      </w:r>
    </w:p>
    <w:p>
      <w:pPr>
        <w:pStyle w:val="13"/>
        <w:ind w:left="420"/>
      </w:pPr>
    </w:p>
    <w:p>
      <w:pPr>
        <w:pStyle w:val="13"/>
        <w:numPr>
          <w:ilvl w:val="0"/>
          <w:numId w:val="8"/>
        </w:numPr>
        <w:spacing w:line="360" w:lineRule="auto"/>
        <w:ind w:left="0" w:leftChars="0"/>
        <w:rPr>
          <w:b/>
          <w:bCs/>
        </w:rPr>
      </w:pPr>
      <w:r>
        <w:rPr>
          <w:rFonts w:hint="eastAsia"/>
          <w:b/>
          <w:bCs/>
        </w:rPr>
        <w:t xml:space="preserve"> 推荐成交候选人</w:t>
      </w:r>
    </w:p>
    <w:p>
      <w:pPr>
        <w:pStyle w:val="13"/>
        <w:spacing w:line="360" w:lineRule="auto"/>
        <w:ind w:left="0" w:leftChars="0" w:firstLine="420" w:firstLineChars="200"/>
      </w:pPr>
      <w:r>
        <w:rPr>
          <w:rFonts w:hint="eastAsia"/>
        </w:rPr>
        <w:t>采购人员依据评审情况编写《评审报告》，按总分由高到低对报价人进行排序，总得分最高者为第一成交候选人，次高者为第二中标候选人，依此类推，评审小组将推荐总得分前3名的报价人（出现并列时，选其报价低的报价人；若报价人的投价格相同，则由评审小组投票少数服从多数决定排名先后）为成交候选人。</w:t>
      </w:r>
    </w:p>
    <w:p/>
    <w:p>
      <w:pPr>
        <w:numPr>
          <w:ilvl w:val="0"/>
          <w:numId w:val="8"/>
        </w:numPr>
        <w:tabs>
          <w:tab w:val="left" w:pos="840"/>
        </w:tabs>
        <w:spacing w:line="360" w:lineRule="auto"/>
        <w:rPr>
          <w:b/>
          <w:bCs/>
          <w:szCs w:val="21"/>
        </w:rPr>
      </w:pPr>
      <w:r>
        <w:rPr>
          <w:rFonts w:hint="eastAsia"/>
          <w:b/>
          <w:bCs/>
          <w:szCs w:val="21"/>
        </w:rPr>
        <w:t xml:space="preserve"> 合同的授予</w:t>
      </w:r>
      <w:bookmarkStart w:id="23" w:name="_Toc353536745"/>
      <w:bookmarkEnd w:id="23"/>
      <w:bookmarkStart w:id="24" w:name="_Toc353536748"/>
      <w:bookmarkEnd w:id="24"/>
      <w:bookmarkStart w:id="25" w:name="_Toc353536747"/>
      <w:bookmarkEnd w:id="25"/>
      <w:bookmarkStart w:id="26" w:name="_Toc353536744"/>
      <w:bookmarkEnd w:id="26"/>
      <w:bookmarkStart w:id="27" w:name="_Toc353536746"/>
      <w:bookmarkEnd w:id="27"/>
      <w:bookmarkStart w:id="28" w:name="_Toc22149474"/>
    </w:p>
    <w:p>
      <w:pPr>
        <w:tabs>
          <w:tab w:val="left" w:pos="840"/>
        </w:tabs>
        <w:spacing w:line="360" w:lineRule="auto"/>
        <w:rPr>
          <w:szCs w:val="21"/>
        </w:rPr>
      </w:pPr>
      <w:r>
        <w:rPr>
          <w:rFonts w:hint="eastAsia"/>
          <w:szCs w:val="21"/>
        </w:rPr>
        <w:t>14.1 合同授予标准</w:t>
      </w:r>
      <w:bookmarkEnd w:id="28"/>
      <w:r>
        <w:rPr>
          <w:rFonts w:hint="eastAsia"/>
          <w:szCs w:val="21"/>
        </w:rPr>
        <w:t>：采购人将把合同授予被确定为实质上响应采购文件的要求并具有履行合同能力的符合采购需求、综合得分最高的报价人。</w:t>
      </w:r>
    </w:p>
    <w:p>
      <w:pPr>
        <w:tabs>
          <w:tab w:val="left" w:pos="840"/>
        </w:tabs>
        <w:spacing w:line="360" w:lineRule="auto"/>
        <w:rPr>
          <w:szCs w:val="21"/>
        </w:rPr>
      </w:pPr>
      <w:bookmarkStart w:id="29" w:name="_Toc22149475"/>
      <w:r>
        <w:rPr>
          <w:rFonts w:hint="eastAsia"/>
          <w:szCs w:val="21"/>
        </w:rPr>
        <w:t>14.2</w:t>
      </w:r>
      <w:bookmarkEnd w:id="29"/>
      <w:r>
        <w:rPr>
          <w:rFonts w:hint="eastAsia"/>
          <w:szCs w:val="21"/>
        </w:rPr>
        <w:t>采购人在授予合同时有权在一定的幅度内对报价表中规定的服务数量予以增加或减少，但不得对单价或其它的条款和条件做任何实质改变</w:t>
      </w:r>
      <w:bookmarkStart w:id="30" w:name="_Toc22149476"/>
      <w:r>
        <w:rPr>
          <w:rFonts w:hint="eastAsia"/>
          <w:szCs w:val="21"/>
        </w:rPr>
        <w:t>。</w:t>
      </w:r>
      <w:bookmarkEnd w:id="30"/>
      <w:bookmarkStart w:id="31" w:name="_Toc22149477"/>
    </w:p>
    <w:p>
      <w:pPr>
        <w:tabs>
          <w:tab w:val="left" w:pos="840"/>
        </w:tabs>
        <w:spacing w:line="360" w:lineRule="auto"/>
        <w:rPr>
          <w:szCs w:val="21"/>
        </w:rPr>
      </w:pPr>
      <w:r>
        <w:rPr>
          <w:rFonts w:hint="eastAsia"/>
          <w:szCs w:val="21"/>
        </w:rPr>
        <w:t>14.3成交通知书</w:t>
      </w:r>
      <w:bookmarkEnd w:id="31"/>
    </w:p>
    <w:p>
      <w:pPr>
        <w:tabs>
          <w:tab w:val="left" w:pos="840"/>
        </w:tabs>
        <w:spacing w:line="360" w:lineRule="auto"/>
        <w:ind w:firstLine="420" w:firstLineChars="200"/>
        <w:rPr>
          <w:szCs w:val="21"/>
        </w:rPr>
      </w:pPr>
      <w:r>
        <w:rPr>
          <w:rFonts w:hint="eastAsia"/>
          <w:szCs w:val="21"/>
        </w:rPr>
        <w:t>采购人确定成交报价人后，向成交报价人发出《成交通知书》。</w:t>
      </w:r>
    </w:p>
    <w:p>
      <w:pPr>
        <w:tabs>
          <w:tab w:val="left" w:pos="840"/>
        </w:tabs>
        <w:spacing w:line="360" w:lineRule="auto"/>
        <w:rPr>
          <w:szCs w:val="21"/>
        </w:rPr>
      </w:pPr>
      <w:bookmarkStart w:id="32" w:name="_Toc22149478"/>
      <w:r>
        <w:rPr>
          <w:rFonts w:hint="eastAsia"/>
          <w:szCs w:val="21"/>
        </w:rPr>
        <w:t>14.4签订合同</w:t>
      </w:r>
      <w:bookmarkEnd w:id="32"/>
    </w:p>
    <w:p>
      <w:pPr>
        <w:tabs>
          <w:tab w:val="left" w:pos="840"/>
        </w:tabs>
        <w:spacing w:line="360" w:lineRule="auto"/>
        <w:ind w:firstLine="420" w:firstLineChars="200"/>
        <w:rPr>
          <w:szCs w:val="21"/>
        </w:rPr>
      </w:pPr>
      <w:r>
        <w:rPr>
          <w:rFonts w:hint="eastAsia"/>
          <w:szCs w:val="21"/>
        </w:rPr>
        <w:t>成交报价人在收到成交通知书后10天内与采购人签署合同。按照采购文件和成交报价人的报价文件及其他相关文件订立书面合同；</w:t>
      </w:r>
    </w:p>
    <w:p>
      <w:pPr>
        <w:tabs>
          <w:tab w:val="left" w:pos="840"/>
        </w:tabs>
        <w:spacing w:line="360" w:lineRule="auto"/>
        <w:ind w:firstLine="420" w:firstLineChars="200"/>
        <w:rPr>
          <w:szCs w:val="21"/>
        </w:rPr>
      </w:pPr>
      <w:r>
        <w:rPr>
          <w:rFonts w:hint="eastAsia"/>
          <w:szCs w:val="21"/>
        </w:rPr>
        <w:t>如果成交报价人没有按照上述第规定执行，采购人将有充分理由取消该成交决定。在此情况下，采购人可将合同授予其他满足采购要求的报价人，或重新组织采购。</w:t>
      </w:r>
    </w:p>
    <w:p>
      <w:pPr>
        <w:pStyle w:val="2"/>
      </w:pPr>
    </w:p>
    <w:p>
      <w:pPr>
        <w:widowControl/>
        <w:tabs>
          <w:tab w:val="left" w:pos="567"/>
        </w:tabs>
        <w:autoSpaceDE w:val="0"/>
        <w:autoSpaceDN w:val="0"/>
        <w:textAlignment w:val="bottom"/>
        <w:rPr>
          <w:b/>
          <w:sz w:val="32"/>
          <w:szCs w:val="32"/>
        </w:rPr>
      </w:pPr>
    </w:p>
    <w:p>
      <w:pPr>
        <w:widowControl/>
        <w:tabs>
          <w:tab w:val="left" w:pos="567"/>
        </w:tabs>
        <w:autoSpaceDE w:val="0"/>
        <w:autoSpaceDN w:val="0"/>
        <w:textAlignment w:val="bottom"/>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widowControl/>
        <w:numPr>
          <w:ilvl w:val="0"/>
          <w:numId w:val="2"/>
        </w:numPr>
        <w:tabs>
          <w:tab w:val="left" w:pos="567"/>
        </w:tabs>
        <w:autoSpaceDE w:val="0"/>
        <w:autoSpaceDN w:val="0"/>
        <w:jc w:val="center"/>
        <w:textAlignment w:val="bottom"/>
        <w:rPr>
          <w:b/>
          <w:sz w:val="32"/>
          <w:szCs w:val="32"/>
        </w:rPr>
      </w:pPr>
      <w:r>
        <w:rPr>
          <w:rFonts w:hint="eastAsia"/>
          <w:b/>
          <w:sz w:val="32"/>
          <w:szCs w:val="32"/>
        </w:rPr>
        <w:t xml:space="preserve"> 合同条款</w:t>
      </w:r>
    </w:p>
    <w:p>
      <w:pPr>
        <w:tabs>
          <w:tab w:val="left" w:pos="1065"/>
        </w:tabs>
        <w:rPr>
          <w:color w:val="000000"/>
        </w:rPr>
      </w:pPr>
      <w:r>
        <w:rPr>
          <w:rFonts w:hint="eastAsia"/>
          <w:color w:val="000000"/>
        </w:rPr>
        <w:t xml:space="preserve"> </w:t>
      </w:r>
      <w:r>
        <w:rPr>
          <w:color w:val="000000"/>
        </w:rPr>
        <w:t xml:space="preserve">                 </w:t>
      </w:r>
    </w:p>
    <w:p>
      <w:pPr>
        <w:tabs>
          <w:tab w:val="left" w:pos="1065"/>
        </w:tabs>
        <w:ind w:left="2730" w:hanging="2730" w:hangingChars="1300"/>
        <w:rPr>
          <w:color w:val="000000"/>
        </w:rPr>
      </w:pPr>
      <w:r>
        <w:rPr>
          <w:color w:val="000000"/>
        </w:rPr>
        <w:t xml:space="preserve">                                                             </w:t>
      </w:r>
    </w:p>
    <w:p>
      <w:pPr>
        <w:pStyle w:val="2"/>
        <w:ind w:firstLine="0"/>
        <w:rPr>
          <w:rFonts w:ascii="宋体" w:hAnsi="宋体" w:cs="宋体"/>
          <w:sz w:val="24"/>
          <w:szCs w:val="24"/>
        </w:rPr>
      </w:pPr>
      <w:r>
        <w:rPr>
          <w:rFonts w:ascii="宋体" w:hAnsi="宋体" w:cs="宋体"/>
          <w:sz w:val="24"/>
          <w:szCs w:val="24"/>
        </w:rPr>
        <w:t>注释:</w:t>
      </w:r>
      <w:r>
        <w:rPr>
          <w:rFonts w:ascii="宋体" w:hAnsi="宋体" w:cs="宋体"/>
          <w:sz w:val="24"/>
          <w:szCs w:val="24"/>
        </w:rPr>
        <w:br w:type="textWrapping"/>
      </w:r>
      <w:r>
        <w:rPr>
          <w:rFonts w:ascii="宋体" w:hAnsi="宋体" w:cs="宋体"/>
          <w:sz w:val="24"/>
          <w:szCs w:val="24"/>
        </w:rPr>
        <w:t>    本合同格式条款仅作为双方签订合同的参考，为阐明各方的权利和义务，经协商可增加新的条款，但不得与招标文件、投标文件的实质性内容相背离，本项目采购合同须送壹份至采购代理机构备案，具有同等效力。</w:t>
      </w: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jc w:val="center"/>
        <w:rPr>
          <w:rFonts w:ascii="宋体" w:hAnsi="宋体" w:cs="宋体"/>
          <w:color w:val="000000"/>
          <w:sz w:val="44"/>
          <w:szCs w:val="44"/>
        </w:rPr>
      </w:pPr>
      <w:r>
        <w:rPr>
          <w:rFonts w:hint="eastAsia" w:ascii="宋体" w:hAnsi="宋体" w:cs="宋体"/>
          <w:b/>
          <w:sz w:val="44"/>
          <w:szCs w:val="44"/>
        </w:rPr>
        <w:t>知识产权委托代理合同</w:t>
      </w: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b/>
          <w:color w:val="000000"/>
          <w:sz w:val="28"/>
          <w:szCs w:val="28"/>
        </w:rPr>
      </w:pPr>
      <w:r>
        <w:rPr>
          <w:rFonts w:hint="eastAsia"/>
          <w:b/>
          <w:color w:val="000000"/>
          <w:sz w:val="28"/>
          <w:szCs w:val="28"/>
        </w:rPr>
        <w:t>项目名称：</w:t>
      </w:r>
    </w:p>
    <w:p>
      <w:pPr>
        <w:tabs>
          <w:tab w:val="left" w:pos="1065"/>
        </w:tabs>
        <w:rPr>
          <w:b/>
          <w:color w:val="000000"/>
          <w:sz w:val="28"/>
          <w:szCs w:val="28"/>
        </w:rPr>
      </w:pPr>
      <w:r>
        <w:rPr>
          <w:rFonts w:hint="eastAsia"/>
          <w:b/>
          <w:color w:val="000000"/>
          <w:sz w:val="28"/>
          <w:szCs w:val="28"/>
        </w:rPr>
        <w:t>项目编号：</w:t>
      </w:r>
    </w:p>
    <w:p>
      <w:pPr>
        <w:tabs>
          <w:tab w:val="left" w:pos="1065"/>
        </w:tabs>
        <w:rPr>
          <w:b/>
          <w:color w:val="000000"/>
          <w:sz w:val="28"/>
          <w:szCs w:val="28"/>
        </w:rPr>
      </w:pPr>
      <w:r>
        <w:rPr>
          <w:rFonts w:hint="eastAsia"/>
          <w:b/>
          <w:color w:val="000000"/>
          <w:sz w:val="28"/>
          <w:szCs w:val="28"/>
        </w:rPr>
        <w:t>合同期限：</w:t>
      </w:r>
    </w:p>
    <w:p>
      <w:pPr>
        <w:tabs>
          <w:tab w:val="left" w:pos="1065"/>
        </w:tabs>
        <w:rPr>
          <w:b/>
          <w:color w:val="000000"/>
          <w:sz w:val="28"/>
          <w:szCs w:val="28"/>
        </w:rPr>
      </w:pPr>
      <w:r>
        <w:rPr>
          <w:rFonts w:hint="eastAsia"/>
          <w:b/>
          <w:color w:val="000000"/>
          <w:sz w:val="28"/>
          <w:szCs w:val="28"/>
        </w:rPr>
        <w:t>签订地：广州</w:t>
      </w:r>
    </w:p>
    <w:p>
      <w:pPr>
        <w:widowControl/>
        <w:spacing w:line="360" w:lineRule="auto"/>
        <w:jc w:val="center"/>
        <w:rPr>
          <w:rFonts w:ascii="宋体" w:hAnsi="宋体"/>
          <w:b/>
          <w:color w:val="000000"/>
          <w:sz w:val="44"/>
          <w:szCs w:val="44"/>
        </w:rPr>
      </w:pPr>
    </w:p>
    <w:p>
      <w:pPr>
        <w:widowControl/>
        <w:spacing w:line="360" w:lineRule="auto"/>
        <w:jc w:val="center"/>
        <w:rPr>
          <w:rFonts w:ascii="宋体" w:hAnsi="宋体"/>
          <w:b/>
          <w:color w:val="000000"/>
          <w:sz w:val="44"/>
          <w:szCs w:val="44"/>
        </w:rPr>
      </w:pPr>
    </w:p>
    <w:p>
      <w:pPr>
        <w:spacing w:line="360" w:lineRule="auto"/>
        <w:rPr>
          <w:b/>
          <w:color w:val="000000"/>
          <w:sz w:val="28"/>
          <w:szCs w:val="28"/>
        </w:rPr>
      </w:pPr>
    </w:p>
    <w:p>
      <w:pPr>
        <w:spacing w:line="360" w:lineRule="auto"/>
        <w:rPr>
          <w:b/>
          <w:color w:val="000000"/>
          <w:sz w:val="28"/>
          <w:szCs w:val="28"/>
        </w:rPr>
      </w:pPr>
      <w:r>
        <w:rPr>
          <w:rFonts w:hint="eastAsia"/>
          <w:b/>
          <w:color w:val="000000"/>
          <w:sz w:val="28"/>
          <w:szCs w:val="28"/>
        </w:rPr>
        <w:t>甲方（委托方）：广东机场白云信息科技有限公司</w:t>
      </w:r>
    </w:p>
    <w:p>
      <w:pPr>
        <w:tabs>
          <w:tab w:val="left" w:pos="1065"/>
        </w:tabs>
        <w:rPr>
          <w:rFonts w:ascii="宋体" w:hAnsi="宋体" w:cs="宋体"/>
          <w:bCs/>
          <w:color w:val="000000"/>
          <w:sz w:val="28"/>
          <w:szCs w:val="28"/>
        </w:rPr>
      </w:pPr>
      <w:r>
        <w:rPr>
          <w:rFonts w:hint="eastAsia" w:ascii="宋体" w:hAnsi="宋体" w:cs="宋体"/>
          <w:bCs/>
          <w:color w:val="000000"/>
          <w:sz w:val="28"/>
          <w:szCs w:val="28"/>
        </w:rPr>
        <w:t>法定代表人：</w:t>
      </w:r>
    </w:p>
    <w:p>
      <w:pPr>
        <w:tabs>
          <w:tab w:val="left" w:pos="1065"/>
        </w:tabs>
      </w:pPr>
      <w:r>
        <w:rPr>
          <w:rFonts w:hint="eastAsia" w:ascii="宋体" w:hAnsi="宋体" w:cs="宋体"/>
          <w:bCs/>
          <w:color w:val="000000"/>
          <w:sz w:val="28"/>
          <w:szCs w:val="28"/>
        </w:rPr>
        <w:t>住  所：广州市白云区新白云国际机场A4地块二级公司业务楼北楼</w:t>
      </w:r>
    </w:p>
    <w:p>
      <w:pPr>
        <w:tabs>
          <w:tab w:val="left" w:pos="1065"/>
        </w:tabs>
        <w:rPr>
          <w:b/>
          <w:color w:val="000000"/>
          <w:sz w:val="28"/>
          <w:szCs w:val="28"/>
        </w:rPr>
      </w:pPr>
      <w:r>
        <w:rPr>
          <w:rFonts w:hint="eastAsia"/>
          <w:b/>
          <w:color w:val="000000"/>
          <w:sz w:val="28"/>
          <w:szCs w:val="28"/>
        </w:rPr>
        <w:t>乙方（代理方）：</w:t>
      </w:r>
    </w:p>
    <w:p>
      <w:pPr>
        <w:tabs>
          <w:tab w:val="left" w:pos="1065"/>
        </w:tabs>
        <w:rPr>
          <w:rFonts w:ascii="宋体" w:hAnsi="宋体" w:cs="宋体"/>
          <w:bCs/>
          <w:color w:val="000000"/>
          <w:sz w:val="28"/>
          <w:szCs w:val="28"/>
        </w:rPr>
      </w:pPr>
      <w:r>
        <w:rPr>
          <w:rFonts w:hint="eastAsia" w:ascii="宋体" w:hAnsi="宋体" w:cs="宋体"/>
          <w:bCs/>
          <w:color w:val="000000"/>
          <w:sz w:val="28"/>
          <w:szCs w:val="28"/>
        </w:rPr>
        <w:t>法定代表人：</w:t>
      </w:r>
    </w:p>
    <w:p>
      <w:pPr>
        <w:tabs>
          <w:tab w:val="left" w:pos="1065"/>
        </w:tabs>
        <w:rPr>
          <w:rFonts w:ascii="宋体" w:hAnsi="宋体" w:cs="宋体"/>
          <w:bCs/>
          <w:color w:val="000000"/>
          <w:sz w:val="28"/>
          <w:szCs w:val="28"/>
        </w:rPr>
      </w:pPr>
      <w:r>
        <w:rPr>
          <w:rFonts w:hint="eastAsia" w:ascii="宋体" w:hAnsi="宋体" w:cs="宋体"/>
          <w:bCs/>
          <w:color w:val="000000"/>
          <w:sz w:val="28"/>
          <w:szCs w:val="28"/>
        </w:rPr>
        <w:t>住  所：</w:t>
      </w:r>
    </w:p>
    <w:p>
      <w:pPr>
        <w:spacing w:line="440" w:lineRule="exact"/>
        <w:ind w:left="216" w:leftChars="103" w:firstLine="201" w:firstLineChars="96"/>
        <w:rPr>
          <w:rFonts w:ascii="仿宋" w:hAnsi="仿宋" w:eastAsia="仿宋" w:cs="仿宋"/>
          <w:szCs w:val="21"/>
        </w:rPr>
      </w:pPr>
      <w:r>
        <w:rPr>
          <w:rFonts w:hint="eastAsia" w:ascii="仿宋" w:hAnsi="仿宋" w:eastAsia="仿宋" w:cs="仿宋"/>
          <w:szCs w:val="21"/>
        </w:rPr>
        <w:t>广东机场白云信息科技有限公司（以下简称甲方）与</w:t>
      </w:r>
      <w:r>
        <w:rPr>
          <w:rFonts w:hint="eastAsia" w:ascii="仿宋" w:hAnsi="仿宋" w:eastAsia="仿宋" w:cs="仿宋"/>
          <w:szCs w:val="21"/>
          <w:u w:val="single"/>
        </w:rPr>
        <w:t xml:space="preserve">          </w:t>
      </w:r>
      <w:r>
        <w:rPr>
          <w:rFonts w:hint="eastAsia" w:ascii="仿宋" w:hAnsi="仿宋" w:eastAsia="仿宋"/>
          <w:szCs w:val="21"/>
        </w:rPr>
        <w:t>（以下简称乙方）</w:t>
      </w:r>
      <w:r>
        <w:rPr>
          <w:rFonts w:hint="eastAsia" w:ascii="仿宋" w:hAnsi="仿宋" w:eastAsia="仿宋" w:cs="仿宋"/>
          <w:szCs w:val="21"/>
        </w:rPr>
        <w:t>就甲方委托乙方代理知识产权、</w:t>
      </w:r>
      <w:r>
        <w:rPr>
          <w:rFonts w:hint="eastAsia" w:ascii="仿宋" w:hAnsi="仿宋" w:eastAsia="仿宋" w:cs="仿宋"/>
          <w:szCs w:val="21"/>
          <w:u w:val="single"/>
        </w:rPr>
        <w:t>商标注册等</w:t>
      </w:r>
      <w:r>
        <w:rPr>
          <w:rFonts w:hint="eastAsia" w:ascii="仿宋" w:hAnsi="仿宋" w:eastAsia="仿宋" w:cs="仿宋"/>
          <w:szCs w:val="21"/>
        </w:rPr>
        <w:t>知识产权注册、申报、登记等相关事宜，依照《中华人民共和国合同法》、《中华人民共和国商标法》、《中华人民共和国商标法实施条例》以及其他有关法律法规的规定，在遵循自愿、平等、公平、诚信原则的基础上订立如下协议。</w:t>
      </w:r>
    </w:p>
    <w:p>
      <w:pPr>
        <w:pStyle w:val="26"/>
        <w:spacing w:line="440" w:lineRule="exact"/>
        <w:ind w:left="216" w:leftChars="103" w:firstLine="231" w:firstLineChars="96"/>
        <w:rPr>
          <w:rFonts w:ascii="仿宋" w:hAnsi="仿宋" w:eastAsia="仿宋" w:cs="仿宋"/>
          <w:b/>
          <w:bCs/>
          <w:sz w:val="24"/>
          <w:szCs w:val="24"/>
        </w:rPr>
      </w:pPr>
      <w:r>
        <w:rPr>
          <w:rFonts w:hint="eastAsia" w:ascii="仿宋" w:hAnsi="仿宋" w:eastAsia="仿宋" w:cs="仿宋"/>
          <w:b/>
          <w:bCs/>
          <w:sz w:val="24"/>
          <w:szCs w:val="24"/>
        </w:rPr>
        <w:t>1.代理事项</w:t>
      </w:r>
    </w:p>
    <w:p>
      <w:pPr>
        <w:pStyle w:val="26"/>
        <w:spacing w:line="440" w:lineRule="exact"/>
        <w:ind w:left="216" w:leftChars="103" w:firstLine="201" w:firstLineChars="96"/>
        <w:rPr>
          <w:rFonts w:ascii="仿宋" w:hAnsi="仿宋" w:eastAsia="仿宋" w:cs="仿宋"/>
        </w:rPr>
      </w:pPr>
      <w:r>
        <w:rPr>
          <w:rFonts w:hint="eastAsia" w:ascii="仿宋" w:hAnsi="仿宋" w:eastAsia="仿宋" w:cs="仿宋"/>
        </w:rPr>
        <w:t>1.1甲方拟就专利、商标、著作权知识产权相关工作委托乙方代理注册申请/登记/审核等事宜。</w:t>
      </w:r>
    </w:p>
    <w:p>
      <w:pPr>
        <w:pStyle w:val="26"/>
        <w:spacing w:line="440" w:lineRule="exact"/>
        <w:ind w:left="216" w:leftChars="103" w:firstLine="201" w:firstLineChars="96"/>
        <w:rPr>
          <w:rFonts w:ascii="仿宋" w:hAnsi="仿宋" w:eastAsia="仿宋" w:cs="仿宋"/>
        </w:rPr>
      </w:pPr>
      <w:r>
        <w:rPr>
          <w:rFonts w:hint="eastAsia" w:ascii="仿宋" w:hAnsi="仿宋" w:eastAsia="仿宋" w:cs="仿宋"/>
        </w:rPr>
        <w:t>1.2 甲方依据实际需要不定期向乙方发出订单，甲方具体委托项目及数量以附件清单或甲方下的订单为准。</w:t>
      </w:r>
    </w:p>
    <w:p>
      <w:pPr>
        <w:pStyle w:val="26"/>
        <w:spacing w:line="440" w:lineRule="exact"/>
        <w:ind w:left="216" w:leftChars="103" w:firstLine="201" w:firstLineChars="96"/>
        <w:rPr>
          <w:rFonts w:ascii="仿宋" w:hAnsi="仿宋" w:eastAsia="仿宋" w:cs="仿宋"/>
          <w:b/>
          <w:bCs/>
        </w:rPr>
      </w:pPr>
      <w:r>
        <w:rPr>
          <w:rFonts w:hint="eastAsia" w:ascii="仿宋" w:hAnsi="仿宋" w:eastAsia="仿宋" w:cs="仿宋"/>
        </w:rPr>
        <w:t>1.3乙方负责事宜：商标查询，商标注册申请、递交申请书件、转达受理号、转审查意见、通知商标公告时间和通知领取商标注册证；商标变更申请、商标许可合同备案、商标续展申请、商标驳回复审；商标异议申请、商标异议答辩；商标设计；外观设计；实用新型；发明；著作权；计算机软件版权；海关备案；专利合作；其他。甲方应当及时配合乙方尽职完成委托的知识产权申请事务，在成功注册/登记/申报后，乙方为甲方提供在商标有效期内（十年）的检测维护服务。</w:t>
      </w:r>
    </w:p>
    <w:p>
      <w:pPr>
        <w:pStyle w:val="26"/>
        <w:spacing w:line="440" w:lineRule="exact"/>
        <w:ind w:left="218" w:leftChars="104" w:firstLine="229" w:firstLineChars="95"/>
        <w:rPr>
          <w:rFonts w:ascii="仿宋" w:hAnsi="仿宋" w:eastAsia="仿宋" w:cs="仿宋"/>
          <w:b/>
          <w:bCs/>
          <w:sz w:val="24"/>
          <w:szCs w:val="24"/>
        </w:rPr>
      </w:pPr>
      <w:r>
        <w:rPr>
          <w:rFonts w:hint="eastAsia" w:ascii="仿宋" w:hAnsi="仿宋" w:eastAsia="仿宋" w:cs="仿宋"/>
          <w:b/>
          <w:bCs/>
          <w:sz w:val="24"/>
          <w:szCs w:val="24"/>
        </w:rPr>
        <w:t>2.价格</w:t>
      </w:r>
    </w:p>
    <w:p>
      <w:pPr>
        <w:pStyle w:val="26"/>
        <w:spacing w:line="440" w:lineRule="exact"/>
        <w:ind w:left="218" w:leftChars="104" w:firstLine="229" w:firstLineChars="95"/>
        <w:rPr>
          <w:rFonts w:ascii="仿宋" w:hAnsi="仿宋" w:eastAsia="仿宋" w:cs="仿宋"/>
          <w:b/>
          <w:bCs/>
          <w:sz w:val="24"/>
          <w:szCs w:val="24"/>
        </w:rPr>
      </w:pPr>
      <w:r>
        <w:rPr>
          <w:rFonts w:hint="eastAsia" w:ascii="仿宋" w:hAnsi="仿宋" w:eastAsia="仿宋" w:cs="仿宋"/>
          <w:b/>
          <w:bCs/>
          <w:sz w:val="24"/>
          <w:szCs w:val="24"/>
        </w:rPr>
        <w:t>2.1 价格清单</w:t>
      </w:r>
    </w:p>
    <w:p>
      <w:pPr>
        <w:pStyle w:val="26"/>
        <w:spacing w:line="440" w:lineRule="exact"/>
        <w:ind w:left="218" w:leftChars="104" w:firstLine="199" w:firstLineChars="95"/>
        <w:rPr>
          <w:rFonts w:ascii="仿宋" w:hAnsi="仿宋" w:eastAsia="仿宋" w:cs="仿宋"/>
        </w:rPr>
      </w:pPr>
    </w:p>
    <w:p>
      <w:pPr>
        <w:spacing w:line="440" w:lineRule="exact"/>
        <w:ind w:left="218" w:leftChars="104" w:firstLine="199" w:firstLineChars="95"/>
        <w:jc w:val="left"/>
        <w:rPr>
          <w:rFonts w:ascii="仿宋" w:hAnsi="仿宋" w:eastAsia="仿宋" w:cs="仿宋"/>
          <w:szCs w:val="21"/>
        </w:rPr>
      </w:pPr>
      <w:r>
        <w:rPr>
          <w:rFonts w:hint="eastAsia" w:ascii="仿宋" w:hAnsi="仿宋" w:eastAsia="仿宋"/>
          <w:bCs/>
          <w:szCs w:val="21"/>
        </w:rPr>
        <w:t>2.2该单价</w:t>
      </w:r>
      <w:r>
        <w:rPr>
          <w:rFonts w:hint="eastAsia" w:ascii="仿宋" w:hAnsi="仿宋" w:eastAsia="仿宋" w:cs="仿宋"/>
          <w:szCs w:val="21"/>
        </w:rPr>
        <w:t>包括查询费、材料费、制作加工费、交通费、检测费、技术服务费、税费、撰写费、检测费、维护服务费等。除合同另有规定外，甲方不再支付乙方其他费用。</w:t>
      </w:r>
    </w:p>
    <w:p>
      <w:pPr>
        <w:spacing w:line="440" w:lineRule="exact"/>
        <w:ind w:left="218" w:leftChars="104" w:firstLine="199" w:firstLineChars="95"/>
        <w:jc w:val="lef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3乙方同意甲方在本合同签订后，有权根据自身需要增减相关你申请注册商标，最终根据甲方实际申请结算。</w:t>
      </w:r>
    </w:p>
    <w:p>
      <w:pPr>
        <w:tabs>
          <w:tab w:val="left" w:pos="10260"/>
        </w:tabs>
        <w:spacing w:before="156" w:beforeLines="50" w:line="400" w:lineRule="exact"/>
        <w:ind w:left="178" w:leftChars="85" w:right="170" w:rightChars="81"/>
        <w:rPr>
          <w:rFonts w:ascii="仿宋" w:hAnsi="仿宋" w:eastAsia="仿宋" w:cs="仿宋"/>
          <w:b/>
          <w:szCs w:val="21"/>
        </w:rPr>
      </w:pPr>
      <w:r>
        <w:rPr>
          <w:rFonts w:hint="eastAsia" w:ascii="仿宋" w:hAnsi="仿宋" w:eastAsia="仿宋" w:cs="仿宋"/>
          <w:b/>
          <w:szCs w:val="21"/>
        </w:rPr>
        <w:t>3.甲方的权利和义务</w:t>
      </w:r>
    </w:p>
    <w:p>
      <w:pPr>
        <w:tabs>
          <w:tab w:val="left" w:pos="10260"/>
        </w:tabs>
        <w:spacing w:line="400" w:lineRule="exact"/>
        <w:ind w:left="178" w:leftChars="85" w:right="170" w:rightChars="81"/>
        <w:rPr>
          <w:rFonts w:ascii="仿宋" w:hAnsi="仿宋" w:eastAsia="仿宋" w:cs="仿宋"/>
          <w:szCs w:val="21"/>
        </w:rPr>
      </w:pPr>
      <w:r>
        <w:rPr>
          <w:rFonts w:hint="eastAsia" w:ascii="仿宋" w:hAnsi="仿宋" w:eastAsia="仿宋" w:cs="仿宋"/>
          <w:szCs w:val="21"/>
        </w:rPr>
        <w:t>3.1 从签订合同之日起，甲方有权要求乙方反馈与委托事项有关的进展情况。</w:t>
      </w:r>
    </w:p>
    <w:p>
      <w:pPr>
        <w:tabs>
          <w:tab w:val="left" w:pos="10260"/>
        </w:tabs>
        <w:spacing w:line="400" w:lineRule="exact"/>
        <w:ind w:left="178" w:leftChars="85" w:right="170" w:rightChars="81"/>
        <w:rPr>
          <w:rFonts w:ascii="仿宋" w:hAnsi="仿宋" w:eastAsia="仿宋" w:cs="仿宋"/>
          <w:szCs w:val="21"/>
        </w:rPr>
      </w:pPr>
      <w:r>
        <w:rPr>
          <w:rFonts w:hint="eastAsia" w:ascii="仿宋" w:hAnsi="仿宋" w:eastAsia="仿宋" w:cs="仿宋"/>
          <w:szCs w:val="21"/>
        </w:rPr>
        <w:t>3.2 甲方应就委托事项向乙方出具所需委托书，并向乙方提供办理本合同约定的委托事项所需材料。甲方需保证其真实、合法、有效。</w:t>
      </w:r>
    </w:p>
    <w:p>
      <w:pPr>
        <w:tabs>
          <w:tab w:val="left" w:pos="10260"/>
        </w:tabs>
        <w:spacing w:line="400" w:lineRule="exact"/>
        <w:ind w:left="178" w:leftChars="85" w:right="170" w:rightChars="81"/>
        <w:rPr>
          <w:rFonts w:ascii="仿宋" w:hAnsi="仿宋" w:eastAsia="仿宋" w:cs="仿宋"/>
          <w:szCs w:val="21"/>
        </w:rPr>
      </w:pPr>
      <w:r>
        <w:rPr>
          <w:rFonts w:hint="eastAsia" w:ascii="仿宋" w:hAnsi="仿宋" w:eastAsia="仿宋" w:cs="仿宋"/>
          <w:szCs w:val="21"/>
        </w:rPr>
        <w:t>3.3甲方应根据本合同约定支付委托费用给乙方。</w:t>
      </w:r>
    </w:p>
    <w:p>
      <w:pPr>
        <w:tabs>
          <w:tab w:val="left" w:pos="10260"/>
        </w:tabs>
        <w:spacing w:line="400" w:lineRule="exact"/>
        <w:ind w:left="178" w:leftChars="85" w:right="170" w:rightChars="81"/>
        <w:rPr>
          <w:rFonts w:ascii="仿宋" w:hAnsi="仿宋" w:eastAsia="仿宋" w:cs="仿宋"/>
          <w:szCs w:val="21"/>
        </w:rPr>
      </w:pPr>
      <w:r>
        <w:rPr>
          <w:rFonts w:hint="eastAsia" w:ascii="仿宋" w:hAnsi="仿宋" w:eastAsia="仿宋" w:cs="仿宋"/>
          <w:szCs w:val="21"/>
        </w:rPr>
        <w:t>3.4 甲方指定的联络方式（包括联系人、电话、地址）发生变化应及时以书面或邮件方式通知乙方。</w:t>
      </w:r>
    </w:p>
    <w:p>
      <w:pPr>
        <w:tabs>
          <w:tab w:val="left" w:pos="10260"/>
        </w:tabs>
        <w:spacing w:before="156" w:beforeLines="50" w:line="400" w:lineRule="exact"/>
        <w:ind w:left="178" w:leftChars="85" w:right="170" w:rightChars="81"/>
        <w:rPr>
          <w:rFonts w:ascii="仿宋" w:hAnsi="仿宋" w:eastAsia="仿宋" w:cs="仿宋"/>
          <w:b/>
          <w:szCs w:val="21"/>
        </w:rPr>
      </w:pPr>
      <w:r>
        <w:rPr>
          <w:rFonts w:hint="eastAsia" w:ascii="仿宋" w:hAnsi="仿宋" w:eastAsia="仿宋" w:cs="仿宋"/>
          <w:b/>
          <w:szCs w:val="21"/>
        </w:rPr>
        <w:t>4.乙方的权利和义务</w:t>
      </w:r>
    </w:p>
    <w:p>
      <w:pPr>
        <w:tabs>
          <w:tab w:val="left" w:pos="10260"/>
        </w:tabs>
        <w:spacing w:line="400" w:lineRule="exact"/>
        <w:ind w:left="178" w:leftChars="85" w:right="170" w:rightChars="81"/>
        <w:rPr>
          <w:rFonts w:ascii="仿宋" w:hAnsi="仿宋" w:eastAsia="仿宋" w:cs="仿宋"/>
          <w:szCs w:val="21"/>
        </w:rPr>
      </w:pPr>
      <w:r>
        <w:rPr>
          <w:rFonts w:hint="eastAsia" w:ascii="仿宋" w:hAnsi="仿宋" w:eastAsia="仿宋" w:cs="仿宋"/>
        </w:rPr>
        <w:t>4.1乙方接受甲方委托，指派</w:t>
      </w:r>
      <w:r>
        <w:rPr>
          <w:rFonts w:hint="eastAsia" w:ascii="仿宋" w:hAnsi="仿宋" w:eastAsia="仿宋" w:cs="仿宋"/>
          <w:u w:val="single"/>
        </w:rPr>
        <w:t xml:space="preserve">　　　　 </w:t>
      </w:r>
      <w:r>
        <w:rPr>
          <w:rFonts w:hint="eastAsia" w:ascii="仿宋" w:hAnsi="仿宋" w:eastAsia="仿宋" w:cs="仿宋"/>
        </w:rPr>
        <w:t>为甲方商标代理承办人，期间如乙方变更商标代理承办人，应当通知甲方。</w:t>
      </w:r>
      <w:r>
        <w:rPr>
          <w:rFonts w:hint="eastAsia" w:ascii="仿宋" w:hAnsi="仿宋" w:eastAsia="仿宋" w:cs="仿宋"/>
        </w:rPr>
        <w:br w:type="textWrapping"/>
      </w:r>
      <w:r>
        <w:rPr>
          <w:rFonts w:hint="eastAsia" w:ascii="仿宋" w:hAnsi="仿宋" w:eastAsia="仿宋" w:cs="仿宋"/>
        </w:rPr>
        <w:t>4.2 乙方在代理过程中对上述委托事项的有关内容、资料和信息负有保管和保守秘密的义务，除已公开的，未经甲方许可不得向第三方泄露。因泄露秘密给甲方造成经济损失的，应依法承担赔偿责任。</w:t>
      </w:r>
      <w:r>
        <w:rPr>
          <w:rFonts w:hint="eastAsia" w:ascii="仿宋" w:hAnsi="仿宋" w:eastAsia="仿宋" w:cs="仿宋"/>
        </w:rPr>
        <w:br w:type="textWrapping"/>
      </w:r>
      <w:r>
        <w:rPr>
          <w:rFonts w:hint="eastAsia" w:ascii="仿宋" w:hAnsi="仿宋" w:eastAsia="仿宋" w:cs="仿宋"/>
        </w:rPr>
        <w:t>4.3 乙方在收到甲方提交的完整资料和按照合同约定的款项后，应在</w:t>
      </w:r>
      <w:r>
        <w:rPr>
          <w:rFonts w:hint="eastAsia" w:ascii="仿宋" w:hAnsi="仿宋" w:eastAsia="仿宋" w:cs="仿宋"/>
          <w:u w:val="single"/>
        </w:rPr>
        <w:t>3</w:t>
      </w:r>
      <w:r>
        <w:rPr>
          <w:rFonts w:hint="eastAsia" w:ascii="仿宋" w:hAnsi="仿宋" w:eastAsia="仿宋" w:cs="仿宋"/>
        </w:rPr>
        <w:t>个工作日内向商标局提交申请材料。</w:t>
      </w:r>
      <w:r>
        <w:rPr>
          <w:rFonts w:hint="eastAsia" w:ascii="仿宋" w:hAnsi="仿宋" w:eastAsia="仿宋" w:cs="仿宋"/>
        </w:rPr>
        <w:br w:type="textWrapping"/>
      </w:r>
      <w:r>
        <w:rPr>
          <w:rFonts w:hint="eastAsia" w:ascii="仿宋" w:hAnsi="仿宋" w:eastAsia="仿宋" w:cs="仿宋"/>
        </w:rPr>
        <w:t>4.4 乙方应对甲方申请注册的商标进行查询，并根据查询结果客观、如实地告知委托代理事项的程序及风险。</w:t>
      </w:r>
      <w:r>
        <w:rPr>
          <w:rFonts w:hint="eastAsia" w:ascii="仿宋" w:hAnsi="仿宋" w:eastAsia="仿宋" w:cs="仿宋"/>
        </w:rPr>
        <w:br w:type="textWrapping"/>
      </w:r>
      <w:r>
        <w:rPr>
          <w:rFonts w:hint="eastAsia" w:ascii="仿宋" w:hAnsi="仿宋" w:eastAsia="仿宋" w:cs="仿宋"/>
        </w:rPr>
        <w:t>4.5 乙方在代理过程中应向甲方通报本合同委托事项的进展情况，在收到商标局相关通知后的</w:t>
      </w:r>
      <w:r>
        <w:rPr>
          <w:rFonts w:hint="eastAsia" w:ascii="仿宋" w:hAnsi="仿宋" w:eastAsia="仿宋" w:cs="仿宋"/>
          <w:u w:val="single"/>
        </w:rPr>
        <w:t>1</w:t>
      </w:r>
      <w:r>
        <w:rPr>
          <w:rFonts w:hint="eastAsia" w:ascii="仿宋" w:hAnsi="仿宋" w:eastAsia="仿宋" w:cs="仿宋"/>
        </w:rPr>
        <w:t>个工作日内转达甲方，并提供咨询意见和建议。</w:t>
      </w:r>
      <w:r>
        <w:rPr>
          <w:rFonts w:hint="eastAsia" w:ascii="仿宋" w:hAnsi="仿宋" w:eastAsia="仿宋" w:cs="仿宋"/>
        </w:rPr>
        <w:br w:type="textWrapping"/>
      </w:r>
      <w:r>
        <w:rPr>
          <w:rFonts w:hint="eastAsia" w:ascii="仿宋" w:hAnsi="仿宋" w:eastAsia="仿宋" w:cs="仿宋"/>
        </w:rPr>
        <w:t xml:space="preserve">4.6 </w:t>
      </w:r>
      <w:r>
        <w:rPr>
          <w:rFonts w:hint="eastAsia" w:ascii="仿宋" w:hAnsi="仿宋" w:eastAsia="仿宋" w:cs="仿宋"/>
          <w:szCs w:val="21"/>
        </w:rPr>
        <w:t>乙方在代理过程中收到与委托事项有关的法律文件，应当及时通报甲方，如需乙方着手处理，须有甲方的相应书面授权或书面确认。</w:t>
      </w:r>
    </w:p>
    <w:p>
      <w:pPr>
        <w:tabs>
          <w:tab w:val="left" w:pos="10260"/>
        </w:tabs>
        <w:spacing w:line="400" w:lineRule="exact"/>
        <w:ind w:left="178" w:leftChars="85" w:right="170" w:rightChars="81"/>
        <w:rPr>
          <w:rFonts w:ascii="仿宋" w:hAnsi="仿宋" w:eastAsia="仿宋" w:cs="仿宋"/>
          <w:szCs w:val="21"/>
        </w:rPr>
      </w:pPr>
      <w:r>
        <w:rPr>
          <w:rFonts w:hint="eastAsia" w:ascii="仿宋" w:hAnsi="仿宋" w:eastAsia="仿宋" w:cs="仿宋"/>
        </w:rPr>
        <w:t>4.</w:t>
      </w:r>
      <w:r>
        <w:rPr>
          <w:rFonts w:hint="eastAsia" w:ascii="仿宋" w:hAnsi="仿宋" w:eastAsia="仿宋" w:cs="仿宋"/>
          <w:szCs w:val="21"/>
        </w:rPr>
        <w:t>7 乙方对甲方的申请内容负有保密义务，不得向任何无关联的第三方透露。</w:t>
      </w:r>
    </w:p>
    <w:p>
      <w:pPr>
        <w:tabs>
          <w:tab w:val="left" w:pos="10260"/>
        </w:tabs>
        <w:spacing w:line="400" w:lineRule="exact"/>
        <w:ind w:left="178" w:leftChars="85" w:right="170" w:rightChars="81"/>
        <w:rPr>
          <w:rFonts w:ascii="仿宋" w:hAnsi="仿宋" w:eastAsia="仿宋" w:cs="仿宋"/>
          <w:szCs w:val="21"/>
        </w:rPr>
      </w:pPr>
      <w:r>
        <w:rPr>
          <w:rFonts w:hint="eastAsia" w:ascii="仿宋" w:hAnsi="仿宋" w:eastAsia="仿宋" w:cs="仿宋"/>
        </w:rPr>
        <w:t>4.</w:t>
      </w:r>
      <w:r>
        <w:rPr>
          <w:rFonts w:hint="eastAsia" w:ascii="仿宋" w:hAnsi="仿宋" w:eastAsia="仿宋" w:cs="仿宋"/>
          <w:szCs w:val="21"/>
        </w:rPr>
        <w:t>8 乙方指定的联络方式（包括联系人、电话、地址）发生变化应及时以书面或邮件方式通知甲方。</w:t>
      </w:r>
    </w:p>
    <w:p>
      <w:pPr>
        <w:tabs>
          <w:tab w:val="left" w:pos="10260"/>
        </w:tabs>
        <w:spacing w:line="400" w:lineRule="exact"/>
        <w:ind w:left="178" w:leftChars="85" w:right="170" w:rightChars="81"/>
        <w:rPr>
          <w:rFonts w:ascii="仿宋" w:hAnsi="仿宋" w:eastAsia="仿宋" w:cs="仿宋"/>
          <w:szCs w:val="21"/>
        </w:rPr>
      </w:pPr>
      <w:r>
        <w:rPr>
          <w:rFonts w:hint="eastAsia" w:ascii="仿宋" w:hAnsi="仿宋" w:eastAsia="仿宋" w:cs="仿宋"/>
        </w:rPr>
        <w:t>4.</w:t>
      </w:r>
      <w:r>
        <w:rPr>
          <w:rFonts w:hint="eastAsia" w:ascii="仿宋" w:hAnsi="仿宋" w:eastAsia="仿宋" w:cs="仿宋"/>
          <w:szCs w:val="21"/>
        </w:rPr>
        <w:t>9 本合同委托事项是否获准，不属乙方权力范围，但乙方需提供相应的法律文书给予说明。</w:t>
      </w:r>
    </w:p>
    <w:p>
      <w:pPr>
        <w:pStyle w:val="26"/>
        <w:spacing w:line="440" w:lineRule="exact"/>
        <w:rPr>
          <w:rFonts w:ascii="仿宋" w:hAnsi="仿宋" w:eastAsia="仿宋" w:cs="仿宋"/>
          <w:b/>
          <w:bCs/>
          <w:sz w:val="24"/>
          <w:szCs w:val="24"/>
        </w:rPr>
      </w:pPr>
      <w:r>
        <w:rPr>
          <w:rFonts w:hint="eastAsia" w:ascii="仿宋" w:hAnsi="仿宋" w:eastAsia="仿宋" w:cs="仿宋"/>
          <w:b/>
          <w:bCs/>
          <w:sz w:val="24"/>
          <w:szCs w:val="24"/>
        </w:rPr>
        <w:t>5.结算及付款方式</w:t>
      </w:r>
    </w:p>
    <w:p>
      <w:pPr>
        <w:spacing w:line="440" w:lineRule="exact"/>
        <w:jc w:val="left"/>
        <w:rPr>
          <w:rFonts w:ascii="仿宋" w:hAnsi="仿宋" w:eastAsia="仿宋" w:cs="仿宋"/>
          <w:szCs w:val="21"/>
        </w:rPr>
      </w:pPr>
      <w:r>
        <w:rPr>
          <w:rFonts w:hint="eastAsia" w:ascii="仿宋" w:hAnsi="仿宋" w:eastAsia="仿宋" w:cs="仿宋"/>
          <w:szCs w:val="21"/>
        </w:rPr>
        <w:t>5.1甲乙双方协商一致，按照以下</w:t>
      </w:r>
      <w:r>
        <w:rPr>
          <w:rFonts w:hint="eastAsia" w:ascii="仿宋" w:hAnsi="仿宋" w:eastAsia="仿宋" w:cs="仿宋"/>
          <w:szCs w:val="21"/>
          <w:lang w:val="en-US" w:eastAsia="zh-CN"/>
        </w:rPr>
        <w:t>方</w:t>
      </w:r>
      <w:r>
        <w:rPr>
          <w:rFonts w:hint="eastAsia" w:ascii="仿宋" w:hAnsi="仿宋" w:eastAsia="仿宋" w:cs="仿宋"/>
          <w:szCs w:val="21"/>
        </w:rPr>
        <w:t>式付款：</w:t>
      </w:r>
    </w:p>
    <w:p>
      <w:pPr>
        <w:spacing w:line="440" w:lineRule="exact"/>
        <w:jc w:val="left"/>
        <w:rPr>
          <w:rFonts w:ascii="仿宋" w:hAnsi="仿宋" w:eastAsia="仿宋" w:cs="仿宋"/>
          <w:szCs w:val="21"/>
        </w:rPr>
      </w:pPr>
      <w:r>
        <w:rPr>
          <w:rFonts w:ascii="仿宋" w:hAnsi="仿宋" w:eastAsia="仿宋" w:cs="仿宋"/>
          <w:szCs w:val="21"/>
        </w:rPr>
        <w:t xml:space="preserve"> </w:t>
      </w:r>
      <w:r>
        <w:rPr>
          <w:rFonts w:hint="eastAsia" w:ascii="仿宋" w:hAnsi="仿宋" w:eastAsia="仿宋" w:cs="仿宋"/>
          <w:szCs w:val="21"/>
        </w:rPr>
        <w:t>分次付款。每三个月付款一次，根据本期间甲方收到受理通知书的数量，且在收到乙方开具增值税专用发票后</w:t>
      </w:r>
      <w:r>
        <w:rPr>
          <w:rFonts w:ascii="仿宋" w:hAnsi="仿宋" w:eastAsia="仿宋" w:cs="仿宋"/>
          <w:szCs w:val="21"/>
          <w:u w:val="single"/>
        </w:rPr>
        <w:t>30</w:t>
      </w:r>
      <w:r>
        <w:rPr>
          <w:rFonts w:hint="eastAsia" w:ascii="仿宋" w:hAnsi="仿宋" w:eastAsia="仿宋" w:cs="仿宋"/>
          <w:szCs w:val="21"/>
        </w:rPr>
        <w:t>个工作日内，甲方向乙方支付总费用的</w:t>
      </w:r>
      <w:r>
        <w:rPr>
          <w:rFonts w:hint="eastAsia" w:ascii="仿宋" w:hAnsi="仿宋" w:eastAsia="仿宋" w:cs="仿宋"/>
          <w:szCs w:val="21"/>
          <w:u w:val="single"/>
        </w:rPr>
        <w:t xml:space="preserve">100 </w:t>
      </w:r>
      <w:r>
        <w:rPr>
          <w:rFonts w:ascii="仿宋" w:hAnsi="仿宋" w:eastAsia="仿宋" w:cs="仿宋"/>
          <w:szCs w:val="21"/>
          <w:u w:val="single"/>
        </w:rPr>
        <w:t xml:space="preserve"> </w:t>
      </w:r>
      <w:r>
        <w:rPr>
          <w:rFonts w:hint="eastAsia" w:ascii="仿宋" w:hAnsi="仿宋" w:eastAsia="仿宋" w:cs="仿宋"/>
          <w:szCs w:val="21"/>
        </w:rPr>
        <w:t>%。</w:t>
      </w:r>
    </w:p>
    <w:p>
      <w:pPr>
        <w:spacing w:line="440" w:lineRule="exact"/>
        <w:jc w:val="left"/>
        <w:rPr>
          <w:rFonts w:ascii="仿宋" w:hAnsi="仿宋" w:eastAsia="仿宋" w:cs="仿宋"/>
          <w:szCs w:val="21"/>
          <w:u w:val="single"/>
        </w:rPr>
      </w:pPr>
      <w:r>
        <w:rPr>
          <w:rFonts w:ascii="仿宋" w:hAnsi="仿宋" w:eastAsia="仿宋" w:cs="仿宋"/>
          <w:szCs w:val="21"/>
          <w:u w:val="single"/>
        </w:rPr>
        <w:t xml:space="preserve">                                    </w:t>
      </w:r>
    </w:p>
    <w:p>
      <w:pPr>
        <w:spacing w:line="440" w:lineRule="exact"/>
        <w:jc w:val="left"/>
        <w:rPr>
          <w:rFonts w:ascii="仿宋" w:hAnsi="仿宋" w:eastAsia="仿宋" w:cs="仿宋"/>
          <w:szCs w:val="21"/>
          <w:u w:val="single"/>
        </w:rPr>
      </w:pPr>
      <w:r>
        <w:rPr>
          <w:rFonts w:hint="eastAsia" w:ascii="仿宋" w:hAnsi="仿宋" w:eastAsia="仿宋" w:cs="仿宋"/>
          <w:szCs w:val="21"/>
        </w:rPr>
        <w:t>5.2</w:t>
      </w:r>
      <w:r>
        <w:rPr>
          <w:rFonts w:ascii="仿宋" w:hAnsi="仿宋" w:eastAsia="仿宋" w:cs="仿宋"/>
          <w:szCs w:val="21"/>
        </w:rPr>
        <w:t xml:space="preserve"> </w:t>
      </w:r>
      <w:r>
        <w:rPr>
          <w:rFonts w:hint="eastAsia" w:ascii="仿宋" w:hAnsi="仿宋" w:eastAsia="仿宋" w:cs="仿宋"/>
          <w:szCs w:val="21"/>
        </w:rPr>
        <w:t>以上付款时，乙方应当开具相应发票</w:t>
      </w:r>
      <w:r>
        <w:rPr>
          <w:rFonts w:ascii="Verdana" w:hAnsi="Verdana" w:cs="Verdana"/>
          <w:color w:val="000000"/>
          <w:spacing w:val="75"/>
          <w:sz w:val="30"/>
          <w:szCs w:val="30"/>
          <w:shd w:val="clear" w:color="auto" w:fill="FFFFFF"/>
        </w:rPr>
        <w:t>☐</w:t>
      </w:r>
      <w:r>
        <w:rPr>
          <w:rFonts w:ascii="仿宋" w:hAnsi="仿宋" w:eastAsia="仿宋" w:cs="仿宋"/>
          <w:szCs w:val="21"/>
          <w:u w:val="single"/>
        </w:rPr>
        <w:t xml:space="preserve"> </w:t>
      </w:r>
      <w:r>
        <w:rPr>
          <w:rFonts w:hint="eastAsia" w:ascii="仿宋" w:hAnsi="仿宋" w:eastAsia="仿宋" w:cs="仿宋"/>
          <w:szCs w:val="21"/>
          <w:u w:val="single"/>
        </w:rPr>
        <w:t xml:space="preserve">   </w:t>
      </w:r>
      <w:r>
        <w:rPr>
          <w:rFonts w:ascii="仿宋" w:hAnsi="仿宋" w:eastAsia="仿宋" w:cs="仿宋"/>
          <w:szCs w:val="21"/>
          <w:u w:val="single"/>
        </w:rPr>
        <w:t xml:space="preserve">  </w:t>
      </w:r>
      <w:r>
        <w:rPr>
          <w:rFonts w:hint="eastAsia" w:ascii="仿宋" w:hAnsi="仿宋" w:eastAsia="仿宋" w:cs="仿宋"/>
          <w:szCs w:val="21"/>
        </w:rPr>
        <w:t>%增值税专用发票;</w:t>
      </w:r>
      <w:r>
        <w:rPr>
          <w:rFonts w:ascii="Verdana" w:hAnsi="Verdana" w:cs="Verdana"/>
          <w:color w:val="000000"/>
          <w:spacing w:val="75"/>
          <w:sz w:val="30"/>
          <w:szCs w:val="30"/>
          <w:shd w:val="clear" w:color="auto" w:fill="FFFFFF"/>
        </w:rPr>
        <w:t>☐</w:t>
      </w:r>
      <w:r>
        <w:rPr>
          <w:rFonts w:hint="eastAsia" w:ascii="仿宋" w:hAnsi="仿宋" w:eastAsia="仿宋" w:cs="仿宋"/>
          <w:szCs w:val="21"/>
        </w:rPr>
        <w:t>其他类型票据：</w:t>
      </w:r>
      <w:r>
        <w:rPr>
          <w:rFonts w:hint="eastAsia" w:ascii="仿宋" w:hAnsi="仿宋" w:eastAsia="仿宋" w:cs="仿宋"/>
          <w:szCs w:val="21"/>
          <w:u w:val="single"/>
        </w:rPr>
        <w:t xml:space="preserve"> </w:t>
      </w:r>
      <w:r>
        <w:rPr>
          <w:rFonts w:ascii="仿宋" w:hAnsi="仿宋" w:eastAsia="仿宋" w:cs="仿宋"/>
          <w:szCs w:val="21"/>
          <w:u w:val="single"/>
        </w:rPr>
        <w:t xml:space="preserve">            </w:t>
      </w:r>
      <w:r>
        <w:rPr>
          <w:rFonts w:hint="eastAsia" w:ascii="仿宋" w:hAnsi="仿宋" w:eastAsia="仿宋" w:cs="仿宋"/>
          <w:szCs w:val="21"/>
        </w:rPr>
        <w:t>给甲方，付款时间以甲方验收合格且收到乙方发票后起算，乙方未开具发票的，甲方有权拒付货款并不视为买方违约，乙方应按照约定继续履行义务。国家税率政策变动的，总价应相应调整。</w:t>
      </w:r>
    </w:p>
    <w:p>
      <w:pPr>
        <w:spacing w:line="440" w:lineRule="exact"/>
        <w:jc w:val="left"/>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 xml:space="preserve">.3 </w:t>
      </w:r>
      <w:r>
        <w:rPr>
          <w:rFonts w:hint="eastAsia" w:ascii="仿宋" w:hAnsi="仿宋" w:eastAsia="仿宋" w:cs="仿宋"/>
          <w:szCs w:val="21"/>
        </w:rPr>
        <w:t>付款方式：银行转帐，乙方银行账户等信息如下：</w:t>
      </w:r>
    </w:p>
    <w:p>
      <w:pPr>
        <w:spacing w:line="440" w:lineRule="exact"/>
        <w:jc w:val="left"/>
        <w:rPr>
          <w:rFonts w:ascii="仿宋" w:hAnsi="仿宋" w:eastAsia="仿宋" w:cs="仿宋"/>
          <w:b/>
          <w:bCs/>
          <w:szCs w:val="21"/>
          <w:u w:val="single"/>
        </w:rPr>
      </w:pPr>
      <w:r>
        <w:rPr>
          <w:rFonts w:hint="eastAsia" w:ascii="仿宋" w:hAnsi="仿宋" w:eastAsia="仿宋" w:cs="仿宋"/>
          <w:szCs w:val="21"/>
        </w:rPr>
        <w:t>乙方户名：</w:t>
      </w:r>
      <w:r>
        <w:rPr>
          <w:rFonts w:hint="eastAsia" w:ascii="仿宋" w:hAnsi="仿宋" w:eastAsia="仿宋" w:cs="仿宋"/>
          <w:b/>
          <w:bCs/>
          <w:szCs w:val="21"/>
          <w:u w:val="single"/>
        </w:rPr>
        <w:t xml:space="preserve">                              </w:t>
      </w:r>
    </w:p>
    <w:p>
      <w:pPr>
        <w:spacing w:line="440" w:lineRule="exact"/>
        <w:jc w:val="left"/>
        <w:rPr>
          <w:rFonts w:ascii="仿宋" w:hAnsi="仿宋" w:eastAsia="仿宋" w:cs="仿宋"/>
          <w:b/>
          <w:bCs/>
          <w:szCs w:val="21"/>
          <w:u w:val="single"/>
        </w:rPr>
      </w:pPr>
      <w:r>
        <w:rPr>
          <w:rFonts w:hint="eastAsia" w:ascii="仿宋" w:hAnsi="仿宋" w:eastAsia="仿宋" w:cs="仿宋"/>
          <w:szCs w:val="21"/>
        </w:rPr>
        <w:t>开户行：</w:t>
      </w:r>
      <w:r>
        <w:rPr>
          <w:rFonts w:hint="eastAsia" w:ascii="仿宋" w:hAnsi="仿宋" w:eastAsia="仿宋" w:cs="仿宋"/>
          <w:b/>
          <w:bCs/>
          <w:szCs w:val="21"/>
          <w:u w:val="single"/>
        </w:rPr>
        <w:t xml:space="preserve">                                </w:t>
      </w:r>
    </w:p>
    <w:p>
      <w:pPr>
        <w:spacing w:line="440" w:lineRule="exact"/>
        <w:jc w:val="left"/>
        <w:rPr>
          <w:rFonts w:ascii="仿宋" w:hAnsi="仿宋" w:eastAsia="仿宋" w:cs="仿宋"/>
          <w:b/>
          <w:bCs/>
          <w:szCs w:val="21"/>
          <w:u w:val="single"/>
        </w:rPr>
      </w:pPr>
      <w:r>
        <w:rPr>
          <w:rFonts w:hint="eastAsia" w:ascii="仿宋" w:hAnsi="仿宋" w:eastAsia="仿宋" w:cs="仿宋"/>
          <w:szCs w:val="21"/>
        </w:rPr>
        <w:t>账  号：</w:t>
      </w:r>
      <w:r>
        <w:rPr>
          <w:rFonts w:hint="eastAsia" w:ascii="仿宋" w:hAnsi="仿宋" w:eastAsia="仿宋" w:cs="仿宋"/>
          <w:b/>
          <w:bCs/>
          <w:szCs w:val="21"/>
          <w:u w:val="single"/>
        </w:rPr>
        <w:t xml:space="preserve">                                </w:t>
      </w:r>
    </w:p>
    <w:p>
      <w:pPr>
        <w:spacing w:line="440" w:lineRule="exact"/>
        <w:jc w:val="left"/>
        <w:rPr>
          <w:rFonts w:ascii="仿宋" w:hAnsi="仿宋" w:eastAsia="仿宋" w:cs="仿宋"/>
          <w:b/>
          <w:bCs/>
          <w:szCs w:val="21"/>
          <w:u w:val="single"/>
        </w:rPr>
      </w:pPr>
      <w:r>
        <w:rPr>
          <w:rFonts w:hint="eastAsia" w:ascii="仿宋" w:hAnsi="仿宋" w:eastAsia="仿宋" w:cs="仿宋"/>
          <w:color w:val="000000"/>
          <w:kern w:val="0"/>
          <w:szCs w:val="21"/>
          <w:shd w:val="clear" w:color="auto" w:fill="FFFFFF"/>
          <w:lang w:bidi="ar"/>
        </w:rPr>
        <w:t>纳税人识别号：</w:t>
      </w:r>
      <w:r>
        <w:rPr>
          <w:rFonts w:hint="eastAsia" w:ascii="仿宋" w:hAnsi="仿宋" w:eastAsia="仿宋" w:cs="仿宋"/>
          <w:b/>
          <w:bCs/>
          <w:szCs w:val="21"/>
          <w:u w:val="single"/>
        </w:rPr>
        <w:t xml:space="preserve">                          </w:t>
      </w:r>
    </w:p>
    <w:p>
      <w:pPr>
        <w:spacing w:line="440" w:lineRule="exact"/>
        <w:jc w:val="left"/>
        <w:rPr>
          <w:rFonts w:ascii="仿宋" w:hAnsi="仿宋" w:eastAsia="仿宋" w:cs="仿宋"/>
          <w:b/>
          <w:bCs/>
          <w:szCs w:val="21"/>
          <w:u w:val="single"/>
        </w:rPr>
      </w:pPr>
      <w:r>
        <w:rPr>
          <w:rFonts w:hint="eastAsia" w:ascii="仿宋" w:hAnsi="仿宋" w:eastAsia="仿宋" w:cs="仿宋"/>
          <w:color w:val="000000"/>
          <w:kern w:val="0"/>
          <w:szCs w:val="21"/>
          <w:shd w:val="clear" w:color="auto" w:fill="FFFFFF"/>
          <w:lang w:bidi="ar"/>
        </w:rPr>
        <w:t>通讯地址：</w:t>
      </w:r>
      <w:r>
        <w:rPr>
          <w:rFonts w:hint="eastAsia" w:ascii="仿宋" w:hAnsi="仿宋" w:eastAsia="仿宋" w:cs="仿宋"/>
          <w:b/>
          <w:bCs/>
          <w:szCs w:val="21"/>
          <w:u w:val="single"/>
        </w:rPr>
        <w:t xml:space="preserve">                              </w:t>
      </w:r>
    </w:p>
    <w:p>
      <w:pPr>
        <w:spacing w:line="440" w:lineRule="exact"/>
        <w:jc w:val="left"/>
        <w:rPr>
          <w:rFonts w:ascii="仿宋" w:hAnsi="仿宋" w:eastAsia="仿宋" w:cs="仿宋"/>
          <w:b/>
          <w:bCs/>
          <w:szCs w:val="21"/>
          <w:u w:val="single"/>
        </w:rPr>
      </w:pPr>
      <w:r>
        <w:rPr>
          <w:rFonts w:hint="eastAsia" w:ascii="仿宋" w:hAnsi="仿宋" w:eastAsia="仿宋" w:cs="仿宋"/>
          <w:color w:val="000000"/>
          <w:kern w:val="0"/>
          <w:szCs w:val="21"/>
          <w:shd w:val="clear" w:color="auto" w:fill="FFFFFF"/>
          <w:lang w:bidi="ar"/>
        </w:rPr>
        <w:t>联系人：</w:t>
      </w:r>
      <w:r>
        <w:rPr>
          <w:rFonts w:hint="eastAsia" w:ascii="仿宋" w:hAnsi="仿宋" w:eastAsia="仿宋" w:cs="仿宋"/>
          <w:b/>
          <w:bCs/>
          <w:szCs w:val="21"/>
          <w:u w:val="single"/>
        </w:rPr>
        <w:t xml:space="preserve">                                </w:t>
      </w:r>
    </w:p>
    <w:p>
      <w:pPr>
        <w:spacing w:line="440" w:lineRule="exact"/>
        <w:jc w:val="left"/>
        <w:rPr>
          <w:rFonts w:ascii="仿宋" w:hAnsi="仿宋" w:eastAsia="仿宋" w:cs="仿宋"/>
          <w:b/>
          <w:bCs/>
          <w:szCs w:val="21"/>
          <w:u w:val="single"/>
        </w:rPr>
      </w:pPr>
      <w:r>
        <w:rPr>
          <w:rFonts w:hint="eastAsia" w:ascii="仿宋" w:hAnsi="仿宋" w:eastAsia="仿宋" w:cs="仿宋"/>
          <w:color w:val="000000"/>
          <w:kern w:val="0"/>
          <w:szCs w:val="21"/>
          <w:shd w:val="clear" w:color="auto" w:fill="FFFFFF"/>
          <w:lang w:bidi="ar"/>
        </w:rPr>
        <w:t>联系电话：</w:t>
      </w:r>
      <w:r>
        <w:rPr>
          <w:rFonts w:hint="eastAsia" w:ascii="仿宋" w:hAnsi="仿宋" w:eastAsia="仿宋" w:cs="仿宋"/>
          <w:b/>
          <w:bCs/>
          <w:szCs w:val="21"/>
          <w:u w:val="single"/>
        </w:rPr>
        <w:t xml:space="preserve">                              </w:t>
      </w:r>
    </w:p>
    <w:p>
      <w:pPr>
        <w:spacing w:line="440" w:lineRule="exact"/>
        <w:jc w:val="left"/>
        <w:rPr>
          <w:rFonts w:ascii="仿宋" w:hAnsi="仿宋" w:eastAsia="仿宋" w:cs="仿宋"/>
          <w:szCs w:val="21"/>
        </w:rPr>
      </w:pPr>
      <w:r>
        <w:rPr>
          <w:rFonts w:hint="eastAsia" w:ascii="仿宋" w:hAnsi="仿宋" w:eastAsia="仿宋" w:cs="仿宋"/>
          <w:color w:val="000000"/>
          <w:kern w:val="0"/>
          <w:szCs w:val="21"/>
          <w:shd w:val="clear" w:color="auto" w:fill="FFFFFF"/>
          <w:lang w:bidi="ar"/>
        </w:rPr>
        <w:t>电子邮箱：</w:t>
      </w:r>
      <w:r>
        <w:rPr>
          <w:rFonts w:hint="eastAsia" w:ascii="仿宋" w:hAnsi="仿宋" w:eastAsia="仿宋" w:cs="仿宋"/>
          <w:b/>
          <w:bCs/>
          <w:szCs w:val="21"/>
          <w:u w:val="single"/>
        </w:rPr>
        <w:t xml:space="preserve">                              </w:t>
      </w:r>
    </w:p>
    <w:p>
      <w:pPr>
        <w:pStyle w:val="26"/>
        <w:spacing w:line="440" w:lineRule="exact"/>
        <w:rPr>
          <w:rFonts w:ascii="仿宋" w:hAnsi="仿宋" w:eastAsia="仿宋" w:cs="仿宋"/>
          <w:b/>
          <w:bCs/>
          <w:sz w:val="24"/>
          <w:szCs w:val="24"/>
        </w:rPr>
      </w:pPr>
      <w:r>
        <w:rPr>
          <w:rFonts w:hint="eastAsia" w:ascii="仿宋" w:hAnsi="仿宋" w:eastAsia="仿宋" w:cs="仿宋"/>
          <w:b/>
          <w:bCs/>
          <w:sz w:val="24"/>
          <w:szCs w:val="24"/>
        </w:rPr>
        <w:t>6.违约责任</w:t>
      </w:r>
    </w:p>
    <w:p>
      <w:pPr>
        <w:spacing w:line="440" w:lineRule="exact"/>
        <w:jc w:val="left"/>
        <w:rPr>
          <w:rFonts w:ascii="仿宋" w:hAnsi="仿宋" w:eastAsia="仿宋" w:cs="仿宋"/>
          <w:szCs w:val="21"/>
        </w:rPr>
      </w:pPr>
      <w:r>
        <w:rPr>
          <w:rFonts w:hint="eastAsia" w:ascii="仿宋" w:hAnsi="仿宋" w:eastAsia="仿宋" w:cs="仿宋"/>
          <w:szCs w:val="21"/>
        </w:rPr>
        <w:t>6.1 乙方未按约定在本委托合同签订后提交相关申请文件的，乙方应按甲方已支付费用的百分之二十向甲方支付违约金。甲方有权解除本协议，乙方需退还已收款项。</w:t>
      </w:r>
    </w:p>
    <w:p>
      <w:pPr>
        <w:spacing w:line="440" w:lineRule="exact"/>
        <w:jc w:val="left"/>
        <w:rPr>
          <w:rFonts w:ascii="仿宋" w:hAnsi="仿宋" w:eastAsia="仿宋" w:cs="仿宋"/>
          <w:szCs w:val="21"/>
        </w:rPr>
      </w:pPr>
      <w:r>
        <w:rPr>
          <w:rFonts w:hint="eastAsia" w:ascii="仿宋" w:hAnsi="仿宋" w:eastAsia="仿宋" w:cs="仿宋"/>
          <w:szCs w:val="21"/>
        </w:rPr>
        <w:t>6.2 甲方在签订本合同时，需按约定的支付方式支付本合同的委托费用，否则乙方有权不履行相应义务。</w:t>
      </w:r>
    </w:p>
    <w:p>
      <w:pPr>
        <w:spacing w:line="440" w:lineRule="exact"/>
        <w:jc w:val="left"/>
        <w:rPr>
          <w:rFonts w:ascii="仿宋" w:hAnsi="仿宋" w:eastAsia="仿宋" w:cs="仿宋"/>
          <w:szCs w:val="21"/>
        </w:rPr>
      </w:pPr>
      <w:r>
        <w:rPr>
          <w:rFonts w:hint="eastAsia" w:ascii="仿宋" w:hAnsi="仿宋" w:eastAsia="仿宋" w:cs="仿宋"/>
          <w:szCs w:val="21"/>
        </w:rPr>
        <w:t>6.3 在代理过程中，如因甲方没有按约定提供必需的材料和费用，或因甲方提供虚假、无效资料，或没有通知联络方式变化失去联系，而导致申请的终止，甲方自行承担此造成的损失。</w:t>
      </w:r>
    </w:p>
    <w:p>
      <w:pPr>
        <w:spacing w:line="440" w:lineRule="exact"/>
        <w:jc w:val="left"/>
        <w:rPr>
          <w:rFonts w:ascii="仿宋" w:hAnsi="仿宋" w:eastAsia="仿宋" w:cs="仿宋"/>
          <w:szCs w:val="21"/>
        </w:rPr>
      </w:pPr>
      <w:r>
        <w:rPr>
          <w:rFonts w:hint="eastAsia" w:ascii="仿宋" w:hAnsi="仿宋" w:eastAsia="仿宋" w:cs="仿宋"/>
          <w:szCs w:val="21"/>
        </w:rPr>
        <w:t>6.4 在代理过程中，如因乙方没有及时将与委托事项相关的通知书告知甲方而导致申请的终止，乙方承担此造成的损失，损失包括但不限于甲方两次申请该商标的代理费、注册费及相关损失。</w:t>
      </w:r>
    </w:p>
    <w:p>
      <w:pPr>
        <w:spacing w:line="440" w:lineRule="exact"/>
        <w:jc w:val="left"/>
        <w:rPr>
          <w:rFonts w:ascii="仿宋" w:hAnsi="仿宋" w:eastAsia="仿宋" w:cs="仿宋"/>
          <w:b/>
          <w:bCs/>
          <w:sz w:val="24"/>
          <w:szCs w:val="24"/>
        </w:rPr>
      </w:pPr>
      <w:r>
        <w:rPr>
          <w:rFonts w:hint="eastAsia" w:ascii="仿宋" w:hAnsi="仿宋" w:eastAsia="仿宋" w:cs="仿宋"/>
          <w:szCs w:val="21"/>
        </w:rPr>
        <w:t>6.5 如乙方违反本协议第4条第4.7款约定，乙方应赔偿甲方本次委托的全部费用。</w:t>
      </w:r>
    </w:p>
    <w:p>
      <w:pPr>
        <w:spacing w:line="440" w:lineRule="exact"/>
        <w:rPr>
          <w:rFonts w:ascii="仿宋" w:hAnsi="仿宋" w:eastAsia="仿宋" w:cs="仿宋"/>
          <w:b/>
          <w:bCs/>
          <w:sz w:val="24"/>
        </w:rPr>
      </w:pPr>
      <w:r>
        <w:rPr>
          <w:rFonts w:hint="eastAsia" w:ascii="仿宋" w:hAnsi="仿宋" w:eastAsia="仿宋" w:cs="仿宋"/>
          <w:b/>
          <w:bCs/>
          <w:sz w:val="24"/>
        </w:rPr>
        <w:t>7.不可抗力</w:t>
      </w:r>
    </w:p>
    <w:p>
      <w:pPr>
        <w:spacing w:line="440" w:lineRule="exact"/>
        <w:rPr>
          <w:rFonts w:ascii="仿宋" w:hAnsi="仿宋" w:eastAsia="仿宋" w:cs="仿宋"/>
          <w:szCs w:val="21"/>
        </w:rPr>
      </w:pPr>
      <w:r>
        <w:rPr>
          <w:rFonts w:hint="eastAsia" w:ascii="仿宋" w:hAnsi="仿宋" w:eastAsia="仿宋" w:cs="仿宋"/>
          <w:szCs w:val="21"/>
        </w:rPr>
        <w:t>7.1不可抗力包括因战争、动乱、空中飞行物体坠落或其他非甲方乙方责任造成的爆炸、火灾。</w:t>
      </w:r>
    </w:p>
    <w:p>
      <w:pPr>
        <w:spacing w:line="440" w:lineRule="exact"/>
        <w:rPr>
          <w:rFonts w:ascii="仿宋" w:hAnsi="仿宋" w:eastAsia="仿宋" w:cs="仿宋"/>
          <w:szCs w:val="21"/>
        </w:rPr>
      </w:pPr>
      <w:r>
        <w:rPr>
          <w:rFonts w:hint="eastAsia" w:ascii="仿宋" w:hAnsi="仿宋" w:eastAsia="仿宋" w:cs="仿宋"/>
          <w:szCs w:val="21"/>
        </w:rPr>
        <w:t>7.2由于不可抗力造成不可意料的事故并影响本合同的继续执行时，发生事故的一方应立即以书面的形式通告合同另一方，并提供事故发生的有效证明。</w:t>
      </w:r>
    </w:p>
    <w:p>
      <w:pPr>
        <w:spacing w:line="440" w:lineRule="exact"/>
        <w:rPr>
          <w:rFonts w:ascii="仿宋" w:hAnsi="仿宋" w:eastAsia="仿宋" w:cs="仿宋"/>
          <w:b/>
          <w:bCs/>
          <w:szCs w:val="21"/>
        </w:rPr>
      </w:pPr>
      <w:r>
        <w:rPr>
          <w:rFonts w:hint="eastAsia" w:ascii="仿宋" w:hAnsi="仿宋" w:eastAsia="仿宋" w:cs="仿宋"/>
          <w:szCs w:val="21"/>
        </w:rPr>
        <w:t>7.3在不可抗力事件发生后，双方应努力寻求采取合理的方案履行不受不可抗力影响的其他事项。如不可抗拒因素继续存在，致使在合同规定的交货期后三十天内仍不能交货，经双方协商同意，可解除本合同，这时，甲乙双方均不互提出索赔。甲乙双方均不承担终止合同的责任。</w:t>
      </w:r>
    </w:p>
    <w:p>
      <w:pPr>
        <w:spacing w:line="440" w:lineRule="exact"/>
        <w:rPr>
          <w:rFonts w:ascii="仿宋" w:hAnsi="仿宋" w:eastAsia="仿宋" w:cs="仿宋"/>
          <w:b/>
          <w:bCs/>
          <w:sz w:val="24"/>
        </w:rPr>
      </w:pPr>
      <w:r>
        <w:rPr>
          <w:rFonts w:hint="eastAsia" w:ascii="仿宋" w:hAnsi="仿宋" w:eastAsia="仿宋" w:cs="仿宋"/>
          <w:b/>
          <w:bCs/>
          <w:sz w:val="24"/>
        </w:rPr>
        <w:t>8.通知</w:t>
      </w:r>
    </w:p>
    <w:p>
      <w:pPr>
        <w:spacing w:line="440" w:lineRule="exact"/>
        <w:ind w:firstLine="420" w:firstLineChars="200"/>
        <w:rPr>
          <w:rFonts w:ascii="仿宋" w:hAnsi="仿宋" w:eastAsia="仿宋" w:cs="仿宋"/>
          <w:szCs w:val="21"/>
          <w:lang w:val="en-GB"/>
        </w:rPr>
      </w:pPr>
      <w:r>
        <w:rPr>
          <w:rFonts w:hint="eastAsia" w:ascii="仿宋" w:hAnsi="仿宋" w:eastAsia="仿宋" w:cs="仿宋"/>
          <w:szCs w:val="21"/>
        </w:rPr>
        <w:t>合同任一方就本合同发出的通知、声明等书面文件，可以按照合同双方在本合同中列明的住址/公司注册地，或电子邮箱送达对方（双方联系方式或地址如有变更，应当及时书面通知合同对方，否则视为未变更）。</w:t>
      </w:r>
    </w:p>
    <w:p>
      <w:pPr>
        <w:spacing w:line="440" w:lineRule="exact"/>
        <w:rPr>
          <w:rFonts w:ascii="仿宋" w:hAnsi="仿宋" w:eastAsia="仿宋" w:cs="仿宋"/>
          <w:b/>
          <w:bCs/>
          <w:sz w:val="24"/>
        </w:rPr>
      </w:pPr>
      <w:r>
        <w:rPr>
          <w:rFonts w:hint="eastAsia" w:ascii="仿宋" w:hAnsi="仿宋" w:eastAsia="仿宋" w:cs="仿宋"/>
          <w:b/>
          <w:bCs/>
          <w:sz w:val="24"/>
        </w:rPr>
        <w:t>9.争议解决</w:t>
      </w:r>
    </w:p>
    <w:p>
      <w:pPr>
        <w:spacing w:line="440" w:lineRule="exact"/>
        <w:rPr>
          <w:rFonts w:ascii="仿宋" w:hAnsi="仿宋" w:eastAsia="仿宋" w:cs="仿宋"/>
          <w:szCs w:val="21"/>
        </w:rPr>
      </w:pPr>
      <w:r>
        <w:rPr>
          <w:rFonts w:hint="eastAsia" w:ascii="仿宋" w:hAnsi="仿宋" w:eastAsia="仿宋" w:cs="仿宋"/>
          <w:szCs w:val="21"/>
        </w:rPr>
        <w:t>9.1与本合同有关，或因本合同引起的一切争议，甲乙双方应首先通过友好协商解决，如经协商后仍不能达成协议时，双方约定任何一方可以采用第</w:t>
      </w:r>
      <w:r>
        <w:rPr>
          <w:rFonts w:hint="eastAsia" w:ascii="仿宋" w:hAnsi="仿宋" w:eastAsia="仿宋" w:cs="仿宋"/>
          <w:szCs w:val="21"/>
          <w:u w:val="single"/>
        </w:rPr>
        <w:t xml:space="preserve"> a.</w:t>
      </w:r>
      <w:r>
        <w:rPr>
          <w:rFonts w:hint="eastAsia" w:ascii="仿宋" w:hAnsi="仿宋" w:eastAsia="仿宋" w:cs="仿宋"/>
          <w:szCs w:val="21"/>
        </w:rPr>
        <w:t>项方式解决：</w:t>
      </w:r>
    </w:p>
    <w:p>
      <w:pPr>
        <w:spacing w:line="440" w:lineRule="exact"/>
        <w:rPr>
          <w:rFonts w:ascii="仿宋" w:hAnsi="仿宋" w:eastAsia="仿宋" w:cs="仿宋"/>
          <w:szCs w:val="21"/>
        </w:rPr>
      </w:pPr>
      <w:r>
        <w:rPr>
          <w:rFonts w:hint="eastAsia" w:ascii="仿宋" w:hAnsi="仿宋" w:eastAsia="仿宋" w:cs="仿宋"/>
          <w:szCs w:val="21"/>
        </w:rPr>
        <w:t>a.向广州市白云区人民法院提起诉讼解决；</w:t>
      </w:r>
    </w:p>
    <w:p>
      <w:pPr>
        <w:spacing w:line="440" w:lineRule="exact"/>
        <w:rPr>
          <w:rFonts w:ascii="仿宋" w:hAnsi="仿宋" w:eastAsia="仿宋" w:cs="仿宋"/>
          <w:szCs w:val="21"/>
        </w:rPr>
      </w:pPr>
      <w:r>
        <w:rPr>
          <w:rFonts w:hint="eastAsia" w:ascii="仿宋" w:hAnsi="仿宋" w:eastAsia="仿宋" w:cs="仿宋"/>
          <w:szCs w:val="21"/>
        </w:rPr>
        <w:t>b.向广州仲裁委员会提起仲裁。</w:t>
      </w:r>
    </w:p>
    <w:p>
      <w:pPr>
        <w:spacing w:line="440" w:lineRule="exact"/>
        <w:rPr>
          <w:rFonts w:ascii="仿宋" w:hAnsi="仿宋" w:eastAsia="仿宋" w:cs="仿宋"/>
          <w:szCs w:val="21"/>
        </w:rPr>
      </w:pPr>
      <w:r>
        <w:rPr>
          <w:rFonts w:hint="eastAsia" w:ascii="仿宋" w:hAnsi="仿宋" w:eastAsia="仿宋" w:cs="仿宋"/>
          <w:szCs w:val="21"/>
        </w:rPr>
        <w:t>9.2</w:t>
      </w:r>
      <w:r>
        <w:rPr>
          <w:rFonts w:hint="eastAsia" w:ascii="仿宋" w:hAnsi="仿宋" w:eastAsia="仿宋"/>
          <w:szCs w:val="21"/>
        </w:rPr>
        <w:t>在进行法院审理期间，除提交法院审理的事项外，合同其他部分仍应继续履行。</w:t>
      </w:r>
    </w:p>
    <w:p>
      <w:pPr>
        <w:spacing w:line="440" w:lineRule="exact"/>
        <w:rPr>
          <w:rFonts w:ascii="仿宋" w:hAnsi="仿宋" w:eastAsia="仿宋" w:cs="仿宋"/>
          <w:b/>
          <w:bCs/>
          <w:sz w:val="24"/>
        </w:rPr>
      </w:pPr>
      <w:r>
        <w:rPr>
          <w:rFonts w:hint="eastAsia" w:ascii="仿宋" w:hAnsi="仿宋" w:eastAsia="仿宋" w:cs="仿宋"/>
          <w:b/>
          <w:bCs/>
          <w:sz w:val="24"/>
        </w:rPr>
        <w:t>10.合同文本格式</w:t>
      </w:r>
    </w:p>
    <w:p>
      <w:pPr>
        <w:pStyle w:val="26"/>
        <w:spacing w:line="440" w:lineRule="exact"/>
        <w:ind w:firstLine="420" w:firstLineChars="200"/>
        <w:rPr>
          <w:rFonts w:ascii="仿宋" w:hAnsi="仿宋" w:eastAsia="仿宋" w:cs="仿宋"/>
        </w:rPr>
      </w:pPr>
      <w:r>
        <w:rPr>
          <w:rFonts w:hint="eastAsia" w:ascii="仿宋" w:hAnsi="仿宋" w:eastAsia="仿宋" w:cs="仿宋"/>
        </w:rPr>
        <w:t>双方对此合同有任何修改及补充均应另行签订补充协议。合同正文中任何非打印的文字或者图形，除非经双方盖章确认同意，不产生约束力。</w:t>
      </w:r>
    </w:p>
    <w:p>
      <w:pPr>
        <w:spacing w:line="440" w:lineRule="exact"/>
        <w:rPr>
          <w:rFonts w:ascii="仿宋" w:hAnsi="仿宋" w:eastAsia="仿宋" w:cs="仿宋"/>
          <w:b/>
          <w:bCs/>
          <w:sz w:val="24"/>
        </w:rPr>
      </w:pPr>
      <w:r>
        <w:rPr>
          <w:rFonts w:hint="eastAsia" w:ascii="仿宋" w:hAnsi="仿宋" w:eastAsia="仿宋" w:cs="仿宋"/>
          <w:b/>
          <w:sz w:val="24"/>
        </w:rPr>
        <w:t>11.合</w:t>
      </w:r>
      <w:r>
        <w:rPr>
          <w:rFonts w:hint="eastAsia" w:ascii="仿宋" w:hAnsi="仿宋" w:eastAsia="仿宋" w:cs="仿宋"/>
          <w:b/>
          <w:bCs/>
          <w:sz w:val="24"/>
        </w:rPr>
        <w:t>同生效</w:t>
      </w:r>
    </w:p>
    <w:p>
      <w:pPr>
        <w:pStyle w:val="26"/>
        <w:spacing w:line="440" w:lineRule="exact"/>
        <w:ind w:firstLine="420" w:firstLineChars="200"/>
        <w:rPr>
          <w:rFonts w:ascii="仿宋" w:hAnsi="仿宋" w:eastAsia="仿宋" w:cs="仿宋"/>
        </w:rPr>
      </w:pPr>
      <w:r>
        <w:rPr>
          <w:rFonts w:hint="eastAsia" w:ascii="仿宋" w:hAnsi="仿宋" w:eastAsia="仿宋" w:cs="仿宋"/>
        </w:rPr>
        <w:t>本协议一式</w:t>
      </w:r>
      <w:bookmarkStart w:id="33" w:name="OLE_LINK1"/>
      <w:r>
        <w:rPr>
          <w:rFonts w:hint="eastAsia" w:ascii="仿宋" w:hAnsi="仿宋" w:eastAsia="仿宋" w:cs="仿宋"/>
          <w:u w:val="single"/>
        </w:rPr>
        <w:t xml:space="preserve">  </w:t>
      </w:r>
      <w:bookmarkEnd w:id="33"/>
      <w:r>
        <w:rPr>
          <w:rFonts w:hint="eastAsia" w:ascii="仿宋" w:hAnsi="仿宋" w:eastAsia="仿宋" w:cs="仿宋"/>
        </w:rPr>
        <w:t>份，甲方执三份，乙方乙执</w:t>
      </w:r>
      <w:r>
        <w:rPr>
          <w:rFonts w:hint="eastAsia" w:ascii="仿宋" w:hAnsi="仿宋" w:eastAsia="仿宋" w:cs="仿宋"/>
          <w:u w:val="single"/>
        </w:rPr>
        <w:t xml:space="preserve">  </w:t>
      </w:r>
      <w:r>
        <w:rPr>
          <w:rFonts w:hint="eastAsia" w:ascii="仿宋" w:hAnsi="仿宋" w:eastAsia="仿宋" w:cs="仿宋"/>
        </w:rPr>
        <w:t>份。合同有效期为</w:t>
      </w:r>
      <w:r>
        <w:rPr>
          <w:rFonts w:hint="eastAsia" w:ascii="仿宋" w:hAnsi="仿宋" w:eastAsia="仿宋" w:cs="仿宋"/>
          <w:u w:val="single"/>
        </w:rPr>
        <w:t xml:space="preserve">  </w:t>
      </w:r>
      <w:r>
        <w:rPr>
          <w:rFonts w:hint="eastAsia" w:ascii="仿宋" w:hAnsi="仿宋" w:eastAsia="仿宋" w:cs="仿宋"/>
        </w:rPr>
        <w:t>年，经双方盖章、签字生效后起算。</w:t>
      </w:r>
    </w:p>
    <w:p>
      <w:pPr>
        <w:widowControl/>
        <w:spacing w:line="440" w:lineRule="exact"/>
        <w:ind w:left="-6" w:hanging="11"/>
        <w:rPr>
          <w:rFonts w:ascii="仿宋" w:hAnsi="仿宋" w:eastAsia="仿宋" w:cs="仿宋"/>
          <w:b/>
          <w:bCs/>
          <w:sz w:val="24"/>
          <w:szCs w:val="24"/>
        </w:rPr>
      </w:pPr>
      <w:r>
        <w:rPr>
          <w:rFonts w:hint="eastAsia" w:ascii="仿宋" w:hAnsi="仿宋" w:eastAsia="仿宋" w:cs="仿宋"/>
          <w:b/>
          <w:bCs/>
          <w:sz w:val="24"/>
        </w:rPr>
        <w:t>12.</w:t>
      </w:r>
      <w:r>
        <w:rPr>
          <w:rFonts w:hint="eastAsia" w:ascii="仿宋" w:hAnsi="仿宋" w:eastAsia="仿宋" w:cs="仿宋"/>
          <w:b/>
          <w:bCs/>
          <w:sz w:val="24"/>
          <w:szCs w:val="24"/>
        </w:rPr>
        <w:t>履约保证条款</w:t>
      </w:r>
    </w:p>
    <w:p>
      <w:pPr>
        <w:widowControl/>
        <w:spacing w:after="9" w:line="440" w:lineRule="exact"/>
        <w:ind w:firstLine="420" w:firstLineChars="200"/>
        <w:rPr>
          <w:rFonts w:ascii="仿宋" w:hAnsi="仿宋" w:eastAsia="仿宋" w:cs="仿宋"/>
          <w:szCs w:val="21"/>
        </w:rPr>
      </w:pPr>
      <w:r>
        <w:rPr>
          <w:rFonts w:hint="eastAsia" w:ascii="仿宋" w:hAnsi="仿宋" w:eastAsia="仿宋" w:cs="仿宋"/>
          <w:szCs w:val="21"/>
        </w:rPr>
        <w:t>12.1 经甲乙双方协商一致，乙方按照以下第</w:t>
      </w:r>
      <w:r>
        <w:rPr>
          <w:rFonts w:hint="eastAsia" w:ascii="仿宋" w:hAnsi="仿宋" w:eastAsia="仿宋" w:cs="仿宋"/>
          <w:szCs w:val="21"/>
          <w:u w:val="single"/>
        </w:rPr>
        <w:t xml:space="preserve"> ③ </w:t>
      </w:r>
      <w:r>
        <w:rPr>
          <w:rFonts w:hint="eastAsia" w:ascii="仿宋" w:hAnsi="仿宋" w:eastAsia="仿宋" w:cs="仿宋"/>
          <w:szCs w:val="21"/>
        </w:rPr>
        <w:t>种方式提供履约担保：</w:t>
      </w:r>
    </w:p>
    <w:p>
      <w:pPr>
        <w:widowControl/>
        <w:spacing w:after="9" w:line="440" w:lineRule="exact"/>
        <w:ind w:firstLine="420" w:firstLineChars="200"/>
        <w:rPr>
          <w:rFonts w:ascii="仿宋" w:hAnsi="仿宋" w:eastAsia="仿宋" w:cs="仿宋"/>
          <w:szCs w:val="21"/>
        </w:rPr>
      </w:pPr>
      <w:r>
        <w:rPr>
          <w:rFonts w:hint="eastAsia" w:ascii="仿宋" w:hAnsi="仿宋" w:eastAsia="仿宋" w:cs="仿宋"/>
          <w:szCs w:val="21"/>
        </w:rPr>
        <w:t>①乙方应在合同生效后10日内向甲方交纳履约保证金计</w:t>
      </w:r>
      <w:r>
        <w:rPr>
          <w:rFonts w:hint="eastAsia" w:ascii="仿宋" w:hAnsi="仿宋" w:eastAsia="仿宋" w:cs="仿宋"/>
          <w:szCs w:val="21"/>
          <w:u w:val="single"/>
        </w:rPr>
        <w:t xml:space="preserve">  </w:t>
      </w:r>
      <w:r>
        <w:rPr>
          <w:rFonts w:hint="eastAsia" w:ascii="仿宋" w:hAnsi="仿宋" w:eastAsia="仿宋" w:cs="仿宋"/>
          <w:szCs w:val="21"/>
        </w:rPr>
        <w:t>元（大写：</w:t>
      </w:r>
      <w:r>
        <w:rPr>
          <w:rFonts w:hint="eastAsia" w:ascii="仿宋" w:hAnsi="仿宋" w:eastAsia="仿宋" w:cs="仿宋"/>
          <w:szCs w:val="21"/>
          <w:u w:val="single"/>
        </w:rPr>
        <w:t xml:space="preserve">  </w:t>
      </w:r>
      <w:r>
        <w:rPr>
          <w:rFonts w:hint="eastAsia" w:ascii="仿宋" w:hAnsi="仿宋" w:eastAsia="仿宋" w:cs="仿宋"/>
          <w:szCs w:val="21"/>
        </w:rPr>
        <w:t>），作为乙方履行本合同的担保。本合同终止之日起10个工作日内，若乙方无违反本合同约定的，甲方将该履约保证金一次性无息退还乙方；若乙方不履行本合同主要义务或者有其他违约行为的，甲方不予退还该履约保证金；履约保证金不足以弥补甲方损失的，乙方还应赔偿甲方损失；</w:t>
      </w:r>
    </w:p>
    <w:p>
      <w:pPr>
        <w:widowControl/>
        <w:spacing w:after="9" w:line="440" w:lineRule="exact"/>
        <w:ind w:firstLine="420" w:firstLineChars="200"/>
        <w:rPr>
          <w:rFonts w:ascii="仿宋" w:hAnsi="仿宋" w:eastAsia="仿宋" w:cs="仿宋"/>
          <w:szCs w:val="21"/>
        </w:rPr>
      </w:pPr>
      <w:r>
        <w:rPr>
          <w:rFonts w:hint="eastAsia" w:ascii="仿宋" w:hAnsi="仿宋" w:eastAsia="仿宋" w:cs="仿宋"/>
          <w:szCs w:val="21"/>
        </w:rPr>
        <w:t>②乙方应在合同生效后10日内向甲方提交金额为</w:t>
      </w:r>
      <w:r>
        <w:rPr>
          <w:rFonts w:hint="eastAsia" w:ascii="仿宋" w:hAnsi="仿宋" w:eastAsia="仿宋" w:cs="仿宋"/>
          <w:szCs w:val="21"/>
          <w:u w:val="single"/>
        </w:rPr>
        <w:t xml:space="preserve">  </w:t>
      </w:r>
      <w:r>
        <w:rPr>
          <w:rFonts w:hint="eastAsia" w:ascii="仿宋" w:hAnsi="仿宋" w:eastAsia="仿宋" w:cs="仿宋"/>
          <w:szCs w:val="21"/>
        </w:rPr>
        <w:t>元（大写：</w:t>
      </w:r>
      <w:r>
        <w:rPr>
          <w:rFonts w:hint="eastAsia" w:ascii="仿宋" w:hAnsi="仿宋" w:eastAsia="仿宋" w:cs="仿宋"/>
          <w:szCs w:val="21"/>
          <w:u w:val="single"/>
        </w:rPr>
        <w:t xml:space="preserve">  </w:t>
      </w:r>
      <w:r>
        <w:rPr>
          <w:rFonts w:hint="eastAsia" w:ascii="仿宋" w:hAnsi="仿宋" w:eastAsia="仿宋" w:cs="仿宋"/>
          <w:szCs w:val="21"/>
        </w:rPr>
        <w:t>）履约保函，保函有效期至货物验收/工程验收后1个月。出具履约保函的银行资格：依法有提供银行担保营业范围的国有商业银行或股份制银行的分支机构。若乙方未能履行本合同所约定的任何合同义务，或未能全部履行本合同约定的任何合同义务，甲方即可向保函出具银行请求履行支付或赔偿责任；</w:t>
      </w:r>
    </w:p>
    <w:p>
      <w:pPr>
        <w:widowControl/>
        <w:spacing w:after="9" w:line="440" w:lineRule="exact"/>
        <w:ind w:firstLine="420" w:firstLineChars="200"/>
        <w:rPr>
          <w:rFonts w:ascii="仿宋" w:hAnsi="仿宋" w:eastAsia="仿宋" w:cs="仿宋"/>
          <w:szCs w:val="21"/>
        </w:rPr>
      </w:pPr>
      <w:r>
        <w:rPr>
          <w:rFonts w:hint="eastAsia" w:ascii="仿宋" w:hAnsi="仿宋" w:eastAsia="仿宋" w:cs="仿宋"/>
          <w:szCs w:val="21"/>
        </w:rPr>
        <w:t>③乙方无需开具履约保证金或履约保函。</w:t>
      </w:r>
    </w:p>
    <w:p>
      <w:pPr>
        <w:widowControl/>
        <w:spacing w:after="9" w:line="440" w:lineRule="exact"/>
        <w:ind w:firstLine="420" w:firstLineChars="200"/>
        <w:rPr>
          <w:rFonts w:ascii="仿宋" w:hAnsi="仿宋" w:eastAsia="仿宋" w:cs="仿宋"/>
          <w:b/>
          <w:bCs/>
          <w:szCs w:val="21"/>
        </w:rPr>
      </w:pPr>
      <w:r>
        <w:rPr>
          <w:rFonts w:hint="eastAsia" w:ascii="仿宋" w:hAnsi="仿宋" w:eastAsia="仿宋" w:cs="仿宋"/>
          <w:szCs w:val="21"/>
        </w:rPr>
        <w:t>12.2 乙方应按本条约定提供甲方认可的履约保证金或履约保函。乙方应提供而未按约提供的，甲方有权拒付任何款项。经甲方书面提出，仍不改正的，甲方有权单方面决定解除合同，届时，乙方按合同总金额的30%向甲方支付违约金，如果违约金不能弥补所发生的一切损失和费用，则还应当负责弥补。</w:t>
      </w:r>
    </w:p>
    <w:p>
      <w:pPr>
        <w:spacing w:line="440" w:lineRule="exact"/>
        <w:rPr>
          <w:rFonts w:ascii="仿宋" w:hAnsi="仿宋" w:eastAsia="仿宋" w:cs="仿宋"/>
          <w:b/>
          <w:bCs/>
          <w:sz w:val="24"/>
        </w:rPr>
      </w:pPr>
      <w:r>
        <w:rPr>
          <w:rFonts w:hint="eastAsia" w:ascii="仿宋" w:hAnsi="仿宋" w:eastAsia="仿宋" w:cs="仿宋"/>
          <w:b/>
          <w:bCs/>
          <w:sz w:val="24"/>
        </w:rPr>
        <w:t>13.特别约定</w:t>
      </w:r>
    </w:p>
    <w:p>
      <w:pPr>
        <w:spacing w:line="440" w:lineRule="exact"/>
        <w:ind w:firstLine="420" w:firstLineChars="200"/>
        <w:rPr>
          <w:rFonts w:ascii="仿宋" w:hAnsi="仿宋" w:eastAsia="仿宋"/>
          <w:color w:val="333333"/>
          <w:szCs w:val="21"/>
          <w:u w:val="single"/>
          <w:shd w:val="clear" w:color="auto" w:fill="FFFFFF"/>
        </w:rPr>
      </w:pPr>
      <w:r>
        <w:rPr>
          <w:rFonts w:hint="eastAsia" w:ascii="仿宋" w:hAnsi="仿宋" w:eastAsia="仿宋"/>
          <w:color w:val="333333"/>
          <w:szCs w:val="21"/>
          <w:u w:val="single"/>
          <w:shd w:val="clear" w:color="auto" w:fill="FFFFFF"/>
        </w:rPr>
        <w:t xml:space="preserve"> （无）</w:t>
      </w:r>
      <w:r>
        <w:rPr>
          <w:rFonts w:ascii="仿宋" w:hAnsi="仿宋" w:eastAsia="仿宋"/>
          <w:color w:val="333333"/>
          <w:szCs w:val="21"/>
          <w:u w:val="single"/>
          <w:shd w:val="clear" w:color="auto" w:fill="FFFFFF"/>
        </w:rPr>
        <w:t xml:space="preserve"> </w:t>
      </w:r>
      <w:r>
        <w:rPr>
          <w:rFonts w:hint="eastAsia" w:ascii="仿宋" w:hAnsi="仿宋" w:eastAsia="仿宋"/>
          <w:color w:val="333333"/>
          <w:szCs w:val="21"/>
          <w:u w:val="single"/>
          <w:shd w:val="clear" w:color="auto" w:fill="FFFFFF"/>
        </w:rPr>
        <w:t>或</w:t>
      </w:r>
      <w:r>
        <w:rPr>
          <w:rFonts w:ascii="仿宋" w:hAnsi="仿宋" w:eastAsia="仿宋"/>
          <w:color w:val="333333"/>
          <w:szCs w:val="21"/>
          <w:u w:val="single"/>
          <w:shd w:val="clear" w:color="auto" w:fill="FFFFFF"/>
        </w:rPr>
        <w:t>根据</w:t>
      </w:r>
      <w:r>
        <w:rPr>
          <w:rFonts w:hint="eastAsia" w:ascii="仿宋" w:hAnsi="仿宋" w:eastAsia="仿宋"/>
          <w:color w:val="333333"/>
          <w:szCs w:val="21"/>
          <w:u w:val="single"/>
          <w:shd w:val="clear" w:color="auto" w:fill="FFFFFF"/>
        </w:rPr>
        <w:t>实际谈判</w:t>
      </w:r>
      <w:r>
        <w:rPr>
          <w:rFonts w:ascii="仿宋" w:hAnsi="仿宋" w:eastAsia="仿宋"/>
          <w:color w:val="333333"/>
          <w:szCs w:val="21"/>
          <w:u w:val="single"/>
          <w:shd w:val="clear" w:color="auto" w:fill="FFFFFF"/>
        </w:rPr>
        <w:t xml:space="preserve">内容填写                                 </w:t>
      </w:r>
    </w:p>
    <w:p>
      <w:pPr>
        <w:pStyle w:val="26"/>
        <w:spacing w:line="440" w:lineRule="exact"/>
        <w:ind w:firstLine="560"/>
        <w:rPr>
          <w:rFonts w:ascii="仿宋" w:hAnsi="仿宋" w:eastAsia="仿宋" w:cs="仿宋"/>
        </w:rPr>
      </w:pPr>
      <w:r>
        <w:rPr>
          <w:rFonts w:hint="eastAsia" w:ascii="仿宋" w:hAnsi="仿宋" w:eastAsia="仿宋" w:cs="仿宋"/>
        </w:rPr>
        <w:t>（以下无正文）</w:t>
      </w:r>
    </w:p>
    <w:p>
      <w:pPr>
        <w:pStyle w:val="26"/>
        <w:spacing w:line="440" w:lineRule="exact"/>
        <w:ind w:firstLine="560"/>
        <w:rPr>
          <w:rFonts w:ascii="仿宋" w:hAnsi="仿宋" w:eastAsia="仿宋" w:cs="仿宋"/>
        </w:rPr>
      </w:pPr>
    </w:p>
    <w:p>
      <w:pPr>
        <w:pStyle w:val="26"/>
        <w:spacing w:line="400" w:lineRule="exact"/>
        <w:ind w:firstLine="560"/>
        <w:rPr>
          <w:rFonts w:ascii="仿宋" w:hAnsi="仿宋" w:eastAsia="仿宋" w:cs="仿宋"/>
        </w:rPr>
      </w:pPr>
    </w:p>
    <w:p>
      <w:pPr>
        <w:pStyle w:val="26"/>
        <w:spacing w:line="400" w:lineRule="exact"/>
        <w:ind w:firstLine="560"/>
        <w:rPr>
          <w:rFonts w:ascii="仿宋" w:hAnsi="仿宋" w:eastAsia="仿宋" w:cs="仿宋"/>
        </w:rPr>
      </w:pPr>
    </w:p>
    <w:p>
      <w:pPr>
        <w:pStyle w:val="26"/>
        <w:spacing w:line="400" w:lineRule="exact"/>
        <w:ind w:firstLine="560"/>
        <w:rPr>
          <w:rFonts w:ascii="仿宋" w:hAnsi="仿宋" w:eastAsia="仿宋" w:cs="仿宋"/>
        </w:rPr>
      </w:pPr>
    </w:p>
    <w:p>
      <w:pPr>
        <w:tabs>
          <w:tab w:val="left" w:pos="840"/>
        </w:tabs>
        <w:spacing w:line="400" w:lineRule="exact"/>
        <w:ind w:left="840" w:hanging="840" w:hangingChars="400"/>
        <w:rPr>
          <w:rFonts w:ascii="仿宋" w:hAnsi="仿宋" w:eastAsia="仿宋"/>
          <w:szCs w:val="21"/>
        </w:rPr>
      </w:pPr>
      <w:r>
        <w:rPr>
          <w:rFonts w:hint="eastAsia" w:ascii="仿宋" w:hAnsi="仿宋" w:eastAsia="仿宋"/>
          <w:szCs w:val="21"/>
        </w:rPr>
        <w:t>甲</w:t>
      </w:r>
      <w:r>
        <w:rPr>
          <w:rFonts w:ascii="仿宋" w:hAnsi="仿宋" w:eastAsia="仿宋"/>
          <w:szCs w:val="21"/>
        </w:rPr>
        <w:t xml:space="preserve">   </w:t>
      </w:r>
      <w:r>
        <w:rPr>
          <w:rFonts w:hint="eastAsia" w:ascii="仿宋" w:hAnsi="仿宋" w:eastAsia="仿宋"/>
          <w:szCs w:val="21"/>
        </w:rPr>
        <w:t>方（盖章）：</w:t>
      </w:r>
      <w:r>
        <w:rPr>
          <w:rFonts w:ascii="仿宋" w:hAnsi="仿宋" w:eastAsia="仿宋"/>
          <w:szCs w:val="21"/>
        </w:rPr>
        <w:t xml:space="preserve">                      </w:t>
      </w:r>
      <w:r>
        <w:rPr>
          <w:rFonts w:hint="eastAsia" w:ascii="仿宋" w:hAnsi="仿宋" w:eastAsia="仿宋"/>
          <w:szCs w:val="21"/>
        </w:rPr>
        <w:t>乙</w:t>
      </w:r>
      <w:r>
        <w:rPr>
          <w:rFonts w:ascii="仿宋" w:hAnsi="仿宋" w:eastAsia="仿宋"/>
          <w:szCs w:val="21"/>
        </w:rPr>
        <w:t xml:space="preserve">   </w:t>
      </w:r>
      <w:r>
        <w:rPr>
          <w:rFonts w:hint="eastAsia" w:ascii="仿宋" w:hAnsi="仿宋" w:eastAsia="仿宋"/>
          <w:szCs w:val="21"/>
        </w:rPr>
        <w:t>方（盖章）：</w:t>
      </w:r>
    </w:p>
    <w:p>
      <w:pPr>
        <w:tabs>
          <w:tab w:val="left" w:pos="5040"/>
        </w:tabs>
        <w:spacing w:line="400" w:lineRule="exact"/>
        <w:rPr>
          <w:rFonts w:ascii="仿宋" w:hAnsi="仿宋" w:eastAsia="仿宋"/>
          <w:szCs w:val="21"/>
        </w:rPr>
      </w:pPr>
      <w:r>
        <w:rPr>
          <w:rFonts w:hint="eastAsia" w:ascii="仿宋" w:hAnsi="仿宋" w:eastAsia="仿宋"/>
          <w:szCs w:val="21"/>
        </w:rPr>
        <w:t>广东机场白云信息科技有限公司</w:t>
      </w:r>
      <w:r>
        <w:rPr>
          <w:rFonts w:ascii="仿宋" w:hAnsi="仿宋" w:eastAsia="仿宋"/>
          <w:szCs w:val="21"/>
        </w:rPr>
        <w:t xml:space="preserve">          </w:t>
      </w:r>
    </w:p>
    <w:p>
      <w:pPr>
        <w:tabs>
          <w:tab w:val="left" w:pos="3990"/>
        </w:tabs>
        <w:spacing w:line="400" w:lineRule="exact"/>
        <w:rPr>
          <w:rFonts w:ascii="仿宋" w:hAnsi="仿宋" w:eastAsia="仿宋"/>
          <w:szCs w:val="21"/>
        </w:rPr>
      </w:pPr>
    </w:p>
    <w:p>
      <w:pPr>
        <w:tabs>
          <w:tab w:val="left" w:pos="3990"/>
        </w:tabs>
        <w:spacing w:line="400" w:lineRule="exact"/>
        <w:rPr>
          <w:rFonts w:ascii="仿宋" w:hAnsi="仿宋" w:eastAsia="仿宋"/>
          <w:szCs w:val="21"/>
        </w:rPr>
      </w:pPr>
    </w:p>
    <w:p>
      <w:pPr>
        <w:tabs>
          <w:tab w:val="left" w:pos="3990"/>
        </w:tabs>
        <w:spacing w:line="400" w:lineRule="exact"/>
        <w:rPr>
          <w:rFonts w:ascii="仿宋" w:hAnsi="仿宋" w:eastAsia="仿宋"/>
          <w:szCs w:val="21"/>
        </w:rPr>
      </w:pPr>
      <w:r>
        <w:rPr>
          <w:rFonts w:hint="eastAsia" w:ascii="仿宋" w:hAnsi="仿宋" w:eastAsia="仿宋"/>
          <w:szCs w:val="21"/>
        </w:rPr>
        <w:t>法定代表人/授权代表（签字）：</w:t>
      </w:r>
      <w:r>
        <w:rPr>
          <w:rFonts w:ascii="仿宋" w:hAnsi="仿宋" w:eastAsia="仿宋"/>
          <w:szCs w:val="21"/>
        </w:rPr>
        <w:tab/>
      </w:r>
      <w:r>
        <w:rPr>
          <w:rFonts w:hint="eastAsia" w:ascii="仿宋" w:hAnsi="仿宋" w:eastAsia="仿宋"/>
          <w:szCs w:val="21"/>
        </w:rPr>
        <w:t>法定代表人</w:t>
      </w:r>
      <w:r>
        <w:rPr>
          <w:rFonts w:ascii="仿宋" w:hAnsi="仿宋" w:eastAsia="仿宋"/>
          <w:szCs w:val="21"/>
        </w:rPr>
        <w:t>/</w:t>
      </w:r>
      <w:r>
        <w:rPr>
          <w:rFonts w:hint="eastAsia" w:ascii="仿宋" w:hAnsi="仿宋" w:eastAsia="仿宋"/>
          <w:szCs w:val="21"/>
        </w:rPr>
        <w:t>授权代表（签字）：</w:t>
      </w:r>
    </w:p>
    <w:p>
      <w:pPr>
        <w:pStyle w:val="28"/>
        <w:tabs>
          <w:tab w:val="left" w:pos="5040"/>
        </w:tabs>
        <w:spacing w:line="400" w:lineRule="exact"/>
        <w:ind w:left="5250"/>
        <w:rPr>
          <w:rFonts w:ascii="仿宋" w:hAnsi="仿宋" w:eastAsia="仿宋"/>
          <w:szCs w:val="21"/>
        </w:rPr>
      </w:pPr>
    </w:p>
    <w:p>
      <w:pPr>
        <w:tabs>
          <w:tab w:val="left" w:pos="3990"/>
        </w:tabs>
        <w:spacing w:line="400" w:lineRule="exact"/>
        <w:rPr>
          <w:rFonts w:ascii="仿宋" w:hAnsi="仿宋" w:eastAsia="仿宋"/>
          <w:szCs w:val="21"/>
        </w:rPr>
      </w:pPr>
    </w:p>
    <w:p>
      <w:pPr>
        <w:tabs>
          <w:tab w:val="left" w:pos="3990"/>
        </w:tabs>
        <w:spacing w:line="400" w:lineRule="exact"/>
        <w:rPr>
          <w:rFonts w:ascii="仿宋" w:hAnsi="仿宋" w:eastAsia="仿宋"/>
          <w:szCs w:val="21"/>
        </w:rPr>
      </w:pPr>
      <w:r>
        <w:rPr>
          <w:rFonts w:hint="eastAsia" w:ascii="仿宋" w:hAnsi="仿宋" w:eastAsia="仿宋"/>
          <w:szCs w:val="21"/>
        </w:rPr>
        <w:t>签约日期：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r>
        <w:rPr>
          <w:rFonts w:ascii="仿宋" w:hAnsi="仿宋" w:eastAsia="仿宋"/>
          <w:szCs w:val="21"/>
        </w:rPr>
        <w:tab/>
      </w:r>
      <w:r>
        <w:rPr>
          <w:rFonts w:hint="eastAsia" w:ascii="仿宋" w:hAnsi="仿宋" w:eastAsia="仿宋"/>
          <w:szCs w:val="21"/>
        </w:rPr>
        <w:t>签约日期：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p>
      <w:pPr>
        <w:spacing w:line="400" w:lineRule="exact"/>
        <w:rPr>
          <w:rFonts w:ascii="仿宋" w:hAnsi="仿宋" w:eastAsia="仿宋"/>
          <w:szCs w:val="21"/>
        </w:rPr>
      </w:pPr>
    </w:p>
    <w:p>
      <w:pPr>
        <w:tabs>
          <w:tab w:val="left" w:pos="5040"/>
        </w:tabs>
        <w:spacing w:line="400" w:lineRule="exact"/>
        <w:rPr>
          <w:rFonts w:ascii="仿宋" w:hAnsi="仿宋" w:eastAsia="仿宋"/>
          <w:szCs w:val="21"/>
        </w:rPr>
      </w:pPr>
      <w:r>
        <w:rPr>
          <w:rFonts w:hint="eastAsia" w:ascii="仿宋" w:hAnsi="仿宋" w:eastAsia="仿宋"/>
          <w:szCs w:val="21"/>
        </w:rPr>
        <w:t>联系人：                             联系人：</w:t>
      </w:r>
    </w:p>
    <w:p>
      <w:pPr>
        <w:tabs>
          <w:tab w:val="left" w:pos="3990"/>
        </w:tabs>
        <w:spacing w:line="400" w:lineRule="exact"/>
        <w:rPr>
          <w:rFonts w:ascii="仿宋" w:hAnsi="仿宋" w:eastAsia="仿宋"/>
          <w:szCs w:val="21"/>
        </w:rPr>
      </w:pPr>
      <w:r>
        <w:rPr>
          <w:rFonts w:hint="eastAsia" w:ascii="仿宋" w:hAnsi="仿宋" w:eastAsia="仿宋"/>
          <w:szCs w:val="21"/>
        </w:rPr>
        <w:t>电</w:t>
      </w:r>
      <w:r>
        <w:rPr>
          <w:rFonts w:ascii="仿宋" w:hAnsi="仿宋" w:eastAsia="仿宋"/>
          <w:szCs w:val="21"/>
        </w:rPr>
        <w:t xml:space="preserve">  </w:t>
      </w:r>
      <w:r>
        <w:rPr>
          <w:rFonts w:hint="eastAsia" w:ascii="仿宋" w:hAnsi="仿宋" w:eastAsia="仿宋"/>
          <w:szCs w:val="21"/>
        </w:rPr>
        <w:t xml:space="preserve">话：             </w:t>
      </w:r>
      <w:r>
        <w:rPr>
          <w:rFonts w:ascii="仿宋" w:hAnsi="仿宋" w:eastAsia="仿宋"/>
          <w:szCs w:val="21"/>
        </w:rPr>
        <w:t xml:space="preserve">               </w:t>
      </w:r>
      <w:r>
        <w:rPr>
          <w:rFonts w:hint="eastAsia" w:ascii="仿宋" w:hAnsi="仿宋" w:eastAsia="仿宋"/>
          <w:szCs w:val="21"/>
        </w:rPr>
        <w:t xml:space="preserve"> 电  话：</w:t>
      </w:r>
    </w:p>
    <w:p>
      <w:pPr>
        <w:tabs>
          <w:tab w:val="left" w:pos="3990"/>
        </w:tabs>
        <w:spacing w:line="400" w:lineRule="exact"/>
        <w:rPr>
          <w:rFonts w:ascii="仿宋" w:hAnsi="仿宋" w:eastAsia="仿宋"/>
          <w:szCs w:val="21"/>
        </w:rPr>
      </w:pPr>
      <w:r>
        <w:rPr>
          <w:rFonts w:hint="eastAsia" w:ascii="仿宋" w:hAnsi="仿宋" w:eastAsia="仿宋"/>
          <w:szCs w:val="21"/>
        </w:rPr>
        <w:t>电子邮箱：                           电子邮箱：</w:t>
      </w:r>
    </w:p>
    <w:p>
      <w:pPr>
        <w:pStyle w:val="28"/>
        <w:tabs>
          <w:tab w:val="left" w:pos="5040"/>
        </w:tabs>
        <w:spacing w:line="400" w:lineRule="exact"/>
        <w:ind w:left="5250"/>
        <w:rPr>
          <w:rFonts w:ascii="仿宋" w:hAnsi="仿宋" w:eastAsia="仿宋"/>
          <w:szCs w:val="21"/>
        </w:rPr>
      </w:pPr>
    </w:p>
    <w:p>
      <w:pPr>
        <w:spacing w:line="400" w:lineRule="exact"/>
        <w:jc w:val="left"/>
        <w:rPr>
          <w:rFonts w:ascii="黑体" w:hAnsi="黑体" w:eastAsia="黑体" w:cs="黑体"/>
          <w:b/>
          <w:szCs w:val="21"/>
        </w:rPr>
      </w:pPr>
      <w:r>
        <w:rPr>
          <w:rFonts w:hint="eastAsia" w:ascii="黑体" w:hAnsi="黑体" w:eastAsia="黑体" w:cs="黑体"/>
          <w:b/>
          <w:szCs w:val="21"/>
        </w:rPr>
        <w:t>附件1</w:t>
      </w:r>
    </w:p>
    <w:p>
      <w:pPr>
        <w:spacing w:line="400" w:lineRule="exact"/>
        <w:ind w:firstLine="562" w:firstLineChars="200"/>
        <w:jc w:val="center"/>
        <w:rPr>
          <w:rFonts w:ascii="仿宋" w:hAnsi="仿宋" w:eastAsia="仿宋"/>
          <w:b/>
          <w:sz w:val="28"/>
          <w:szCs w:val="28"/>
        </w:rPr>
      </w:pPr>
      <w:r>
        <w:rPr>
          <w:rFonts w:hint="eastAsia" w:ascii="仿宋" w:hAnsi="仿宋" w:eastAsia="仿宋"/>
          <w:b/>
          <w:sz w:val="28"/>
          <w:szCs w:val="28"/>
        </w:rPr>
        <w:t>反商业</w:t>
      </w:r>
      <w:r>
        <w:rPr>
          <w:rFonts w:ascii="仿宋" w:hAnsi="仿宋" w:eastAsia="仿宋"/>
          <w:b/>
          <w:sz w:val="28"/>
          <w:szCs w:val="28"/>
        </w:rPr>
        <w:t>贿赂协议</w:t>
      </w:r>
    </w:p>
    <w:p>
      <w:pPr>
        <w:spacing w:line="400" w:lineRule="exact"/>
        <w:ind w:firstLine="420" w:firstLineChars="200"/>
        <w:jc w:val="left"/>
        <w:rPr>
          <w:rFonts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广东机场白云信息科技有限公司</w:t>
      </w:r>
    </w:p>
    <w:p>
      <w:pPr>
        <w:spacing w:line="400" w:lineRule="exact"/>
        <w:ind w:firstLine="420" w:firstLineChars="200"/>
        <w:jc w:val="left"/>
        <w:rPr>
          <w:rFonts w:ascii="仿宋" w:hAnsi="仿宋" w:eastAsia="仿宋"/>
          <w:szCs w:val="21"/>
        </w:rPr>
      </w:pPr>
      <w:r>
        <w:rPr>
          <w:rFonts w:hint="eastAsia" w:ascii="仿宋" w:hAnsi="仿宋" w:eastAsia="仿宋"/>
          <w:szCs w:val="21"/>
        </w:rPr>
        <w:t>乙方</w:t>
      </w:r>
      <w:r>
        <w:rPr>
          <w:rFonts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rPr>
        <w:t>为</w:t>
      </w:r>
      <w:r>
        <w:rPr>
          <w:rFonts w:ascii="仿宋" w:hAnsi="仿宋" w:eastAsia="仿宋"/>
          <w:szCs w:val="21"/>
        </w:rPr>
        <w:t>共同制止商业</w:t>
      </w:r>
      <w:r>
        <w:rPr>
          <w:rFonts w:hint="eastAsia" w:ascii="仿宋" w:hAnsi="仿宋" w:eastAsia="仿宋"/>
          <w:szCs w:val="21"/>
        </w:rPr>
        <w:t>贿赂</w:t>
      </w:r>
      <w:r>
        <w:rPr>
          <w:rFonts w:ascii="仿宋" w:hAnsi="仿宋" w:eastAsia="仿宋"/>
          <w:szCs w:val="21"/>
        </w:rPr>
        <w:t>行为，维护各自及双方共同的</w:t>
      </w:r>
      <w:r>
        <w:rPr>
          <w:rFonts w:hint="eastAsia" w:ascii="仿宋" w:hAnsi="仿宋" w:eastAsia="仿宋"/>
          <w:szCs w:val="21"/>
        </w:rPr>
        <w:t>合法</w:t>
      </w:r>
      <w:r>
        <w:rPr>
          <w:rFonts w:ascii="仿宋" w:hAnsi="仿宋" w:eastAsia="仿宋"/>
          <w:szCs w:val="21"/>
        </w:rPr>
        <w:t>权益，保证甲乙双方商业合作关系健康发展，根据《中华人民共和国反不正当竞争法》（以下简称</w:t>
      </w:r>
      <w:r>
        <w:rPr>
          <w:rFonts w:hint="eastAsia" w:ascii="仿宋" w:hAnsi="仿宋" w:eastAsia="仿宋"/>
          <w:szCs w:val="21"/>
        </w:rPr>
        <w:t>反</w:t>
      </w:r>
      <w:r>
        <w:rPr>
          <w:rFonts w:ascii="仿宋" w:hAnsi="仿宋" w:eastAsia="仿宋"/>
          <w:szCs w:val="21"/>
        </w:rPr>
        <w:t>不正当竞争法）、国家工商</w:t>
      </w:r>
      <w:r>
        <w:rPr>
          <w:rFonts w:hint="eastAsia" w:ascii="仿宋" w:hAnsi="仿宋" w:eastAsia="仿宋"/>
          <w:szCs w:val="21"/>
        </w:rPr>
        <w:t>行政</w:t>
      </w:r>
      <w:r>
        <w:rPr>
          <w:rFonts w:ascii="仿宋" w:hAnsi="仿宋" w:eastAsia="仿宋"/>
          <w:szCs w:val="21"/>
        </w:rPr>
        <w:t>管理局《关于禁止商业贿赂行为的暂行规定》（国家工商行政管理局令第</w:t>
      </w:r>
      <w:r>
        <w:rPr>
          <w:rFonts w:hint="eastAsia" w:ascii="仿宋" w:hAnsi="仿宋" w:eastAsia="仿宋"/>
          <w:szCs w:val="21"/>
        </w:rPr>
        <w:t>60号</w:t>
      </w:r>
      <w:r>
        <w:rPr>
          <w:rFonts w:ascii="仿宋" w:hAnsi="仿宋" w:eastAsia="仿宋"/>
          <w:szCs w:val="21"/>
        </w:rPr>
        <w:t>）等有关法律、法规、经甲乙双方友好协商，达成如下反商业贿赂协议，以资双方信守履行：</w:t>
      </w:r>
    </w:p>
    <w:p>
      <w:pPr>
        <w:pStyle w:val="248"/>
        <w:numPr>
          <w:ilvl w:val="0"/>
          <w:numId w:val="9"/>
        </w:numPr>
        <w:spacing w:line="400" w:lineRule="exact"/>
        <w:ind w:left="420" w:leftChars="200" w:firstLine="0" w:firstLineChars="0"/>
        <w:jc w:val="left"/>
        <w:rPr>
          <w:rFonts w:ascii="仿宋" w:hAnsi="仿宋" w:eastAsia="仿宋"/>
          <w:szCs w:val="21"/>
        </w:rPr>
      </w:pPr>
      <w:r>
        <w:rPr>
          <w:rFonts w:ascii="仿宋" w:hAnsi="仿宋" w:eastAsia="仿宋"/>
          <w:szCs w:val="21"/>
        </w:rPr>
        <w:t>本协议所称的商业贿赂是指甲方与</w:t>
      </w:r>
      <w:r>
        <w:rPr>
          <w:rFonts w:hint="eastAsia" w:ascii="仿宋" w:hAnsi="仿宋" w:eastAsia="仿宋"/>
          <w:szCs w:val="21"/>
        </w:rPr>
        <w:t>乙方</w:t>
      </w:r>
      <w:r>
        <w:rPr>
          <w:rFonts w:ascii="仿宋" w:hAnsi="仿宋" w:eastAsia="仿宋"/>
          <w:szCs w:val="21"/>
        </w:rPr>
        <w:t>在合作过程中，乙方或其单位工作人员给予甲方人员的贿赂，具体由检查</w:t>
      </w:r>
      <w:r>
        <w:rPr>
          <w:rFonts w:hint="eastAsia" w:ascii="仿宋" w:hAnsi="仿宋" w:eastAsia="仿宋"/>
          <w:szCs w:val="21"/>
        </w:rPr>
        <w:t>机关</w:t>
      </w:r>
      <w:r>
        <w:rPr>
          <w:rFonts w:ascii="仿宋" w:hAnsi="仿宋" w:eastAsia="仿宋"/>
          <w:szCs w:val="21"/>
        </w:rPr>
        <w:t>或纪检监察部门界定。</w:t>
      </w:r>
    </w:p>
    <w:p>
      <w:pPr>
        <w:pStyle w:val="248"/>
        <w:numPr>
          <w:ilvl w:val="0"/>
          <w:numId w:val="9"/>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甲方</w:t>
      </w:r>
      <w:r>
        <w:rPr>
          <w:rFonts w:ascii="仿宋" w:hAnsi="仿宋" w:eastAsia="仿宋"/>
          <w:szCs w:val="21"/>
        </w:rPr>
        <w:t>人员不得以任何名义</w:t>
      </w:r>
      <w:r>
        <w:rPr>
          <w:rFonts w:hint="eastAsia" w:ascii="仿宋" w:hAnsi="仿宋" w:eastAsia="仿宋"/>
          <w:szCs w:val="21"/>
        </w:rPr>
        <w:t>向</w:t>
      </w:r>
      <w:r>
        <w:rPr>
          <w:rFonts w:ascii="仿宋" w:hAnsi="仿宋" w:eastAsia="仿宋"/>
          <w:szCs w:val="21"/>
        </w:rPr>
        <w:t>乙方索取贿赂</w:t>
      </w:r>
      <w:r>
        <w:rPr>
          <w:rFonts w:hint="eastAsia" w:ascii="仿宋" w:hAnsi="仿宋" w:eastAsia="仿宋"/>
          <w:szCs w:val="21"/>
        </w:rPr>
        <w:t>；</w:t>
      </w:r>
      <w:r>
        <w:rPr>
          <w:rFonts w:ascii="仿宋" w:hAnsi="仿宋" w:eastAsia="仿宋"/>
          <w:szCs w:val="21"/>
        </w:rPr>
        <w:t>收受贿赂的人员，甲方给予解雇，没收违法所得，情节严重构成犯罪的，移交司法机关追究刑事责任。</w:t>
      </w:r>
    </w:p>
    <w:p>
      <w:pPr>
        <w:pStyle w:val="248"/>
        <w:numPr>
          <w:ilvl w:val="0"/>
          <w:numId w:val="9"/>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属甲方</w:t>
      </w:r>
      <w:r>
        <w:rPr>
          <w:rFonts w:ascii="仿宋" w:hAnsi="仿宋" w:eastAsia="仿宋"/>
          <w:szCs w:val="21"/>
        </w:rPr>
        <w:t>人员主动索贿，乙方不配合甲方或其上级机关调查其人员受贿行为，将视为乙方违反协议，经核实后，甲方有权终止与乙方的合同。</w:t>
      </w:r>
    </w:p>
    <w:p>
      <w:pPr>
        <w:pStyle w:val="248"/>
        <w:numPr>
          <w:ilvl w:val="0"/>
          <w:numId w:val="9"/>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乙方</w:t>
      </w:r>
      <w:r>
        <w:rPr>
          <w:rFonts w:ascii="仿宋" w:hAnsi="仿宋" w:eastAsia="仿宋"/>
          <w:szCs w:val="21"/>
        </w:rPr>
        <w:t>违反协议，单位或工作人员贿赂甲方人员，以图获取不正当商业利益，经核实后，乙方需向甲方按</w:t>
      </w:r>
      <w:r>
        <w:rPr>
          <w:rFonts w:hint="eastAsia" w:ascii="仿宋" w:hAnsi="仿宋" w:eastAsia="仿宋"/>
          <w:szCs w:val="21"/>
        </w:rPr>
        <w:t>合同</w:t>
      </w:r>
      <w:r>
        <w:rPr>
          <w:rFonts w:ascii="仿宋" w:hAnsi="仿宋" w:eastAsia="仿宋"/>
          <w:szCs w:val="21"/>
        </w:rPr>
        <w:t>标的额支付相应违约金</w:t>
      </w:r>
      <w:r>
        <w:rPr>
          <w:rFonts w:hint="eastAsia" w:ascii="仿宋" w:hAnsi="仿宋" w:eastAsia="仿宋"/>
          <w:szCs w:val="21"/>
        </w:rPr>
        <w:t>。</w:t>
      </w:r>
      <w:r>
        <w:rPr>
          <w:rFonts w:ascii="仿宋" w:hAnsi="仿宋" w:eastAsia="仿宋"/>
          <w:szCs w:val="21"/>
        </w:rPr>
        <w:t>其中</w:t>
      </w:r>
      <w:r>
        <w:rPr>
          <w:rFonts w:hint="eastAsia"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rPr>
        <w:t xml:space="preserve">4.1. </w:t>
      </w:r>
      <w:r>
        <w:rPr>
          <w:rFonts w:ascii="仿宋" w:hAnsi="仿宋" w:eastAsia="仿宋"/>
          <w:szCs w:val="21"/>
        </w:rPr>
        <w:t>100</w:t>
      </w:r>
      <w:r>
        <w:rPr>
          <w:rFonts w:hint="eastAsia" w:ascii="仿宋" w:hAnsi="仿宋" w:eastAsia="仿宋"/>
          <w:szCs w:val="21"/>
        </w:rPr>
        <w:t>万元</w:t>
      </w:r>
      <w:r>
        <w:rPr>
          <w:rFonts w:ascii="仿宋" w:hAnsi="仿宋" w:eastAsia="仿宋"/>
          <w:szCs w:val="21"/>
        </w:rPr>
        <w:t>以下的合同</w:t>
      </w:r>
      <w:r>
        <w:rPr>
          <w:rFonts w:hint="eastAsia" w:ascii="仿宋" w:hAnsi="仿宋" w:eastAsia="仿宋"/>
          <w:szCs w:val="21"/>
        </w:rPr>
        <w:t>，</w:t>
      </w:r>
      <w:r>
        <w:rPr>
          <w:rFonts w:ascii="仿宋" w:hAnsi="仿宋" w:eastAsia="仿宋"/>
          <w:szCs w:val="21"/>
        </w:rPr>
        <w:t>支付标的额</w:t>
      </w:r>
      <w:r>
        <w:rPr>
          <w:rFonts w:hint="eastAsia" w:ascii="仿宋" w:hAnsi="仿宋" w:eastAsia="仿宋"/>
          <w:szCs w:val="21"/>
        </w:rPr>
        <w:t>20</w:t>
      </w:r>
      <w:r>
        <w:rPr>
          <w:rFonts w:ascii="仿宋" w:hAnsi="仿宋" w:eastAsia="仿宋"/>
          <w:szCs w:val="21"/>
        </w:rPr>
        <w:t>%的违约金；</w:t>
      </w:r>
    </w:p>
    <w:p>
      <w:pPr>
        <w:spacing w:line="400" w:lineRule="exact"/>
        <w:ind w:firstLine="420" w:firstLineChars="200"/>
        <w:jc w:val="left"/>
        <w:rPr>
          <w:rFonts w:ascii="仿宋" w:hAnsi="仿宋" w:eastAsia="仿宋"/>
          <w:szCs w:val="21"/>
        </w:rPr>
      </w:pPr>
      <w:r>
        <w:rPr>
          <w:rFonts w:hint="eastAsia" w:ascii="仿宋" w:hAnsi="仿宋" w:eastAsia="仿宋"/>
          <w:szCs w:val="21"/>
        </w:rPr>
        <w:t xml:space="preserve">4.2  </w:t>
      </w:r>
      <w:r>
        <w:rPr>
          <w:rFonts w:ascii="仿宋" w:hAnsi="仿宋" w:eastAsia="仿宋"/>
          <w:szCs w:val="21"/>
        </w:rPr>
        <w:t>100</w:t>
      </w:r>
      <w:r>
        <w:rPr>
          <w:rFonts w:hint="eastAsia" w:ascii="仿宋" w:hAnsi="仿宋" w:eastAsia="仿宋"/>
          <w:szCs w:val="21"/>
        </w:rPr>
        <w:t>万元</w:t>
      </w:r>
      <w:r>
        <w:rPr>
          <w:rFonts w:ascii="仿宋" w:hAnsi="仿宋" w:eastAsia="仿宋"/>
          <w:szCs w:val="21"/>
        </w:rPr>
        <w:t>-1000</w:t>
      </w:r>
      <w:r>
        <w:rPr>
          <w:rFonts w:hint="eastAsia" w:ascii="仿宋" w:hAnsi="仿宋" w:eastAsia="仿宋"/>
          <w:szCs w:val="21"/>
        </w:rPr>
        <w:t>万元</w:t>
      </w:r>
      <w:r>
        <w:rPr>
          <w:rFonts w:ascii="仿宋" w:hAnsi="仿宋" w:eastAsia="仿宋"/>
          <w:szCs w:val="21"/>
        </w:rPr>
        <w:t>（含）的合同，</w:t>
      </w:r>
      <w:r>
        <w:rPr>
          <w:rFonts w:hint="eastAsia" w:ascii="仿宋" w:hAnsi="仿宋" w:eastAsia="仿宋"/>
          <w:szCs w:val="21"/>
        </w:rPr>
        <w:t>100万元</w:t>
      </w:r>
      <w:r>
        <w:rPr>
          <w:rFonts w:ascii="仿宋" w:hAnsi="仿宋" w:eastAsia="仿宋"/>
          <w:szCs w:val="21"/>
        </w:rPr>
        <w:t>按</w:t>
      </w:r>
      <w:r>
        <w:rPr>
          <w:rFonts w:hint="eastAsia" w:ascii="仿宋" w:hAnsi="仿宋" w:eastAsia="仿宋"/>
          <w:szCs w:val="21"/>
        </w:rPr>
        <w:t>20</w:t>
      </w:r>
      <w:r>
        <w:rPr>
          <w:rFonts w:ascii="仿宋" w:hAnsi="仿宋" w:eastAsia="仿宋"/>
          <w:szCs w:val="21"/>
        </w:rPr>
        <w:t>%、超出</w:t>
      </w:r>
      <w:r>
        <w:rPr>
          <w:rFonts w:hint="eastAsia" w:ascii="仿宋" w:hAnsi="仿宋" w:eastAsia="仿宋"/>
          <w:szCs w:val="21"/>
        </w:rPr>
        <w:t>100万元</w:t>
      </w:r>
      <w:r>
        <w:rPr>
          <w:rFonts w:ascii="仿宋" w:hAnsi="仿宋" w:eastAsia="仿宋"/>
          <w:szCs w:val="21"/>
        </w:rPr>
        <w:t>部分按</w:t>
      </w:r>
      <w:r>
        <w:rPr>
          <w:rFonts w:hint="eastAsia" w:ascii="仿宋" w:hAnsi="仿宋" w:eastAsia="仿宋"/>
          <w:szCs w:val="21"/>
        </w:rPr>
        <w:t>15</w:t>
      </w:r>
      <w:r>
        <w:rPr>
          <w:rFonts w:ascii="仿宋" w:hAnsi="仿宋" w:eastAsia="仿宋"/>
          <w:szCs w:val="21"/>
        </w:rPr>
        <w:t>%，累计支付违约金；</w:t>
      </w:r>
    </w:p>
    <w:p>
      <w:pPr>
        <w:spacing w:line="400" w:lineRule="exact"/>
        <w:ind w:firstLine="420" w:firstLineChars="200"/>
        <w:jc w:val="left"/>
        <w:rPr>
          <w:rFonts w:ascii="仿宋" w:hAnsi="仿宋" w:eastAsia="仿宋"/>
          <w:szCs w:val="21"/>
        </w:rPr>
      </w:pPr>
      <w:r>
        <w:rPr>
          <w:rFonts w:hint="eastAsia" w:ascii="仿宋" w:hAnsi="仿宋" w:eastAsia="仿宋"/>
          <w:szCs w:val="21"/>
        </w:rPr>
        <w:t xml:space="preserve">4.3  </w:t>
      </w:r>
      <w:r>
        <w:rPr>
          <w:rFonts w:ascii="仿宋" w:hAnsi="仿宋" w:eastAsia="仿宋"/>
          <w:szCs w:val="21"/>
        </w:rPr>
        <w:t>1000</w:t>
      </w:r>
      <w:r>
        <w:rPr>
          <w:rFonts w:hint="eastAsia" w:ascii="仿宋" w:hAnsi="仿宋" w:eastAsia="仿宋"/>
          <w:szCs w:val="21"/>
        </w:rPr>
        <w:t>万元</w:t>
      </w:r>
      <w:r>
        <w:rPr>
          <w:rFonts w:ascii="仿宋" w:hAnsi="仿宋" w:eastAsia="仿宋"/>
          <w:szCs w:val="21"/>
        </w:rPr>
        <w:t>以上的合同，</w:t>
      </w:r>
      <w:r>
        <w:rPr>
          <w:rFonts w:hint="eastAsia" w:ascii="仿宋" w:hAnsi="仿宋" w:eastAsia="仿宋"/>
          <w:szCs w:val="21"/>
        </w:rPr>
        <w:t>100万元</w:t>
      </w:r>
      <w:r>
        <w:rPr>
          <w:rFonts w:ascii="仿宋" w:hAnsi="仿宋" w:eastAsia="仿宋"/>
          <w:szCs w:val="21"/>
        </w:rPr>
        <w:t>按</w:t>
      </w:r>
      <w:r>
        <w:rPr>
          <w:rFonts w:hint="eastAsia" w:ascii="仿宋" w:hAnsi="仿宋" w:eastAsia="仿宋"/>
          <w:szCs w:val="21"/>
        </w:rPr>
        <w:t>20</w:t>
      </w:r>
      <w:r>
        <w:rPr>
          <w:rFonts w:ascii="仿宋" w:hAnsi="仿宋" w:eastAsia="仿宋"/>
          <w:szCs w:val="21"/>
        </w:rPr>
        <w:t>%、100</w:t>
      </w:r>
      <w:r>
        <w:rPr>
          <w:rFonts w:hint="eastAsia" w:ascii="仿宋" w:hAnsi="仿宋" w:eastAsia="仿宋"/>
          <w:szCs w:val="21"/>
        </w:rPr>
        <w:t>万元</w:t>
      </w:r>
      <w:r>
        <w:rPr>
          <w:rFonts w:ascii="仿宋" w:hAnsi="仿宋" w:eastAsia="仿宋"/>
          <w:szCs w:val="21"/>
        </w:rPr>
        <w:t>以上-1000</w:t>
      </w:r>
      <w:r>
        <w:rPr>
          <w:rFonts w:hint="eastAsia" w:ascii="仿宋" w:hAnsi="仿宋" w:eastAsia="仿宋"/>
          <w:szCs w:val="21"/>
        </w:rPr>
        <w:t>万元</w:t>
      </w:r>
      <w:r>
        <w:rPr>
          <w:rFonts w:ascii="仿宋" w:hAnsi="仿宋" w:eastAsia="仿宋"/>
          <w:szCs w:val="21"/>
        </w:rPr>
        <w:t>（含）按</w:t>
      </w:r>
      <w:r>
        <w:rPr>
          <w:rFonts w:hint="eastAsia" w:ascii="仿宋" w:hAnsi="仿宋" w:eastAsia="仿宋"/>
          <w:szCs w:val="21"/>
        </w:rPr>
        <w:t>15</w:t>
      </w:r>
      <w:r>
        <w:rPr>
          <w:rFonts w:ascii="仿宋" w:hAnsi="仿宋" w:eastAsia="仿宋"/>
          <w:szCs w:val="21"/>
        </w:rPr>
        <w:t>%、超出</w:t>
      </w:r>
      <w:r>
        <w:rPr>
          <w:rFonts w:hint="eastAsia" w:ascii="仿宋" w:hAnsi="仿宋" w:eastAsia="仿宋"/>
          <w:szCs w:val="21"/>
        </w:rPr>
        <w:t>1000万元</w:t>
      </w:r>
      <w:r>
        <w:rPr>
          <w:rFonts w:ascii="仿宋" w:hAnsi="仿宋" w:eastAsia="仿宋"/>
          <w:szCs w:val="21"/>
        </w:rPr>
        <w:t>部分按</w:t>
      </w:r>
      <w:r>
        <w:rPr>
          <w:rFonts w:hint="eastAsia" w:ascii="仿宋" w:hAnsi="仿宋" w:eastAsia="仿宋"/>
          <w:szCs w:val="21"/>
        </w:rPr>
        <w:t>10</w:t>
      </w:r>
      <w:r>
        <w:rPr>
          <w:rFonts w:ascii="仿宋" w:hAnsi="仿宋" w:eastAsia="仿宋"/>
          <w:szCs w:val="21"/>
        </w:rPr>
        <w:t>%，累计支付违约金。</w:t>
      </w:r>
    </w:p>
    <w:p>
      <w:pPr>
        <w:spacing w:line="400" w:lineRule="exact"/>
        <w:ind w:firstLine="420" w:firstLineChars="200"/>
        <w:jc w:val="left"/>
        <w:rPr>
          <w:rFonts w:ascii="仿宋" w:hAnsi="仿宋" w:eastAsia="仿宋"/>
          <w:szCs w:val="21"/>
        </w:rPr>
      </w:pPr>
      <w:r>
        <w:rPr>
          <w:rFonts w:hint="eastAsia" w:ascii="仿宋" w:hAnsi="仿宋" w:eastAsia="仿宋"/>
          <w:szCs w:val="21"/>
        </w:rPr>
        <w:t xml:space="preserve">5. </w:t>
      </w:r>
      <w:r>
        <w:rPr>
          <w:rFonts w:ascii="仿宋" w:hAnsi="仿宋" w:eastAsia="仿宋"/>
          <w:szCs w:val="21"/>
        </w:rPr>
        <w:t>乙方违反协议，单位或工作人员（含关联企业或关联人士）贿赂甲方人员，被人民法院认定或</w:t>
      </w:r>
      <w:r>
        <w:rPr>
          <w:rFonts w:hint="eastAsia" w:ascii="仿宋" w:hAnsi="仿宋" w:eastAsia="仿宋"/>
          <w:szCs w:val="21"/>
        </w:rPr>
        <w:t>检查</w:t>
      </w:r>
      <w:r>
        <w:rPr>
          <w:rFonts w:ascii="仿宋" w:hAnsi="仿宋" w:eastAsia="仿宋"/>
          <w:szCs w:val="21"/>
        </w:rPr>
        <w:t>机关</w:t>
      </w:r>
      <w:r>
        <w:rPr>
          <w:rFonts w:hint="eastAsia" w:ascii="仿宋" w:hAnsi="仿宋" w:eastAsia="仿宋"/>
          <w:szCs w:val="21"/>
        </w:rPr>
        <w:t>、纪检</w:t>
      </w:r>
      <w:r>
        <w:rPr>
          <w:rFonts w:ascii="仿宋" w:hAnsi="仿宋" w:eastAsia="仿宋"/>
          <w:szCs w:val="21"/>
        </w:rPr>
        <w:t>监察机关、工商行政管理机关立案查处的，甲方有权立即中止合同，由此导致甲方的损失以及发生的一切费用均由乙方承担。</w:t>
      </w:r>
    </w:p>
    <w:p>
      <w:pPr>
        <w:spacing w:line="400" w:lineRule="exact"/>
        <w:ind w:firstLine="420" w:firstLineChars="200"/>
        <w:jc w:val="left"/>
        <w:rPr>
          <w:rFonts w:ascii="仿宋" w:hAnsi="仿宋" w:eastAsia="仿宋"/>
          <w:szCs w:val="21"/>
        </w:rPr>
      </w:pPr>
      <w:r>
        <w:rPr>
          <w:rFonts w:hint="eastAsia" w:ascii="仿宋" w:hAnsi="仿宋" w:eastAsia="仿宋"/>
          <w:szCs w:val="21"/>
        </w:rPr>
        <w:t xml:space="preserve">6. </w:t>
      </w:r>
      <w:r>
        <w:rPr>
          <w:rFonts w:ascii="仿宋" w:hAnsi="仿宋" w:eastAsia="仿宋"/>
          <w:szCs w:val="21"/>
        </w:rPr>
        <w:t>若甲方人员要求乙方给予任何形式的不正当利益，乙方必须及时反映给甲方，并提供相关证据给甲方，经甲方查实后作出处理，</w:t>
      </w:r>
      <w:r>
        <w:rPr>
          <w:rFonts w:hint="eastAsia" w:ascii="仿宋" w:hAnsi="仿宋" w:eastAsia="仿宋"/>
          <w:szCs w:val="21"/>
        </w:rPr>
        <w:t>并</w:t>
      </w:r>
      <w:r>
        <w:rPr>
          <w:rFonts w:ascii="仿宋" w:hAnsi="仿宋" w:eastAsia="仿宋"/>
          <w:szCs w:val="21"/>
        </w:rPr>
        <w:t>为乙方保密</w:t>
      </w:r>
      <w:r>
        <w:rPr>
          <w:rFonts w:hint="eastAsia" w:ascii="仿宋" w:hAnsi="仿宋" w:eastAsia="仿宋"/>
          <w:szCs w:val="21"/>
        </w:rPr>
        <w:t>。</w:t>
      </w:r>
      <w:r>
        <w:rPr>
          <w:rFonts w:ascii="仿宋" w:hAnsi="仿宋" w:eastAsia="仿宋"/>
          <w:szCs w:val="21"/>
        </w:rPr>
        <w:t>对于</w:t>
      </w:r>
      <w:r>
        <w:rPr>
          <w:rFonts w:hint="eastAsia" w:ascii="仿宋" w:hAnsi="仿宋" w:eastAsia="仿宋"/>
          <w:szCs w:val="21"/>
        </w:rPr>
        <w:t>乙方</w:t>
      </w:r>
      <w:r>
        <w:rPr>
          <w:rFonts w:ascii="仿宋" w:hAnsi="仿宋" w:eastAsia="仿宋"/>
          <w:szCs w:val="21"/>
        </w:rPr>
        <w:t>的协助，甲方将根据情况给予乙方更多的商业合作</w:t>
      </w:r>
      <w:r>
        <w:rPr>
          <w:rFonts w:hint="eastAsia" w:ascii="仿宋" w:hAnsi="仿宋" w:eastAsia="仿宋"/>
          <w:szCs w:val="21"/>
        </w:rPr>
        <w:t>机会</w:t>
      </w:r>
      <w:r>
        <w:rPr>
          <w:rFonts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rPr>
        <w:t>7.</w:t>
      </w:r>
      <w:r>
        <w:rPr>
          <w:rFonts w:ascii="仿宋" w:hAnsi="仿宋" w:eastAsia="仿宋"/>
          <w:szCs w:val="21"/>
        </w:rPr>
        <w:t>甲方</w:t>
      </w:r>
      <w:r>
        <w:rPr>
          <w:rFonts w:hint="eastAsia" w:ascii="仿宋" w:hAnsi="仿宋" w:eastAsia="仿宋"/>
          <w:szCs w:val="21"/>
        </w:rPr>
        <w:t>设定</w:t>
      </w:r>
      <w:r>
        <w:rPr>
          <w:rFonts w:ascii="仿宋" w:hAnsi="仿宋" w:eastAsia="仿宋"/>
          <w:szCs w:val="21"/>
        </w:rPr>
        <w:t>专人专线接受乙方反映情况</w:t>
      </w:r>
    </w:p>
    <w:p>
      <w:pPr>
        <w:spacing w:line="400" w:lineRule="exact"/>
        <w:ind w:firstLine="420" w:firstLineChars="200"/>
        <w:jc w:val="left"/>
        <w:rPr>
          <w:rFonts w:ascii="仿宋" w:hAnsi="仿宋" w:eastAsia="仿宋"/>
          <w:szCs w:val="21"/>
        </w:rPr>
      </w:pPr>
      <w:r>
        <w:rPr>
          <w:rFonts w:hint="eastAsia" w:ascii="仿宋" w:hAnsi="仿宋" w:eastAsia="仿宋"/>
          <w:szCs w:val="21"/>
        </w:rPr>
        <w:t>电话</w:t>
      </w:r>
      <w:r>
        <w:rPr>
          <w:rFonts w:ascii="仿宋" w:hAnsi="仿宋" w:eastAsia="仿宋"/>
          <w:szCs w:val="21"/>
        </w:rPr>
        <w:t>：</w:t>
      </w:r>
      <w:r>
        <w:rPr>
          <w:rFonts w:hint="eastAsia" w:ascii="仿宋" w:hAnsi="仿宋" w:eastAsia="仿宋"/>
          <w:szCs w:val="21"/>
        </w:rPr>
        <w:t>020</w:t>
      </w:r>
      <w:r>
        <w:rPr>
          <w:rFonts w:ascii="仿宋" w:hAnsi="仿宋" w:eastAsia="仿宋"/>
          <w:szCs w:val="21"/>
        </w:rPr>
        <w:t>-36063</w:t>
      </w:r>
      <w:r>
        <w:rPr>
          <w:rFonts w:hint="eastAsia" w:ascii="仿宋" w:hAnsi="仿宋" w:eastAsia="仿宋"/>
          <w:szCs w:val="21"/>
        </w:rPr>
        <w:t>1832     联系人</w:t>
      </w:r>
      <w:r>
        <w:rPr>
          <w:rFonts w:ascii="仿宋" w:hAnsi="仿宋" w:eastAsia="仿宋"/>
          <w:szCs w:val="21"/>
        </w:rPr>
        <w:t xml:space="preserve">： </w:t>
      </w:r>
      <w:r>
        <w:rPr>
          <w:rFonts w:hint="eastAsia" w:ascii="仿宋" w:hAnsi="仿宋" w:eastAsia="仿宋"/>
          <w:szCs w:val="21"/>
        </w:rPr>
        <w:t>骆主任</w:t>
      </w:r>
    </w:p>
    <w:p>
      <w:pPr>
        <w:pStyle w:val="26"/>
        <w:spacing w:line="400" w:lineRule="exact"/>
        <w:ind w:firstLine="560"/>
        <w:rPr>
          <w:rFonts w:ascii="仿宋" w:hAnsi="仿宋" w:eastAsia="仿宋" w:cs="仿宋"/>
        </w:rPr>
      </w:pPr>
      <w:r>
        <w:rPr>
          <w:rFonts w:hint="eastAsia" w:ascii="仿宋" w:hAnsi="仿宋" w:eastAsia="仿宋" w:cs="仿宋"/>
        </w:rPr>
        <w:t>（以下无正文）</w:t>
      </w:r>
    </w:p>
    <w:p>
      <w:pPr>
        <w:spacing w:line="400" w:lineRule="exact"/>
        <w:ind w:firstLine="420" w:firstLineChars="200"/>
        <w:jc w:val="left"/>
        <w:rPr>
          <w:rFonts w:ascii="仿宋" w:hAnsi="仿宋" w:eastAsia="仿宋"/>
          <w:szCs w:val="21"/>
        </w:rPr>
      </w:pPr>
    </w:p>
    <w:p>
      <w:pPr>
        <w:spacing w:line="400" w:lineRule="exact"/>
        <w:jc w:val="left"/>
        <w:rPr>
          <w:rFonts w:ascii="仿宋" w:hAnsi="仿宋" w:eastAsia="仿宋"/>
          <w:szCs w:val="21"/>
        </w:rPr>
      </w:pPr>
    </w:p>
    <w:p>
      <w:pPr>
        <w:spacing w:line="400" w:lineRule="exact"/>
        <w:ind w:firstLine="420" w:firstLineChars="200"/>
        <w:jc w:val="left"/>
        <w:rPr>
          <w:rFonts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盖章</w:t>
      </w:r>
      <w:r>
        <w:rPr>
          <w:rFonts w:ascii="仿宋" w:hAnsi="仿宋" w:eastAsia="仿宋"/>
          <w:szCs w:val="21"/>
        </w:rPr>
        <w:t>）</w:t>
      </w:r>
      <w:r>
        <w:rPr>
          <w:rFonts w:hint="eastAsia" w:ascii="仿宋" w:hAnsi="仿宋" w:eastAsia="仿宋"/>
          <w:szCs w:val="21"/>
        </w:rPr>
        <w:t>： 广东机场白云信息科技有限公司      乙方</w:t>
      </w:r>
      <w:r>
        <w:rPr>
          <w:rFonts w:ascii="仿宋" w:hAnsi="仿宋" w:eastAsia="仿宋"/>
          <w:szCs w:val="21"/>
        </w:rPr>
        <w:t>（盖章）：</w:t>
      </w:r>
    </w:p>
    <w:p>
      <w:pPr>
        <w:pStyle w:val="2"/>
        <w:ind w:firstLine="0"/>
      </w:pPr>
    </w:p>
    <w:p>
      <w:pPr>
        <w:rPr>
          <w:rFonts w:ascii="宋体" w:hAnsi="宋体"/>
          <w:szCs w:val="21"/>
        </w:rPr>
      </w:pPr>
    </w:p>
    <w:p>
      <w:pPr>
        <w:widowControl/>
        <w:tabs>
          <w:tab w:val="left" w:pos="567"/>
        </w:tabs>
        <w:autoSpaceDE w:val="0"/>
        <w:autoSpaceDN w:val="0"/>
        <w:jc w:val="center"/>
        <w:textAlignment w:val="bottom"/>
        <w:rPr>
          <w:rFonts w:hint="eastAsia"/>
          <w:b/>
          <w:sz w:val="32"/>
          <w:szCs w:val="32"/>
        </w:rPr>
      </w:pPr>
    </w:p>
    <w:p>
      <w:pPr>
        <w:widowControl/>
        <w:tabs>
          <w:tab w:val="left" w:pos="567"/>
        </w:tabs>
        <w:autoSpaceDE w:val="0"/>
        <w:autoSpaceDN w:val="0"/>
        <w:jc w:val="center"/>
        <w:textAlignment w:val="bottom"/>
        <w:rPr>
          <w:b/>
          <w:sz w:val="32"/>
          <w:szCs w:val="32"/>
        </w:rPr>
      </w:pPr>
      <w:r>
        <w:rPr>
          <w:rFonts w:hint="eastAsia"/>
          <w:b/>
          <w:sz w:val="32"/>
          <w:szCs w:val="32"/>
        </w:rPr>
        <w:t>第四部分 报价文件格式</w:t>
      </w:r>
      <w:bookmarkStart w:id="34" w:name="_Toc41129151"/>
      <w:bookmarkStart w:id="35" w:name="_Toc49317161"/>
      <w:bookmarkStart w:id="36" w:name="_Toc98040837"/>
      <w:bookmarkStart w:id="37" w:name="_Toc187235503"/>
      <w:bookmarkStart w:id="38" w:name="_Toc520148232"/>
      <w:bookmarkStart w:id="39" w:name="_Toc22149480"/>
      <w:bookmarkStart w:id="40" w:name="_Toc237246981"/>
      <w:bookmarkStart w:id="41" w:name="_Toc353536760"/>
      <w:bookmarkStart w:id="42" w:name="_Toc272229620"/>
      <w:bookmarkStart w:id="43" w:name="_Toc41208028"/>
      <w:bookmarkStart w:id="44" w:name="_Toc41125554"/>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26"/>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 xml:space="preserve">广东机场白云信息科技有限公司 </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对随附报价表所规定的采购内容的</w:t>
      </w:r>
      <w:r>
        <w:rPr>
          <w:rFonts w:hint="eastAsia"/>
          <w:lang w:val="en-US" w:eastAsia="zh-CN"/>
        </w:rPr>
        <w:t>加权总价</w:t>
      </w:r>
      <w:r>
        <w:rPr>
          <w:rFonts w:hint="eastAsia"/>
        </w:rPr>
        <w:t>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3"/>
        <w:ind w:left="420"/>
      </w:pPr>
    </w:p>
    <w:p>
      <w:pPr>
        <w:rPr>
          <w:rFonts w:ascii="宋体" w:hAnsi="宋体"/>
          <w:b/>
          <w:sz w:val="18"/>
          <w:szCs w:val="1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pStyle w:val="13"/>
        <w:ind w:left="420"/>
      </w:pPr>
    </w:p>
    <w:tbl>
      <w:tblPr>
        <w:tblStyle w:val="50"/>
        <w:tblW w:w="8341" w:type="dxa"/>
        <w:tblInd w:w="0" w:type="dxa"/>
        <w:tblLayout w:type="fixed"/>
        <w:tblCellMar>
          <w:top w:w="0" w:type="dxa"/>
          <w:left w:w="0" w:type="dxa"/>
          <w:bottom w:w="0" w:type="dxa"/>
          <w:right w:w="0" w:type="dxa"/>
        </w:tblCellMar>
      </w:tblPr>
      <w:tblGrid>
        <w:gridCol w:w="510"/>
        <w:gridCol w:w="958"/>
        <w:gridCol w:w="2233"/>
        <w:gridCol w:w="850"/>
        <w:gridCol w:w="1150"/>
        <w:gridCol w:w="1023"/>
        <w:gridCol w:w="5"/>
        <w:gridCol w:w="1612"/>
      </w:tblGrid>
      <w:tr>
        <w:tblPrEx>
          <w:tblCellMar>
            <w:top w:w="0" w:type="dxa"/>
            <w:left w:w="0" w:type="dxa"/>
            <w:bottom w:w="0" w:type="dxa"/>
            <w:right w:w="0" w:type="dxa"/>
          </w:tblCellMar>
        </w:tblPrEx>
        <w:trPr>
          <w:trHeight w:val="1179" w:hRule="atLeast"/>
          <w:tblHead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序号</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类别</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服务内容项目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权重</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单价限价（含官费、代理费）</w:t>
            </w:r>
          </w:p>
        </w:tc>
        <w:tc>
          <w:tcPr>
            <w:tcW w:w="102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2"/>
                <w:szCs w:val="22"/>
                <w:lang w:bidi="ar"/>
              </w:rPr>
              <w:t>单价</w:t>
            </w:r>
            <w:r>
              <w:rPr>
                <w:rFonts w:hint="eastAsia" w:ascii="微软雅黑" w:hAnsi="微软雅黑" w:eastAsia="微软雅黑" w:cs="微软雅黑"/>
                <w:color w:val="000000"/>
                <w:kern w:val="0"/>
                <w:sz w:val="22"/>
                <w:szCs w:val="22"/>
                <w:lang w:val="en-US" w:eastAsia="zh-CN" w:bidi="ar"/>
              </w:rPr>
              <w:t>报价</w:t>
            </w:r>
            <w:r>
              <w:rPr>
                <w:rFonts w:hint="eastAsia" w:ascii="微软雅黑" w:hAnsi="微软雅黑" w:eastAsia="微软雅黑" w:cs="微软雅黑"/>
                <w:color w:val="000000"/>
                <w:kern w:val="0"/>
                <w:sz w:val="22"/>
                <w:szCs w:val="22"/>
                <w:lang w:bidi="ar"/>
              </w:rPr>
              <w:t>（含官费、代理费）</w:t>
            </w: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单价加权金额</w:t>
            </w:r>
          </w:p>
        </w:tc>
      </w:tr>
      <w:tr>
        <w:tblPrEx>
          <w:tblCellMar>
            <w:top w:w="0" w:type="dxa"/>
            <w:left w:w="0" w:type="dxa"/>
            <w:bottom w:w="0" w:type="dxa"/>
            <w:right w:w="0" w:type="dxa"/>
          </w:tblCellMar>
        </w:tblPrEx>
        <w:trPr>
          <w:trHeight w:val="480" w:hRule="atLeast"/>
          <w:tblHeader/>
        </w:trPr>
        <w:tc>
          <w:tcPr>
            <w:tcW w:w="51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noWrap/>
            <w:tcMar>
              <w:top w:w="15" w:type="dxa"/>
              <w:left w:w="15" w:type="dxa"/>
              <w:right w:w="15" w:type="dxa"/>
            </w:tcMar>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ascii="微软雅黑" w:hAnsi="微软雅黑" w:eastAsia="微软雅黑" w:cs="微软雅黑"/>
                <w:color w:val="000000"/>
                <w:sz w:val="18"/>
                <w:szCs w:val="18"/>
              </w:rPr>
              <w:t>1）</w:t>
            </w:r>
          </w:p>
        </w:tc>
        <w:tc>
          <w:tcPr>
            <w:tcW w:w="95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noWrap/>
            <w:tcMar>
              <w:top w:w="15" w:type="dxa"/>
              <w:left w:w="15" w:type="dxa"/>
              <w:right w:w="15" w:type="dxa"/>
            </w:tcMar>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ascii="微软雅黑" w:hAnsi="微软雅黑" w:eastAsia="微软雅黑" w:cs="微软雅黑"/>
                <w:color w:val="000000"/>
                <w:sz w:val="18"/>
                <w:szCs w:val="18"/>
              </w:rPr>
              <w:t>2）</w:t>
            </w:r>
          </w:p>
        </w:tc>
        <w:tc>
          <w:tcPr>
            <w:tcW w:w="223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noWrap/>
            <w:tcMar>
              <w:top w:w="15" w:type="dxa"/>
              <w:left w:w="15" w:type="dxa"/>
              <w:right w:w="15" w:type="dxa"/>
            </w:tcMar>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ascii="微软雅黑" w:hAnsi="微软雅黑" w:eastAsia="微软雅黑" w:cs="微软雅黑"/>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noWrap/>
            <w:tcMar>
              <w:top w:w="15" w:type="dxa"/>
              <w:left w:w="15" w:type="dxa"/>
              <w:right w:w="15" w:type="dxa"/>
            </w:tcMar>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ascii="微软雅黑" w:hAnsi="微软雅黑" w:eastAsia="微软雅黑" w:cs="微软雅黑"/>
                <w:color w:val="000000"/>
                <w:sz w:val="18"/>
                <w:szCs w:val="18"/>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5" w:type="dxa"/>
              <w:left w:w="15" w:type="dxa"/>
              <w:right w:w="15" w:type="dxa"/>
            </w:tcMar>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ascii="微软雅黑" w:hAnsi="微软雅黑" w:eastAsia="微软雅黑" w:cs="微软雅黑"/>
                <w:color w:val="000000"/>
                <w:sz w:val="18"/>
                <w:szCs w:val="18"/>
              </w:rPr>
              <w:t>5）</w:t>
            </w:r>
          </w:p>
        </w:tc>
        <w:tc>
          <w:tcPr>
            <w:tcW w:w="10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r>
              <w:rPr>
                <w:rFonts w:ascii="微软雅黑" w:hAnsi="微软雅黑" w:eastAsia="微软雅黑" w:cs="微软雅黑"/>
                <w:color w:val="000000"/>
                <w:kern w:val="0"/>
                <w:sz w:val="18"/>
                <w:szCs w:val="18"/>
                <w:lang w:bidi="ar"/>
              </w:rPr>
              <w:t>6）</w:t>
            </w: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5" w:type="dxa"/>
              <w:left w:w="15" w:type="dxa"/>
              <w:right w:w="15" w:type="dxa"/>
            </w:tcMar>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w:t>
            </w:r>
            <w:r>
              <w:rPr>
                <w:rFonts w:ascii="微软雅黑" w:hAnsi="微软雅黑" w:eastAsia="微软雅黑" w:cs="微软雅黑"/>
                <w:color w:val="000000"/>
                <w:kern w:val="0"/>
                <w:sz w:val="18"/>
                <w:szCs w:val="18"/>
                <w:lang w:bidi="ar"/>
              </w:rPr>
              <w:t>7）</w:t>
            </w:r>
            <w:r>
              <w:rPr>
                <w:rFonts w:ascii="微软雅黑" w:hAnsi="微软雅黑" w:eastAsia="微软雅黑" w:cs="微软雅黑"/>
                <w:color w:val="000000"/>
                <w:sz w:val="18"/>
                <w:szCs w:val="18"/>
              </w:rPr>
              <w:t>=（6）</w:t>
            </w:r>
            <w:r>
              <w:rPr>
                <w:rFonts w:hint="eastAsia" w:ascii="微软雅黑" w:hAnsi="微软雅黑" w:eastAsia="微软雅黑" w:cs="微软雅黑"/>
                <w:color w:val="000000"/>
                <w:sz w:val="18"/>
                <w:szCs w:val="18"/>
              </w:rPr>
              <w:t>×（</w:t>
            </w:r>
            <w:r>
              <w:rPr>
                <w:rFonts w:ascii="微软雅黑" w:hAnsi="微软雅黑" w:eastAsia="微软雅黑" w:cs="微软雅黑"/>
                <w:color w:val="000000"/>
                <w:sz w:val="18"/>
                <w:szCs w:val="18"/>
              </w:rPr>
              <w:t>4）</w:t>
            </w: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专利申请</w:t>
            </w: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发明专利申请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7250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发明专利快速预审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3</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实用新型专利申请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4</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实用新型快速预审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5</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外观专利申请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6</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外观专利优先审查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7</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发明专利+实用新型（一案两申）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8</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kern w:val="0"/>
                <w:sz w:val="24"/>
                <w:szCs w:val="24"/>
                <w:lang w:bidi="ar"/>
              </w:rPr>
              <w:t>专利年度维护</w:t>
            </w:r>
            <w:r>
              <w:rPr>
                <w:rFonts w:hint="eastAsia" w:ascii="微软雅黑" w:hAnsi="微软雅黑" w:eastAsia="微软雅黑" w:cs="微软雅黑"/>
                <w:color w:val="000000"/>
                <w:kern w:val="0"/>
                <w:sz w:val="24"/>
                <w:szCs w:val="24"/>
                <w:lang w:eastAsia="zh-CN" w:bidi="ar"/>
              </w:rPr>
              <w:t>（</w:t>
            </w:r>
            <w:r>
              <w:rPr>
                <w:rFonts w:hint="eastAsia" w:ascii="微软雅黑" w:hAnsi="微软雅黑" w:eastAsia="微软雅黑" w:cs="微软雅黑"/>
                <w:color w:val="000000"/>
                <w:kern w:val="0"/>
                <w:sz w:val="24"/>
                <w:szCs w:val="24"/>
                <w:lang w:val="en-US" w:eastAsia="zh-CN" w:bidi="ar"/>
              </w:rPr>
              <w:t>本项不含官费</w:t>
            </w:r>
            <w:r>
              <w:rPr>
                <w:rFonts w:hint="eastAsia" w:ascii="微软雅黑" w:hAnsi="微软雅黑" w:eastAsia="微软雅黑" w:cs="微软雅黑"/>
                <w:color w:val="000000"/>
                <w:kern w:val="0"/>
                <w:sz w:val="24"/>
                <w:szCs w:val="24"/>
                <w:lang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ascii="微软雅黑" w:hAnsi="微软雅黑" w:eastAsia="微软雅黑" w:cs="微软雅黑"/>
                <w:color w:val="000000"/>
                <w:kern w:val="0"/>
                <w:sz w:val="22"/>
                <w:szCs w:val="22"/>
                <w:lang w:bidi="ar"/>
              </w:rPr>
              <w:t>5</w:t>
            </w:r>
            <w:r>
              <w:rPr>
                <w:rFonts w:hint="eastAsia" w:ascii="微软雅黑" w:hAnsi="微软雅黑" w:eastAsia="微软雅黑" w:cs="微软雅黑"/>
                <w:color w:val="000000"/>
                <w:kern w:val="0"/>
                <w:sz w:val="22"/>
                <w:szCs w:val="22"/>
                <w:lang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9</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科技查新报告</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3500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6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软件测试报告</w:t>
            </w: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软件测试报告</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6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11</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软件登记证</w:t>
            </w: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软件登记证</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2800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12</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著作权申请</w:t>
            </w: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软件著作权注册办理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6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13</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软件著作权加急办理（11-15个工作日）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6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14</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软件著作权加急办理（16-20个工作日）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1500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15</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作品著作权注册办理</w:t>
            </w:r>
            <w:r>
              <w:rPr>
                <w:rFonts w:hint="eastAsia"/>
                <w:lang w:bidi="ar"/>
              </w:rPr>
              <w:t>（工程设计图/产品设计图门类）</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800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6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16</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作品著作权申请加急办理（11-15个工作日）</w:t>
            </w:r>
            <w:r>
              <w:rPr>
                <w:rFonts w:hint="eastAsia"/>
                <w:lang w:bidi="ar"/>
              </w:rPr>
              <w:t>（工程设计图/产品设计图门类）</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1300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6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17</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作品著作权申请加急办理（16-20个工作日）</w:t>
            </w:r>
            <w:r>
              <w:rPr>
                <w:rFonts w:hint="eastAsia"/>
                <w:lang w:bidi="ar"/>
              </w:rPr>
              <w:t>（工程设计图/产品设计图门类）</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18</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w:t>
            </w: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商标注册</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770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19</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商标转让</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750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20</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商标续期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21</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商标变更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22</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商标驳回复审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2950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23</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商标异议申请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24</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商标异议答辩</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2500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25</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商标无效宣告申请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26</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商标无效宣告答辩</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6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27</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商标撤销三年不使用申请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6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28</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商标撤销三年不使用答辩</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2300</w:t>
            </w:r>
          </w:p>
        </w:tc>
        <w:tc>
          <w:tcPr>
            <w:tcW w:w="102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61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540" w:hRule="atLeast"/>
        </w:trPr>
        <w:tc>
          <w:tcPr>
            <w:tcW w:w="6729" w:type="dxa"/>
            <w:gridSpan w:val="7"/>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合计：</w:t>
            </w:r>
          </w:p>
        </w:tc>
        <w:tc>
          <w:tcPr>
            <w:tcW w:w="16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2"/>
                <w:szCs w:val="22"/>
                <w:lang w:val="en-US" w:eastAsia="zh-CN"/>
              </w:rPr>
            </w:pPr>
          </w:p>
        </w:tc>
      </w:tr>
    </w:tbl>
    <w:p>
      <w:pPr>
        <w:spacing w:after="60"/>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3"/>
        <w:ind w:left="0" w:leftChars="0"/>
      </w:pPr>
    </w:p>
    <w:p>
      <w:pPr>
        <w:rPr>
          <w:rFonts w:ascii="黑体" w:hAnsi="黑体" w:eastAsia="黑体" w:cs="黑体"/>
          <w:bCs/>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3"/>
        <w:ind w:left="420"/>
      </w:pPr>
    </w:p>
    <w:p>
      <w:pPr>
        <w:pStyle w:val="13"/>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r>
        <w:rPr>
          <w:rFonts w:ascii="仿宋_GB2312" w:eastAsia="仿宋_GB2312"/>
          <w:b/>
          <w:sz w:val="28"/>
          <w:szCs w:val="28"/>
        </w:rPr>
        <w:br w:type="page"/>
      </w:r>
      <w:r>
        <w:rPr>
          <w:rFonts w:hint="eastAsia" w:ascii="黑体" w:hAnsi="黑体" w:eastAsia="黑体" w:cs="黑体"/>
          <w:bCs/>
          <w:sz w:val="28"/>
          <w:szCs w:val="28"/>
        </w:rPr>
        <w:t>附件3</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3"/>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spacing w:line="360" w:lineRule="auto"/>
        <w:ind w:firstLine="560" w:firstLineChars="200"/>
        <w:jc w:val="center"/>
        <w:rPr>
          <w:rFonts w:ascii="仿宋_GB2312" w:hAnsi="宋体" w:eastAsia="仿宋_GB2312"/>
          <w:sz w:val="28"/>
          <w:szCs w:val="28"/>
        </w:rPr>
      </w:pPr>
    </w:p>
    <w:p>
      <w:pPr>
        <w:pStyle w:val="2"/>
        <w:ind w:firstLine="56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黑体" w:hAnsi="黑体" w:eastAsia="黑体" w:cs="黑体"/>
          <w:bCs/>
          <w:sz w:val="28"/>
          <w:szCs w:val="28"/>
        </w:rPr>
        <w:t>附件4</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诚信承诺函</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广东机场白云信息科技有限公司</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在研究并完全理解了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项目采购文件后，我司</w:t>
      </w:r>
      <w:r>
        <w:rPr>
          <w:rFonts w:hint="eastAsia" w:ascii="仿宋_GB2312" w:hAnsi="仿宋_GB2312" w:eastAsia="仿宋_GB2312" w:cs="仿宋_GB2312"/>
          <w:sz w:val="24"/>
          <w:szCs w:val="24"/>
          <w:u w:val="single"/>
        </w:rPr>
        <w:t>（报价人名称）  </w:t>
      </w:r>
      <w:r>
        <w:rPr>
          <w:rFonts w:hint="eastAsia" w:ascii="仿宋_GB2312" w:hAnsi="仿宋_GB2312" w:eastAsia="仿宋_GB2312" w:cs="仿宋_GB2312"/>
          <w:sz w:val="24"/>
          <w:szCs w:val="24"/>
        </w:rPr>
        <w:t>完全同意并接受项目采购文件的所有内容，同时向贵司承诺：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1.近三年，我司没有因腐败或欺诈行为而被政府或业主宣布取消投标资格；</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2.近三年，我司（包括关联公司）未与广东省机场管理集团有限公司其下属的全资、控股公司、非法人实体单位发生各种诉讼和仲裁；</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3.我司不存在被广东机场白云信息科技有限公司认定为发生不良行为合作商的情形；</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4.我司未被列入国家企业信用信息公示系统的经营异常名录或严重违法失信企业名单（附件4.1）；</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5.我司未被列入信用中国的失信被执行人或企业经营异常名录（附件4.2）；</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6.我司未被列入中国执行信息公开网的全国法院失信被执行人名单（附件4.3）；</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如有造假行为，我公司愿意无条件接受采购人的以下处理：</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1.取消本项目报价、成交资格，并在相关网站公示；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2.三年至六年内停止或禁止参加广东机场白云信息科技有限公司的所有非招标采购项目采购活动；</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3.对不良行为予以纪录，并进行公告；</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4.报广东省机场管理集团有限公司备案。</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报价人名称：（公章）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授权代表姓名、职务（印刷体）：</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法定代表人或授权代表签名：</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pStyle w:val="13"/>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3"/>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3"/>
        <w:ind w:left="420"/>
      </w:pPr>
    </w:p>
    <w:p>
      <w:pPr>
        <w:widowControl/>
        <w:tabs>
          <w:tab w:val="left" w:pos="142"/>
        </w:tabs>
        <w:autoSpaceDE w:val="0"/>
        <w:autoSpaceDN w:val="0"/>
        <w:spacing w:line="288" w:lineRule="auto"/>
        <w:textAlignment w:val="bottom"/>
        <w:rPr>
          <w:rFonts w:ascii="仿宋_GB2312" w:eastAsia="仿宋_GB2312"/>
          <w:bCs/>
          <w:sz w:val="24"/>
          <w:szCs w:val="24"/>
        </w:rPr>
      </w:pPr>
      <w:r>
        <w:rPr>
          <w:rFonts w:hint="eastAsia" w:ascii="仿宋_GB2312" w:eastAsia="仿宋_GB2312"/>
          <w:bCs/>
          <w:sz w:val="24"/>
          <w:szCs w:val="24"/>
        </w:rPr>
        <w:t>附件4.1</w:t>
      </w:r>
    </w:p>
    <w:p>
      <w:pPr>
        <w:pStyle w:val="13"/>
        <w:ind w:left="420"/>
      </w:pPr>
    </w:p>
    <w:p>
      <w:pPr>
        <w:jc w:val="center"/>
        <w:rPr>
          <w:rFonts w:ascii="仿宋_GB2312" w:eastAsia="仿宋_GB2312"/>
          <w:b/>
          <w:sz w:val="28"/>
          <w:szCs w:val="28"/>
        </w:rPr>
      </w:pPr>
      <w:r>
        <w:rPr>
          <w:rFonts w:hint="eastAsia" w:ascii="仿宋_GB2312" w:eastAsia="仿宋_GB2312"/>
          <w:b/>
          <w:sz w:val="28"/>
          <w:szCs w:val="28"/>
        </w:rPr>
        <w:t>国家企业信用信息公式系统网站（www.gsxt.gov.cn）截图</w:t>
      </w:r>
    </w:p>
    <w:p>
      <w:r>
        <w:drawing>
          <wp:inline distT="0" distB="0" distL="0" distR="0">
            <wp:extent cx="5276850" cy="395287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2"/>
                    <a:srcRect/>
                    <a:stretch>
                      <a:fillRect/>
                    </a:stretch>
                  </pic:blipFill>
                  <pic:spPr>
                    <a:xfrm>
                      <a:off x="0" y="0"/>
                      <a:ext cx="5276850" cy="3952875"/>
                    </a:xfrm>
                    <a:prstGeom prst="rect">
                      <a:avLst/>
                    </a:prstGeom>
                    <a:noFill/>
                    <a:ln w="9525" cmpd="sng">
                      <a:noFill/>
                      <a:miter lim="800000"/>
                      <a:headEnd/>
                      <a:tailEnd/>
                    </a:ln>
                  </pic:spPr>
                </pic:pic>
              </a:graphicData>
            </a:graphic>
          </wp:inline>
        </w:drawing>
      </w:r>
    </w:p>
    <w:p>
      <w:pPr>
        <w:widowControl/>
        <w:tabs>
          <w:tab w:val="left" w:pos="142"/>
        </w:tabs>
        <w:autoSpaceDE w:val="0"/>
        <w:autoSpaceDN w:val="0"/>
        <w:spacing w:line="288" w:lineRule="auto"/>
        <w:textAlignment w:val="bottom"/>
        <w:rPr>
          <w:rFonts w:ascii="仿宋_GB2312" w:eastAsia="仿宋_GB2312"/>
          <w:bCs/>
          <w:szCs w:val="21"/>
        </w:rPr>
      </w:pPr>
      <w:r>
        <w:drawing>
          <wp:inline distT="0" distB="0" distL="114300" distR="114300">
            <wp:extent cx="5264150" cy="303784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4150" cy="3037840"/>
                    </a:xfrm>
                    <a:prstGeom prst="rect">
                      <a:avLst/>
                    </a:prstGeom>
                    <a:noFill/>
                    <a:ln>
                      <a:noFill/>
                    </a:ln>
                  </pic:spPr>
                </pic:pic>
              </a:graphicData>
            </a:graphic>
          </wp:inline>
        </w:drawing>
      </w:r>
      <w:r>
        <w:rPr>
          <w:rFonts w:ascii="宋体" w:hAnsi="宋体"/>
          <w:b/>
          <w:sz w:val="32"/>
          <w:szCs w:val="32"/>
        </w:rPr>
        <w:br w:type="page"/>
      </w:r>
      <w:r>
        <w:rPr>
          <w:rFonts w:hint="eastAsia" w:ascii="仿宋_GB2312" w:eastAsia="仿宋_GB2312"/>
          <w:bCs/>
          <w:sz w:val="24"/>
          <w:szCs w:val="24"/>
        </w:rPr>
        <w:t>附件4.2</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“信用中国”网站（www.creditchina.gov.cn）截图</w:t>
      </w:r>
    </w:p>
    <w:p>
      <w:r>
        <w:rPr>
          <w:rFonts w:hint="eastAsia" w:ascii="宋体" w:hAnsi="宋体"/>
          <w:szCs w:val="21"/>
        </w:rPr>
        <w:drawing>
          <wp:inline distT="0" distB="0" distL="0" distR="0">
            <wp:extent cx="5524500" cy="4219575"/>
            <wp:effectExtent l="19050" t="0" r="0" b="0"/>
            <wp:docPr id="4"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
                    <pic:cNvPicPr>
                      <a:picLocks noChangeAspect="1" noChangeArrowheads="1"/>
                    </pic:cNvPicPr>
                  </pic:nvPicPr>
                  <pic:blipFill>
                    <a:blip r:embed="rId14" cstate="print"/>
                    <a:srcRect/>
                    <a:stretch>
                      <a:fillRect/>
                    </a:stretch>
                  </pic:blipFill>
                  <pic:spPr>
                    <a:xfrm>
                      <a:off x="0" y="0"/>
                      <a:ext cx="5524500" cy="4219575"/>
                    </a:xfrm>
                    <a:prstGeom prst="rect">
                      <a:avLst/>
                    </a:prstGeom>
                    <a:noFill/>
                    <a:ln w="9525" cmpd="sng">
                      <a:noFill/>
                      <a:miter lim="800000"/>
                      <a:headEnd/>
                      <a:tailEnd/>
                    </a:ln>
                  </pic:spPr>
                </pic:pic>
              </a:graphicData>
            </a:graphic>
          </wp:inline>
        </w:drawing>
      </w:r>
    </w:p>
    <w:p/>
    <w:p>
      <w:pPr>
        <w:rPr>
          <w:rFonts w:ascii="宋体" w:hAnsi="宋体"/>
          <w:b/>
          <w:sz w:val="18"/>
          <w:szCs w:val="18"/>
        </w:rPr>
      </w:pPr>
    </w:p>
    <w:p>
      <w:pPr>
        <w:widowControl/>
        <w:tabs>
          <w:tab w:val="left" w:pos="142"/>
        </w:tabs>
        <w:autoSpaceDE w:val="0"/>
        <w:autoSpaceDN w:val="0"/>
        <w:spacing w:line="288" w:lineRule="auto"/>
        <w:textAlignment w:val="bottom"/>
        <w:rPr>
          <w:rFonts w:ascii="仿宋_GB2312" w:eastAsia="仿宋_GB2312"/>
          <w:bCs/>
          <w:szCs w:val="21"/>
        </w:rPr>
      </w:pPr>
      <w:r>
        <w:rPr>
          <w:rFonts w:ascii="宋体" w:hAnsi="宋体"/>
          <w:b/>
          <w:sz w:val="32"/>
          <w:szCs w:val="32"/>
        </w:rPr>
        <w:br w:type="page"/>
      </w:r>
      <w:r>
        <w:rPr>
          <w:rFonts w:hint="eastAsia" w:ascii="仿宋_GB2312" w:eastAsia="仿宋_GB2312"/>
          <w:bCs/>
          <w:sz w:val="24"/>
          <w:szCs w:val="24"/>
        </w:rPr>
        <w:t>附件4.3</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“中国执行信息公开网”网站（zxgk.court.gov.cn）截图</w:t>
      </w:r>
    </w:p>
    <w:p>
      <w:pPr>
        <w:spacing w:line="312" w:lineRule="auto"/>
        <w:jc w:val="left"/>
        <w:rPr>
          <w:rFonts w:ascii="仿宋_GB2312" w:hAnsi="宋体" w:eastAsia="仿宋_GB2312"/>
          <w:color w:val="000000"/>
          <w:sz w:val="28"/>
          <w:szCs w:val="28"/>
        </w:rPr>
      </w:pPr>
      <w:r>
        <w:drawing>
          <wp:inline distT="0" distB="0" distL="0" distR="0">
            <wp:extent cx="5276850" cy="4048125"/>
            <wp:effectExtent l="1905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15"/>
                    <a:srcRect/>
                    <a:stretch>
                      <a:fillRect/>
                    </a:stretch>
                  </pic:blipFill>
                  <pic:spPr>
                    <a:xfrm>
                      <a:off x="0" y="0"/>
                      <a:ext cx="5276850" cy="4048125"/>
                    </a:xfrm>
                    <a:prstGeom prst="rect">
                      <a:avLst/>
                    </a:prstGeom>
                    <a:noFill/>
                    <a:ln w="9525" cmpd="sng">
                      <a:noFill/>
                      <a:miter lim="800000"/>
                      <a:headEnd/>
                      <a:tailEnd/>
                    </a:ln>
                  </pic:spPr>
                </pic:pic>
              </a:graphicData>
            </a:graphic>
          </wp:inline>
        </w:drawing>
      </w:r>
    </w:p>
    <w:p>
      <w:pPr>
        <w:widowControl/>
        <w:jc w:val="left"/>
      </w:pPr>
      <w:r>
        <w:br w:type="page"/>
      </w:r>
    </w:p>
    <w:p>
      <w:pPr>
        <w:widowControl/>
        <w:tabs>
          <w:tab w:val="left" w:pos="142"/>
        </w:tabs>
        <w:autoSpaceDE w:val="0"/>
        <w:autoSpaceDN w:val="0"/>
        <w:spacing w:line="288" w:lineRule="auto"/>
        <w:textAlignment w:val="bottom"/>
        <w:rPr>
          <w:rFonts w:ascii="黑体" w:hAnsi="黑体" w:eastAsia="黑体" w:cs="黑体"/>
          <w:bCs/>
          <w:color w:val="000000"/>
          <w:sz w:val="28"/>
          <w:szCs w:val="28"/>
        </w:rPr>
      </w:pPr>
      <w:r>
        <w:rPr>
          <w:rFonts w:hint="eastAsia" w:ascii="黑体" w:hAnsi="黑体" w:eastAsia="黑体" w:cs="黑体"/>
          <w:bCs/>
          <w:sz w:val="28"/>
          <w:szCs w:val="28"/>
        </w:rPr>
        <w:t>附件5</w:t>
      </w:r>
    </w:p>
    <w:p>
      <w:pPr>
        <w:ind w:firstLine="640" w:firstLineChars="200"/>
        <w:rPr>
          <w:rFonts w:ascii="仿宋_GB2312" w:hAnsi="宋体" w:eastAsia="仿宋_GB2312"/>
          <w:sz w:val="32"/>
        </w:rPr>
      </w:pPr>
    </w:p>
    <w:p>
      <w:pPr>
        <w:jc w:val="center"/>
        <w:rPr>
          <w:rFonts w:ascii="宋体" w:hAnsi="宋体" w:cs="宋体"/>
          <w:b/>
          <w:bCs/>
          <w:sz w:val="32"/>
          <w:szCs w:val="32"/>
        </w:rPr>
      </w:pPr>
      <w:bookmarkStart w:id="45" w:name="_Hlk22711288"/>
      <w:r>
        <w:rPr>
          <w:rFonts w:hint="eastAsia" w:ascii="宋体" w:hAnsi="宋体" w:cs="宋体"/>
          <w:b/>
          <w:bCs/>
          <w:sz w:val="32"/>
          <w:szCs w:val="32"/>
        </w:rPr>
        <w:t>采购文件响应承诺书</w:t>
      </w:r>
    </w:p>
    <w:p>
      <w:pPr>
        <w:jc w:val="center"/>
        <w:rPr>
          <w:rFonts w:ascii="宋体" w:hAnsi="宋体" w:cs="宋体"/>
          <w:b/>
          <w:bCs/>
          <w:sz w:val="44"/>
          <w:szCs w:val="44"/>
        </w:rPr>
      </w:pPr>
    </w:p>
    <w:p>
      <w:pPr>
        <w:spacing w:line="48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（采购人名称）</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我司保证提交的</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报价文件所有内容与贵司的采购文件要求条款完全响应，特此承诺！</w:t>
      </w:r>
    </w:p>
    <w:p>
      <w:pPr>
        <w:spacing w:line="480" w:lineRule="auto"/>
        <w:ind w:firstLine="560" w:firstLineChars="200"/>
        <w:rPr>
          <w:rFonts w:ascii="仿宋_GB2312" w:hAnsi="仿宋_GB2312" w:eastAsia="仿宋_GB2312" w:cs="仿宋_GB2312"/>
          <w:sz w:val="28"/>
          <w:szCs w:val="28"/>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法定代表人或授权代表签名：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bookmarkEnd w:id="45"/>
    <w:p>
      <w:pPr>
        <w:ind w:firstLine="560" w:firstLineChars="200"/>
        <w:rPr>
          <w:rFonts w:ascii="宋体" w:hAnsi="宋体" w:cs="宋体"/>
          <w:sz w:val="28"/>
          <w:szCs w:val="28"/>
        </w:rPr>
      </w:pPr>
    </w:p>
    <w:p>
      <w:pPr>
        <w:autoSpaceDE w:val="0"/>
        <w:autoSpaceDN w:val="0"/>
        <w:adjustRightInd w:val="0"/>
        <w:spacing w:line="560" w:lineRule="exact"/>
        <w:ind w:left="980" w:hanging="980" w:hangingChars="350"/>
        <w:rPr>
          <w:rFonts w:ascii="仿宋_GB2312" w:eastAsia="仿宋_GB2312"/>
          <w:sz w:val="28"/>
          <w:szCs w:val="28"/>
        </w:rPr>
      </w:pPr>
    </w:p>
    <w:p>
      <w:pPr>
        <w:widowControl/>
        <w:tabs>
          <w:tab w:val="left" w:pos="142"/>
        </w:tabs>
        <w:autoSpaceDE w:val="0"/>
        <w:autoSpaceDN w:val="0"/>
        <w:spacing w:line="360" w:lineRule="auto"/>
        <w:textAlignment w:val="bottom"/>
        <w:rPr>
          <w:rFonts w:ascii="仿宋_GB2312" w:hAnsi="仿宋_GB2312" w:eastAsia="仿宋_GB2312" w:cs="仿宋_GB2312"/>
          <w:sz w:val="28"/>
          <w:szCs w:val="28"/>
        </w:rPr>
      </w:pPr>
    </w:p>
    <w:p>
      <w:pPr>
        <w:pStyle w:val="13"/>
        <w:ind w:left="0" w:leftChars="0"/>
      </w:pPr>
    </w:p>
    <w:bookmarkEnd w:id="34"/>
    <w:bookmarkEnd w:id="35"/>
    <w:bookmarkEnd w:id="36"/>
    <w:bookmarkEnd w:id="37"/>
    <w:bookmarkEnd w:id="38"/>
    <w:bookmarkEnd w:id="39"/>
    <w:bookmarkEnd w:id="40"/>
    <w:bookmarkEnd w:id="41"/>
    <w:bookmarkEnd w:id="42"/>
    <w:bookmarkEnd w:id="43"/>
    <w:bookmarkEnd w:id="44"/>
    <w:p>
      <w:pPr>
        <w:pStyle w:val="3"/>
        <w:snapToGrid w:val="0"/>
        <w:spacing w:before="240" w:after="240" w:line="240" w:lineRule="auto"/>
        <w:jc w:val="left"/>
        <w:rPr>
          <w:rFonts w:ascii="宋体" w:hAnsi="宋体"/>
          <w:sz w:val="24"/>
        </w:rPr>
      </w:pPr>
      <w:bookmarkStart w:id="46" w:name="_Toc517693670"/>
      <w:r>
        <w:rPr>
          <w:rFonts w:hint="eastAsia" w:ascii="宋体" w:hAnsi="宋体"/>
          <w:sz w:val="24"/>
        </w:rPr>
        <w:t>附件6</w:t>
      </w:r>
    </w:p>
    <w:p>
      <w:pPr>
        <w:pStyle w:val="26"/>
        <w:ind w:left="640" w:hanging="640"/>
        <w:jc w:val="center"/>
        <w:rPr>
          <w:rFonts w:hAnsi="宋体"/>
          <w:b/>
          <w:sz w:val="32"/>
        </w:rPr>
      </w:pPr>
      <w:r>
        <w:rPr>
          <w:rFonts w:hint="eastAsia" w:hAnsi="宋体"/>
          <w:b/>
          <w:sz w:val="32"/>
        </w:rPr>
        <w:t>符合性审查表</w:t>
      </w:r>
    </w:p>
    <w:p>
      <w:pPr>
        <w:pStyle w:val="26"/>
        <w:ind w:left="420" w:hanging="420"/>
        <w:rPr>
          <w:rFonts w:hAnsi="宋体"/>
        </w:rPr>
      </w:pPr>
    </w:p>
    <w:p>
      <w:pPr>
        <w:pStyle w:val="26"/>
        <w:ind w:left="420" w:hanging="420"/>
        <w:rPr>
          <w:rFonts w:hAnsi="宋体"/>
        </w:rPr>
      </w:pPr>
      <w:r>
        <w:rPr>
          <w:rFonts w:hint="eastAsia" w:hAnsi="宋体"/>
        </w:rPr>
        <w:t>项目名称：</w:t>
      </w:r>
    </w:p>
    <w:p>
      <w:pPr>
        <w:pStyle w:val="26"/>
        <w:ind w:left="420" w:hanging="420"/>
        <w:rPr>
          <w:rFonts w:hAnsi="宋体"/>
        </w:rPr>
      </w:pPr>
      <w:r>
        <w:rPr>
          <w:rFonts w:hint="eastAsia" w:hAnsi="宋体"/>
        </w:rPr>
        <w:t>项目编号：</w:t>
      </w:r>
    </w:p>
    <w:tbl>
      <w:tblPr>
        <w:tblStyle w:val="50"/>
        <w:tblW w:w="86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02"/>
                <w:rFonts w:hint="default" w:ascii="宋体" w:hAnsi="宋体" w:eastAsia="宋体" w:cs="宋体"/>
                <w:sz w:val="24"/>
                <w:szCs w:val="24"/>
              </w:rPr>
            </w:pPr>
            <w:r>
              <w:rPr>
                <w:rStyle w:val="102"/>
                <w:rFonts w:hint="default" w:ascii="宋体" w:hAnsi="宋体" w:eastAsia="宋体" w:cs="宋体"/>
                <w:sz w:val="24"/>
                <w:szCs w:val="24"/>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4"/>
              <w:spacing w:line="360" w:lineRule="auto"/>
              <w:jc w:val="center"/>
              <w:rPr>
                <w:rFonts w:ascii="宋体" w:hAnsi="宋体" w:cs="宋体"/>
              </w:rPr>
            </w:pPr>
            <w:r>
              <w:rPr>
                <w:rFonts w:hint="eastAsia" w:ascii="宋体" w:hAnsi="宋体" w:cs="宋体"/>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color w:val="000000"/>
                <w:kern w:val="0"/>
                <w:sz w:val="22"/>
                <w:szCs w:val="22"/>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sz w:val="22"/>
                <w:szCs w:val="22"/>
              </w:rPr>
              <w:t>报价有效期是否为90天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报价未超过采购文件规定的各单项最高限价；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bl>
    <w:p>
      <w:pPr>
        <w:tabs>
          <w:tab w:val="left" w:pos="720"/>
        </w:tabs>
        <w:adjustRightInd w:val="0"/>
        <w:snapToGrid w:val="0"/>
        <w:ind w:left="630" w:hanging="630" w:hangingChars="300"/>
        <w:rPr>
          <w:rFonts w:ascii="宋体" w:hAnsi="Courier New"/>
          <w:color w:val="000000"/>
          <w:szCs w:val="21"/>
        </w:rPr>
      </w:pPr>
    </w:p>
    <w:p>
      <w:pPr>
        <w:pStyle w:val="13"/>
        <w:ind w:left="420"/>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pStyle w:val="13"/>
        <w:ind w:left="420"/>
        <w:rPr>
          <w:rFonts w:ascii="宋体" w:hAnsi="Courier New"/>
          <w:color w:val="000000"/>
          <w:szCs w:val="21"/>
        </w:rPr>
      </w:pPr>
    </w:p>
    <w:bookmarkEnd w:id="46"/>
    <w:p>
      <w:pPr>
        <w:widowControl/>
        <w:jc w:val="left"/>
        <w:rPr>
          <w:rFonts w:ascii="宋体" w:hAnsi="Courier New"/>
          <w:color w:val="000000"/>
          <w:szCs w:val="21"/>
        </w:rPr>
      </w:pPr>
      <w:r>
        <w:rPr>
          <w:rFonts w:ascii="宋体" w:hAnsi="Courier New"/>
          <w:b/>
          <w:color w:val="000000"/>
          <w:szCs w:val="21"/>
        </w:rPr>
        <w:br w:type="page"/>
      </w:r>
    </w:p>
    <w:p>
      <w:pPr>
        <w:pStyle w:val="3"/>
        <w:snapToGrid w:val="0"/>
        <w:spacing w:before="240" w:after="240" w:line="240" w:lineRule="auto"/>
        <w:jc w:val="left"/>
        <w:rPr>
          <w:rFonts w:ascii="宋体" w:hAnsi="宋体"/>
          <w:sz w:val="24"/>
        </w:rPr>
      </w:pPr>
      <w:r>
        <w:rPr>
          <w:rFonts w:hint="eastAsia" w:ascii="宋体" w:hAnsi="宋体"/>
          <w:sz w:val="24"/>
        </w:rPr>
        <w:t>附件7  商务技术评分表（40分）</w:t>
      </w:r>
    </w:p>
    <w:tbl>
      <w:tblPr>
        <w:tblStyle w:val="50"/>
        <w:tblW w:w="0" w:type="auto"/>
        <w:tblInd w:w="0" w:type="dxa"/>
        <w:tblLayout w:type="fixed"/>
        <w:tblCellMar>
          <w:top w:w="0" w:type="dxa"/>
          <w:left w:w="0" w:type="dxa"/>
          <w:bottom w:w="0" w:type="dxa"/>
          <w:right w:w="0" w:type="dxa"/>
        </w:tblCellMar>
      </w:tblPr>
      <w:tblGrid>
        <w:gridCol w:w="462"/>
        <w:gridCol w:w="412"/>
        <w:gridCol w:w="463"/>
        <w:gridCol w:w="462"/>
        <w:gridCol w:w="6925"/>
      </w:tblGrid>
      <w:tr>
        <w:tblPrEx>
          <w:tblCellMar>
            <w:top w:w="0" w:type="dxa"/>
            <w:left w:w="0" w:type="dxa"/>
            <w:bottom w:w="0" w:type="dxa"/>
            <w:right w:w="0" w:type="dxa"/>
          </w:tblCellMar>
        </w:tblPrEx>
        <w:trPr>
          <w:trHeight w:val="285" w:hRule="atLeast"/>
          <w:tblHeader/>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序号</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类别</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项目</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分值</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评审标准</w:t>
            </w:r>
          </w:p>
        </w:tc>
      </w:tr>
      <w:tr>
        <w:tblPrEx>
          <w:tblCellMar>
            <w:top w:w="0" w:type="dxa"/>
            <w:left w:w="0" w:type="dxa"/>
            <w:bottom w:w="0" w:type="dxa"/>
            <w:right w:w="0" w:type="dxa"/>
          </w:tblCellMar>
        </w:tblPrEx>
        <w:trPr>
          <w:trHeight w:val="41"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b/>
                <w:color w:val="000000"/>
                <w:szCs w:val="21"/>
                <w:lang w:eastAsia="zh-CN"/>
              </w:rPr>
            </w:pPr>
            <w:r>
              <w:rPr>
                <w:rFonts w:hint="eastAsia" w:ascii="宋体" w:hAnsi="宋体" w:cs="宋体"/>
                <w:b/>
                <w:color w:val="000000"/>
                <w:kern w:val="0"/>
                <w:szCs w:val="21"/>
                <w:lang w:val="en-US" w:eastAsia="zh-CN" w:bidi="ar"/>
              </w:rPr>
              <w:t>1</w:t>
            </w:r>
          </w:p>
        </w:tc>
        <w:tc>
          <w:tcPr>
            <w:tcW w:w="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b/>
                <w:color w:val="000000"/>
                <w:szCs w:val="21"/>
              </w:rPr>
            </w:pPr>
            <w:r>
              <w:rPr>
                <w:rFonts w:hint="eastAsia" w:ascii="宋体" w:hAnsi="宋体" w:cs="宋体"/>
                <w:b/>
                <w:color w:val="000000"/>
                <w:kern w:val="0"/>
                <w:szCs w:val="21"/>
                <w:lang w:bidi="ar"/>
              </w:rPr>
              <w:t>公司情况</w:t>
            </w:r>
          </w:p>
        </w:tc>
        <w:tc>
          <w:tcPr>
            <w:tcW w:w="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公司资质</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2</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公司成立10年以上（包含），得2分，5-10年得1分（包含5年），5年以下不得分，以下提供在国家知识产权局认可文件或截图加盖公司公章</w:t>
            </w:r>
          </w:p>
        </w:tc>
      </w:tr>
      <w:tr>
        <w:tblPrEx>
          <w:tblCellMar>
            <w:top w:w="0" w:type="dxa"/>
            <w:left w:w="0" w:type="dxa"/>
            <w:bottom w:w="0" w:type="dxa"/>
            <w:right w:w="0" w:type="dxa"/>
          </w:tblCellMar>
        </w:tblPrEx>
        <w:trPr>
          <w:trHeight w:val="41"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kern w:val="2"/>
                <w:sz w:val="21"/>
                <w:szCs w:val="21"/>
                <w:lang w:val="en-US" w:eastAsia="zh-CN" w:bidi="ar-SA"/>
              </w:rPr>
            </w:pPr>
            <w:r>
              <w:rPr>
                <w:rFonts w:hint="eastAsia" w:ascii="宋体" w:hAnsi="宋体" w:cs="宋体"/>
                <w:b/>
                <w:color w:val="000000"/>
                <w:kern w:val="0"/>
                <w:szCs w:val="21"/>
                <w:lang w:bidi="ar"/>
              </w:rPr>
              <w:t>2</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服务能力</w:t>
            </w:r>
          </w:p>
        </w:tc>
        <w:tc>
          <w:tcPr>
            <w:tcW w:w="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人员资质</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4</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lang w:bidi="ar"/>
              </w:rPr>
              <w:t>投标人拥有的专利代理人执业证数量：5本以上且其中取得代理人执业证10年以上得4分，5本以上且其中取得代理人执业证5年以上的得2分，5本及以下得1分，未提供不得分。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须提供由国家知识产权局颁发的专利代理师资格证或专利代理人资格证。从业经验以资格证书上的“颁证日期”为准计算。</w:t>
            </w:r>
          </w:p>
        </w:tc>
      </w:tr>
      <w:tr>
        <w:tblPrEx>
          <w:tblCellMar>
            <w:top w:w="0" w:type="dxa"/>
            <w:left w:w="0" w:type="dxa"/>
            <w:bottom w:w="0" w:type="dxa"/>
            <w:right w:w="0" w:type="dxa"/>
          </w:tblCellMar>
        </w:tblPrEx>
        <w:trPr>
          <w:trHeight w:val="213"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kern w:val="2"/>
                <w:sz w:val="21"/>
                <w:szCs w:val="21"/>
                <w:lang w:val="en-US" w:eastAsia="zh-CN" w:bidi="ar-SA"/>
              </w:rPr>
            </w:pPr>
            <w:r>
              <w:rPr>
                <w:rFonts w:hint="eastAsia" w:ascii="宋体" w:hAnsi="宋体" w:cs="宋体"/>
                <w:b/>
                <w:color w:val="000000"/>
                <w:kern w:val="0"/>
                <w:szCs w:val="21"/>
                <w:lang w:bidi="ar"/>
              </w:rPr>
              <w:t>3</w:t>
            </w: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b/>
                <w:color w:val="000000"/>
                <w:szCs w:val="21"/>
              </w:rPr>
            </w:pPr>
          </w:p>
        </w:tc>
        <w:tc>
          <w:tcPr>
            <w:tcW w:w="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人员背景</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2</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lang w:bidi="ar"/>
              </w:rPr>
              <w:t>服务本项目的团队成员理工科背景情况，需提供机电类和计算机类相关学历证明，提供学信网或毕业证书复印件加盖工作作为佐证。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1.两类均有的，得2分；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2.任一类有的，得1分；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3.其它不得分</w:t>
            </w:r>
          </w:p>
        </w:tc>
      </w:tr>
      <w:tr>
        <w:tblPrEx>
          <w:tblCellMar>
            <w:top w:w="0" w:type="dxa"/>
            <w:left w:w="0" w:type="dxa"/>
            <w:bottom w:w="0" w:type="dxa"/>
            <w:right w:w="0" w:type="dxa"/>
          </w:tblCellMar>
        </w:tblPrEx>
        <w:trPr>
          <w:trHeight w:val="1601"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kern w:val="2"/>
                <w:sz w:val="21"/>
                <w:szCs w:val="21"/>
                <w:lang w:val="en-US" w:eastAsia="zh-CN" w:bidi="ar-SA"/>
              </w:rPr>
            </w:pPr>
            <w:r>
              <w:rPr>
                <w:rFonts w:hint="eastAsia" w:ascii="宋体" w:hAnsi="宋体" w:cs="宋体"/>
                <w:b/>
                <w:color w:val="000000"/>
                <w:kern w:val="0"/>
                <w:szCs w:val="21"/>
                <w:lang w:bidi="ar"/>
              </w:rPr>
              <w:t>4</w:t>
            </w: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b/>
                <w:color w:val="000000"/>
                <w:szCs w:val="21"/>
              </w:rPr>
            </w:pPr>
          </w:p>
        </w:tc>
        <w:tc>
          <w:tcPr>
            <w:tcW w:w="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专利写文能力</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6</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1、提供2019-2021年之间攥写的专利文件至少6份，提供客户原稿及最终提交知产局的申请稿，每年2份。其中：发明专利提供3份，实用新型专利提供3份。</w:t>
            </w:r>
          </w:p>
          <w:p>
            <w:pPr>
              <w:widowControl/>
              <w:spacing w:line="2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2、如投标人代理的发明专利</w:t>
            </w:r>
            <w:r>
              <w:rPr>
                <w:rFonts w:hint="eastAsia" w:ascii="宋体" w:hAnsi="宋体" w:cs="宋体"/>
                <w:color w:val="000000"/>
                <w:kern w:val="0"/>
                <w:szCs w:val="21"/>
                <w:lang w:val="en-US" w:eastAsia="zh-CN" w:bidi="ar"/>
              </w:rPr>
              <w:t>在</w:t>
            </w:r>
            <w:r>
              <w:rPr>
                <w:rFonts w:hint="eastAsia" w:ascii="宋体" w:hAnsi="宋体" w:cs="宋体"/>
                <w:color w:val="000000"/>
                <w:kern w:val="0"/>
                <w:szCs w:val="21"/>
                <w:lang w:bidi="ar"/>
              </w:rPr>
              <w:t>2</w:t>
            </w:r>
            <w:r>
              <w:rPr>
                <w:rFonts w:ascii="宋体" w:hAnsi="宋体" w:cs="宋体"/>
                <w:color w:val="000000"/>
                <w:kern w:val="0"/>
                <w:szCs w:val="21"/>
                <w:lang w:bidi="ar"/>
              </w:rPr>
              <w:t>019</w:t>
            </w:r>
            <w:r>
              <w:rPr>
                <w:rFonts w:hint="eastAsia" w:ascii="宋体" w:hAnsi="宋体" w:cs="宋体"/>
                <w:color w:val="000000"/>
                <w:kern w:val="0"/>
                <w:szCs w:val="21"/>
                <w:lang w:val="en-US" w:eastAsia="zh-CN" w:bidi="ar"/>
              </w:rPr>
              <w:t>-</w:t>
            </w:r>
            <w:r>
              <w:rPr>
                <w:rFonts w:ascii="宋体" w:hAnsi="宋体" w:cs="宋体"/>
                <w:color w:val="000000"/>
                <w:kern w:val="0"/>
                <w:szCs w:val="21"/>
                <w:lang w:bidi="ar"/>
              </w:rPr>
              <w:t>2020</w:t>
            </w:r>
            <w:r>
              <w:rPr>
                <w:rFonts w:hint="eastAsia" w:ascii="宋体" w:hAnsi="宋体" w:cs="宋体"/>
                <w:color w:val="000000"/>
                <w:kern w:val="0"/>
                <w:szCs w:val="21"/>
                <w:lang w:bidi="ar"/>
              </w:rPr>
              <w:t>年之间获得过“中国专利奖”且提供国家知识产权局公示文件作为佐证的，但必须是发明专利。</w:t>
            </w:r>
            <w:r>
              <w:rPr>
                <w:rFonts w:hint="eastAsia" w:ascii="宋体" w:hAnsi="宋体" w:cs="宋体"/>
                <w:color w:val="000000"/>
                <w:kern w:val="0"/>
                <w:szCs w:val="21"/>
                <w:lang w:val="en-US" w:eastAsia="zh-CN" w:bidi="ar"/>
              </w:rPr>
              <w:t>如满足要求，本项评分为良以上。</w:t>
            </w:r>
          </w:p>
          <w:p>
            <w:pPr>
              <w:widowControl/>
              <w:spacing w:line="240" w:lineRule="exact"/>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、权利要求布局合理，从属权利要求与独立权利要求形成层级严密的保护范围；撰写时，除考虑授权及保护范围外，还要考虑可能的答辩问题以及授权后的权利稳定性、维权等问题。</w:t>
            </w:r>
          </w:p>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优5-6分，良3-4分，差0-</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w:t>
            </w:r>
          </w:p>
        </w:tc>
      </w:tr>
      <w:tr>
        <w:tblPrEx>
          <w:tblCellMar>
            <w:top w:w="0" w:type="dxa"/>
            <w:left w:w="0" w:type="dxa"/>
            <w:bottom w:w="0" w:type="dxa"/>
            <w:right w:w="0" w:type="dxa"/>
          </w:tblCellMar>
        </w:tblPrEx>
        <w:trPr>
          <w:trHeight w:val="1207"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kern w:val="2"/>
                <w:sz w:val="21"/>
                <w:szCs w:val="21"/>
                <w:lang w:val="en-US" w:eastAsia="zh-CN" w:bidi="ar-SA"/>
              </w:rPr>
            </w:pPr>
            <w:r>
              <w:rPr>
                <w:rFonts w:hint="eastAsia" w:ascii="宋体" w:hAnsi="宋体" w:cs="宋体"/>
                <w:b/>
                <w:color w:val="000000"/>
                <w:kern w:val="0"/>
                <w:szCs w:val="21"/>
                <w:lang w:bidi="ar"/>
              </w:rPr>
              <w:t>5</w:t>
            </w: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b/>
                <w:color w:val="000000"/>
                <w:szCs w:val="21"/>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发明专利授权率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ascii="宋体" w:hAnsi="宋体" w:cs="宋体"/>
                <w:b/>
                <w:color w:val="000000"/>
                <w:kern w:val="0"/>
                <w:szCs w:val="21"/>
                <w:lang w:bidi="ar"/>
              </w:rPr>
              <w:t>3</w:t>
            </w:r>
          </w:p>
        </w:tc>
        <w:tc>
          <w:tcPr>
            <w:tcW w:w="6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投标人根据《</w:t>
            </w:r>
            <w:bookmarkStart w:id="47" w:name="_Hlk77773529"/>
            <w:r>
              <w:rPr>
                <w:rFonts w:hint="eastAsia" w:ascii="宋体" w:hAnsi="宋体" w:cs="宋体"/>
                <w:color w:val="000000"/>
                <w:kern w:val="0"/>
                <w:szCs w:val="21"/>
                <w:lang w:bidi="ar"/>
              </w:rPr>
              <w:t>发明专利授权率计算表</w:t>
            </w:r>
            <w:bookmarkEnd w:id="47"/>
            <w:r>
              <w:rPr>
                <w:rFonts w:hint="eastAsia" w:ascii="宋体" w:hAnsi="宋体" w:cs="宋体"/>
                <w:color w:val="000000"/>
                <w:kern w:val="0"/>
                <w:szCs w:val="21"/>
                <w:lang w:bidi="ar"/>
              </w:rPr>
              <w:t>》进行数据填写，其中2</w:t>
            </w:r>
            <w:r>
              <w:rPr>
                <w:rFonts w:ascii="宋体" w:hAnsi="宋体" w:cs="宋体"/>
                <w:color w:val="000000"/>
                <w:kern w:val="0"/>
                <w:szCs w:val="21"/>
                <w:lang w:bidi="ar"/>
              </w:rPr>
              <w:t>015</w:t>
            </w:r>
            <w:r>
              <w:rPr>
                <w:rFonts w:hint="eastAsia" w:ascii="宋体" w:hAnsi="宋体" w:cs="宋体"/>
                <w:color w:val="000000"/>
                <w:kern w:val="0"/>
                <w:szCs w:val="21"/>
                <w:lang w:bidi="ar"/>
              </w:rPr>
              <w:t>-</w:t>
            </w:r>
            <w:r>
              <w:rPr>
                <w:rFonts w:ascii="宋体" w:hAnsi="宋体" w:cs="宋体"/>
                <w:color w:val="000000"/>
                <w:kern w:val="0"/>
                <w:szCs w:val="21"/>
                <w:lang w:bidi="ar"/>
              </w:rPr>
              <w:t>2019</w:t>
            </w:r>
            <w:r>
              <w:rPr>
                <w:rFonts w:hint="eastAsia" w:ascii="宋体" w:hAnsi="宋体" w:cs="宋体"/>
                <w:color w:val="000000"/>
                <w:kern w:val="0"/>
                <w:szCs w:val="21"/>
                <w:lang w:bidi="ar"/>
              </w:rPr>
              <w:t>年的累计总数量发明授权率将作为本项评标的排名决策数，该数据从高至低进行排序，最高的得</w:t>
            </w:r>
            <w:r>
              <w:rPr>
                <w:rFonts w:ascii="宋体" w:hAnsi="宋体" w:cs="宋体"/>
                <w:color w:val="000000"/>
                <w:kern w:val="0"/>
                <w:szCs w:val="21"/>
                <w:lang w:bidi="ar"/>
              </w:rPr>
              <w:t>3</w:t>
            </w:r>
            <w:r>
              <w:rPr>
                <w:rFonts w:hint="eastAsia" w:ascii="宋体" w:hAnsi="宋体" w:cs="宋体"/>
                <w:color w:val="000000"/>
                <w:kern w:val="0"/>
                <w:szCs w:val="21"/>
                <w:lang w:bidi="ar"/>
              </w:rPr>
              <w:t>分，后续依次扣减</w:t>
            </w:r>
            <w:r>
              <w:rPr>
                <w:rFonts w:ascii="宋体" w:hAnsi="宋体" w:cs="宋体"/>
                <w:color w:val="000000"/>
                <w:kern w:val="0"/>
                <w:szCs w:val="21"/>
                <w:lang w:bidi="ar"/>
              </w:rPr>
              <w:t>0.2</w:t>
            </w:r>
            <w:r>
              <w:rPr>
                <w:rFonts w:hint="eastAsia" w:ascii="宋体" w:hAnsi="宋体" w:cs="宋体"/>
                <w:color w:val="000000"/>
                <w:kern w:val="0"/>
                <w:szCs w:val="21"/>
                <w:lang w:bidi="ar"/>
              </w:rPr>
              <w:t>分，直至0分。</w:t>
            </w:r>
          </w:p>
          <w:p>
            <w:pPr>
              <w:widowControl/>
              <w:spacing w:line="240" w:lineRule="exact"/>
              <w:jc w:val="left"/>
              <w:textAlignment w:val="center"/>
              <w:rPr>
                <w:rFonts w:ascii="宋体" w:hAnsi="宋体" w:cs="Times New Roman"/>
                <w:color w:val="auto"/>
                <w:szCs w:val="21"/>
                <w:lang w:bidi="ar"/>
              </w:rPr>
            </w:pPr>
            <w:r>
              <w:rPr>
                <w:rFonts w:hint="eastAsia" w:ascii="宋体" w:hAnsi="宋体" w:cs="宋体"/>
                <w:color w:val="000000"/>
                <w:kern w:val="0"/>
                <w:szCs w:val="21"/>
                <w:lang w:bidi="ar"/>
              </w:rPr>
              <w:t>投标人需提供全部数据来源的查询截图予以佐证，需包括检索式截图及结果截图。（http://pss-system.cnipa.gov.cn/上查询结果或其他专利检索软件截图为准。）证明材料并加盖公章，否则不得分。</w:t>
            </w:r>
          </w:p>
        </w:tc>
      </w:tr>
      <w:tr>
        <w:tblPrEx>
          <w:tblCellMar>
            <w:top w:w="0" w:type="dxa"/>
            <w:left w:w="0" w:type="dxa"/>
            <w:bottom w:w="0" w:type="dxa"/>
            <w:right w:w="0" w:type="dxa"/>
          </w:tblCellMar>
        </w:tblPrEx>
        <w:trPr>
          <w:trHeight w:val="253"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kern w:val="2"/>
                <w:sz w:val="21"/>
                <w:szCs w:val="21"/>
                <w:lang w:val="en-US" w:eastAsia="zh-CN" w:bidi="ar-SA"/>
              </w:rPr>
            </w:pPr>
            <w:r>
              <w:rPr>
                <w:rFonts w:hint="eastAsia" w:ascii="宋体" w:hAnsi="宋体" w:cs="宋体"/>
                <w:b/>
                <w:color w:val="000000"/>
                <w:kern w:val="0"/>
                <w:szCs w:val="21"/>
                <w:lang w:bidi="ar"/>
              </w:rPr>
              <w:t>6</w:t>
            </w: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b/>
                <w:color w:val="000000"/>
                <w:szCs w:val="21"/>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同类项目经验</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eastAsia" w:ascii="宋体" w:hAnsi="宋体" w:eastAsia="宋体" w:cs="宋体"/>
                <w:b/>
                <w:color w:val="000000"/>
                <w:szCs w:val="21"/>
                <w:lang w:eastAsia="zh-CN"/>
              </w:rPr>
            </w:pPr>
            <w:r>
              <w:rPr>
                <w:rFonts w:hint="eastAsia" w:ascii="宋体" w:hAnsi="宋体" w:cs="宋体"/>
                <w:b/>
                <w:color w:val="000000"/>
                <w:kern w:val="0"/>
                <w:szCs w:val="21"/>
                <w:lang w:val="en-US" w:eastAsia="zh-CN" w:bidi="ar"/>
              </w:rPr>
              <w:t>7</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jc w:val="both"/>
              <w:rPr>
                <w:rFonts w:hint="default" w:eastAsia="宋体"/>
                <w:b/>
                <w:bCs/>
                <w:lang w:val="en-US" w:eastAsia="zh-CN"/>
              </w:rPr>
            </w:pPr>
            <w:r>
              <w:rPr>
                <w:rFonts w:hint="eastAsia"/>
                <w:b/>
                <w:bCs/>
                <w:lang w:eastAsia="zh-CN"/>
              </w:rPr>
              <w:t>《</w:t>
            </w:r>
            <w:r>
              <w:rPr>
                <w:rFonts w:hint="eastAsia"/>
                <w:b/>
                <w:bCs/>
              </w:rPr>
              <w:t>发明专利授权率计算表</w:t>
            </w:r>
            <w:r>
              <w:rPr>
                <w:rFonts w:hint="eastAsia"/>
                <w:b/>
                <w:bCs/>
                <w:lang w:eastAsia="zh-CN"/>
              </w:rPr>
              <w:t>》</w:t>
            </w:r>
            <w:r>
              <w:rPr>
                <w:rFonts w:hint="eastAsia"/>
                <w:b/>
                <w:bCs/>
                <w:lang w:val="en-US" w:eastAsia="zh-CN"/>
              </w:rPr>
              <w:t>中“</w:t>
            </w:r>
            <w:r>
              <w:rPr>
                <w:rFonts w:ascii="宋体" w:hAnsi="宋体" w:eastAsia="宋体" w:cs="宋体"/>
                <w:color w:val="000000"/>
                <w:kern w:val="0"/>
                <w:sz w:val="21"/>
                <w:szCs w:val="21"/>
              </w:rPr>
              <w:t>IPC分类子项数据展示</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+（7）+（8）的和。数量</w:t>
            </w:r>
            <w:r>
              <w:rPr>
                <w:rFonts w:hint="eastAsia" w:ascii="宋体" w:hAnsi="宋体" w:cs="宋体"/>
                <w:color w:val="000000"/>
                <w:kern w:val="0"/>
                <w:szCs w:val="21"/>
                <w:lang w:bidi="ar"/>
              </w:rPr>
              <w:t>最多的得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分，之后按照排序依次递减</w:t>
            </w:r>
            <w:r>
              <w:rPr>
                <w:rFonts w:ascii="宋体" w:hAnsi="宋体" w:cs="宋体"/>
                <w:color w:val="000000"/>
                <w:kern w:val="0"/>
                <w:szCs w:val="21"/>
                <w:lang w:bidi="ar"/>
              </w:rPr>
              <w:t>0.5</w:t>
            </w:r>
            <w:r>
              <w:rPr>
                <w:rFonts w:hint="eastAsia" w:ascii="宋体" w:hAnsi="宋体" w:cs="宋体"/>
                <w:color w:val="000000"/>
                <w:kern w:val="0"/>
                <w:szCs w:val="21"/>
                <w:lang w:bidi="ar"/>
              </w:rPr>
              <w:t>分，若</w:t>
            </w:r>
            <w:r>
              <w:rPr>
                <w:rFonts w:hint="eastAsia" w:ascii="宋体" w:hAnsi="宋体" w:cs="宋体"/>
                <w:color w:val="000000"/>
                <w:kern w:val="0"/>
                <w:szCs w:val="21"/>
                <w:lang w:val="en-US" w:eastAsia="zh-CN" w:bidi="ar"/>
              </w:rPr>
              <w:t>数量一致</w:t>
            </w:r>
            <w:r>
              <w:rPr>
                <w:rFonts w:hint="eastAsia" w:ascii="宋体" w:hAnsi="宋体" w:cs="宋体"/>
                <w:color w:val="000000"/>
                <w:kern w:val="0"/>
                <w:szCs w:val="21"/>
                <w:lang w:bidi="ar"/>
              </w:rPr>
              <w:t>，得分一致。</w:t>
            </w:r>
          </w:p>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lang w:bidi="ar"/>
              </w:rPr>
              <w:t>近三年（2018-2020）同类项目合同案例：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每提供1个合同得1分，最高得</w:t>
            </w:r>
            <w:r>
              <w:rPr>
                <w:rFonts w:ascii="宋体" w:hAnsi="宋体" w:cs="宋体"/>
                <w:color w:val="000000"/>
                <w:kern w:val="0"/>
                <w:szCs w:val="21"/>
                <w:lang w:bidi="ar"/>
              </w:rPr>
              <w:t>4</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注：需提供合同（合同形式包含但不限于订单、单项合同、框架合同、框架合同+订单）关键页（关键页内容包括但不限于合同封面页、合同双方、合同金额、服务内容、签字盖章、生效时间），证明材料不全（或者未提供）的业绩不予认可；有母公司、子公司关系的业绩不得通用。</w:t>
            </w:r>
            <w:r>
              <w:rPr>
                <w:rFonts w:hint="eastAsia" w:ascii="宋体" w:hAnsi="宋体" w:cs="宋体"/>
                <w:b/>
                <w:color w:val="000000"/>
                <w:kern w:val="0"/>
                <w:szCs w:val="21"/>
                <w:lang w:bidi="ar"/>
              </w:rPr>
              <w:t>如提供框架合同+多份采购订单，按照采购订单的具体类别计算，一类计算为一个合同。</w:t>
            </w:r>
          </w:p>
        </w:tc>
      </w:tr>
      <w:tr>
        <w:tblPrEx>
          <w:tblCellMar>
            <w:top w:w="0" w:type="dxa"/>
            <w:left w:w="0" w:type="dxa"/>
            <w:bottom w:w="0" w:type="dxa"/>
            <w:right w:w="0" w:type="dxa"/>
          </w:tblCellMar>
        </w:tblPrEx>
        <w:trPr>
          <w:trHeight w:val="136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kern w:val="2"/>
                <w:sz w:val="21"/>
                <w:szCs w:val="21"/>
                <w:lang w:val="en-US" w:eastAsia="zh-CN" w:bidi="ar-SA"/>
              </w:rPr>
            </w:pPr>
            <w:r>
              <w:rPr>
                <w:rFonts w:hint="eastAsia" w:ascii="宋体" w:hAnsi="宋体" w:cs="宋体"/>
                <w:b/>
                <w:color w:val="000000"/>
                <w:kern w:val="0"/>
                <w:szCs w:val="21"/>
                <w:lang w:bidi="ar"/>
              </w:rPr>
              <w:t>7</w:t>
            </w:r>
          </w:p>
        </w:tc>
        <w:tc>
          <w:tcPr>
            <w:tcW w:w="412"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技术部分</w:t>
            </w:r>
          </w:p>
        </w:tc>
        <w:tc>
          <w:tcPr>
            <w:tcW w:w="46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服务响应</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ascii="宋体" w:hAnsi="宋体" w:cs="宋体"/>
                <w:b/>
                <w:color w:val="000000"/>
                <w:kern w:val="0"/>
                <w:szCs w:val="21"/>
                <w:lang w:bidi="ar"/>
              </w:rPr>
              <w:t>8</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lang w:bidi="ar"/>
              </w:rPr>
              <w:t>根据报价人对采购文件第二部分中“服务要求”的逐项响应情况由评委进行评议并评分。完全满足要求的得</w:t>
            </w:r>
            <w:r>
              <w:rPr>
                <w:rFonts w:ascii="宋体" w:hAnsi="宋体" w:cs="宋体"/>
                <w:color w:val="000000"/>
                <w:kern w:val="0"/>
                <w:szCs w:val="21"/>
                <w:lang w:bidi="ar"/>
              </w:rPr>
              <w:t>8</w:t>
            </w:r>
            <w:r>
              <w:rPr>
                <w:rFonts w:hint="eastAsia" w:ascii="宋体" w:hAnsi="宋体" w:cs="宋体"/>
                <w:color w:val="000000"/>
                <w:kern w:val="0"/>
                <w:szCs w:val="21"/>
                <w:lang w:bidi="ar"/>
              </w:rPr>
              <w:t>分；带“★”标注内容为实质性要求，不允许负偏离；其他参数每负偏离一项扣1分，扣完为止,正偏离不加分。</w:t>
            </w:r>
          </w:p>
        </w:tc>
      </w:tr>
      <w:tr>
        <w:tblPrEx>
          <w:tblCellMar>
            <w:top w:w="0" w:type="dxa"/>
            <w:left w:w="0" w:type="dxa"/>
            <w:bottom w:w="0" w:type="dxa"/>
            <w:right w:w="0" w:type="dxa"/>
          </w:tblCellMar>
        </w:tblPrEx>
        <w:trPr>
          <w:trHeight w:val="2918"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kern w:val="2"/>
                <w:sz w:val="21"/>
                <w:szCs w:val="21"/>
                <w:lang w:val="en-US" w:eastAsia="zh-CN" w:bidi="ar-SA"/>
              </w:rPr>
            </w:pPr>
            <w:r>
              <w:rPr>
                <w:rFonts w:hint="eastAsia" w:ascii="宋体" w:hAnsi="宋体" w:cs="宋体"/>
                <w:b/>
                <w:color w:val="000000"/>
                <w:kern w:val="0"/>
                <w:szCs w:val="21"/>
                <w:lang w:bidi="ar"/>
              </w:rPr>
              <w:t>8</w:t>
            </w:r>
          </w:p>
        </w:tc>
        <w:tc>
          <w:tcPr>
            <w:tcW w:w="41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b/>
                <w:color w:val="000000"/>
                <w:szCs w:val="21"/>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实施方案</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8</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lang w:bidi="ar"/>
              </w:rPr>
              <w:t>根据本公司情况，制定合理有效的服务计划方案。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实施方案操作性和针对性强的，得6-8分；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实施方案较全面，但操作性和针对性有一定瑕疵的，得3-5分；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实施方案基本完备，但操作性和针对性需改进较大的，得1-2分；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其它不得分。</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【必须同时承诺的事项如下，未承诺的，一票否决】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（1）合同期内，每一个自然年至少参与2次采购人科创委立项会议前的项目预审，重点负责提供可进行知识产权相关资质证书的申办建议与方向</w:t>
            </w:r>
            <w:r>
              <w:rPr>
                <w:rFonts w:hint="eastAsia" w:ascii="宋体" w:hAnsi="宋体" w:cs="宋体"/>
                <w:b/>
                <w:color w:val="000000"/>
                <w:kern w:val="0"/>
                <w:szCs w:val="21"/>
                <w:lang w:bidi="ar"/>
              </w:rPr>
              <w:t>，该项为免费提供项目</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（2）合同期内，每一个自然年向采购人提供不少于10人次关于知识产权申报流程性质及申报交底材料范围的培训</w:t>
            </w:r>
            <w:r>
              <w:rPr>
                <w:rFonts w:hint="eastAsia" w:ascii="宋体" w:hAnsi="宋体" w:cs="宋体"/>
                <w:b/>
                <w:color w:val="000000"/>
                <w:kern w:val="0"/>
                <w:szCs w:val="21"/>
                <w:lang w:bidi="ar"/>
              </w:rPr>
              <w:t>，该项为免费提供项目；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（3）采购人提交的申报交底材料如有需完善内容，需一次性告知补正/补充内容范围及具体要求</w:t>
            </w:r>
            <w:r>
              <w:rPr>
                <w:rFonts w:hint="eastAsia" w:ascii="宋体" w:hAnsi="宋体" w:cs="宋体"/>
                <w:b/>
                <w:color w:val="000000"/>
                <w:kern w:val="0"/>
                <w:szCs w:val="21"/>
                <w:lang w:bidi="ar"/>
              </w:rPr>
              <w:t>，该项为免费提供项目</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（4）每一个合同年度内报价人承接项目成功率不得低于80%，但非乙方主观因素导致的失败不予计算。成功率低于要求的，合同自然中止；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（5）著作权类证书应在采购人提交完整交底材料后2个自然月内完成办理；加急办理的应在小于等于20个工作日内完成申报。</w:t>
            </w:r>
          </w:p>
        </w:tc>
      </w:tr>
      <w:tr>
        <w:tblPrEx>
          <w:tblCellMar>
            <w:top w:w="0" w:type="dxa"/>
            <w:left w:w="0" w:type="dxa"/>
            <w:bottom w:w="0" w:type="dxa"/>
            <w:right w:w="0" w:type="dxa"/>
          </w:tblCellMar>
        </w:tblPrEx>
        <w:trPr>
          <w:trHeight w:val="600" w:hRule="atLeast"/>
        </w:trPr>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小计</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lang w:bidi="ar"/>
              </w:rPr>
              <w:t>40</w:t>
            </w:r>
          </w:p>
        </w:tc>
        <w:tc>
          <w:tcPr>
            <w:tcW w:w="6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000000"/>
                <w:szCs w:val="21"/>
              </w:rPr>
            </w:pPr>
          </w:p>
        </w:tc>
      </w:tr>
    </w:tbl>
    <w:p>
      <w:pPr>
        <w:tabs>
          <w:tab w:val="left" w:pos="7049"/>
        </w:tabs>
        <w:jc w:val="left"/>
        <w:rPr>
          <w:b/>
          <w:sz w:val="28"/>
        </w:rPr>
      </w:pPr>
    </w:p>
    <w:p>
      <w:pPr>
        <w:pStyle w:val="2"/>
        <w:ind w:firstLine="0"/>
        <w:jc w:val="center"/>
        <w:rPr>
          <w:b/>
          <w:bCs/>
        </w:rPr>
      </w:pPr>
      <w:r>
        <w:rPr>
          <w:rFonts w:hint="eastAsia"/>
          <w:b/>
          <w:bCs/>
        </w:rPr>
        <w:t>发明专利授权率计算表</w:t>
      </w:r>
    </w:p>
    <w:tbl>
      <w:tblPr>
        <w:tblStyle w:val="50"/>
        <w:tblW w:w="5259" w:type="pct"/>
        <w:tblInd w:w="-457" w:type="dxa"/>
        <w:tblLayout w:type="autofit"/>
        <w:tblCellMar>
          <w:top w:w="0" w:type="dxa"/>
          <w:left w:w="108" w:type="dxa"/>
          <w:bottom w:w="0" w:type="dxa"/>
          <w:right w:w="108" w:type="dxa"/>
        </w:tblCellMar>
      </w:tblPr>
      <w:tblGrid>
        <w:gridCol w:w="1255"/>
        <w:gridCol w:w="1078"/>
        <w:gridCol w:w="1050"/>
        <w:gridCol w:w="1020"/>
        <w:gridCol w:w="1065"/>
        <w:gridCol w:w="1290"/>
        <w:gridCol w:w="1290"/>
        <w:gridCol w:w="1324"/>
      </w:tblGrid>
      <w:tr>
        <w:tblPrEx>
          <w:tblCellMar>
            <w:top w:w="0" w:type="dxa"/>
            <w:left w:w="108" w:type="dxa"/>
            <w:bottom w:w="0" w:type="dxa"/>
            <w:right w:w="108" w:type="dxa"/>
          </w:tblCellMar>
        </w:tblPrEx>
        <w:trPr>
          <w:trHeight w:val="285" w:hRule="atLeast"/>
        </w:trPr>
        <w:tc>
          <w:tcPr>
            <w:tcW w:w="670" w:type="pct"/>
            <w:vMerge w:val="restart"/>
            <w:tcBorders>
              <w:top w:val="single" w:color="auto" w:sz="4" w:space="0"/>
              <w:left w:val="single" w:color="auto" w:sz="4" w:space="0"/>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年份</w:t>
            </w:r>
          </w:p>
        </w:tc>
        <w:tc>
          <w:tcPr>
            <w:tcW w:w="2247" w:type="pct"/>
            <w:gridSpan w:val="4"/>
            <w:tcBorders>
              <w:top w:val="single" w:color="auto" w:sz="4" w:space="0"/>
              <w:left w:val="nil"/>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总数量</w:t>
            </w:r>
          </w:p>
        </w:tc>
        <w:tc>
          <w:tcPr>
            <w:tcW w:w="2081" w:type="pct"/>
            <w:gridSpan w:val="3"/>
            <w:tcBorders>
              <w:top w:val="single" w:color="auto" w:sz="4" w:space="0"/>
              <w:left w:val="nil"/>
              <w:bottom w:val="single" w:color="auto" w:sz="4" w:space="0"/>
              <w:right w:val="single" w:color="000000" w:sz="4" w:space="0"/>
            </w:tcBorders>
            <w:shd w:val="clear" w:color="000000" w:fill="E7E6E6"/>
            <w:noWrap/>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IPC分类子项数据展示</w:t>
            </w:r>
          </w:p>
        </w:tc>
      </w:tr>
      <w:tr>
        <w:tblPrEx>
          <w:tblCellMar>
            <w:top w:w="0" w:type="dxa"/>
            <w:left w:w="108" w:type="dxa"/>
            <w:bottom w:w="0" w:type="dxa"/>
            <w:right w:w="108" w:type="dxa"/>
          </w:tblCellMar>
        </w:tblPrEx>
        <w:trPr>
          <w:trHeight w:val="1035" w:hRule="atLeast"/>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1"/>
                <w:szCs w:val="21"/>
              </w:rPr>
            </w:pPr>
          </w:p>
        </w:tc>
        <w:tc>
          <w:tcPr>
            <w:tcW w:w="575" w:type="pct"/>
            <w:tcBorders>
              <w:top w:val="nil"/>
              <w:left w:val="nil"/>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发明授权数量</w:t>
            </w:r>
          </w:p>
        </w:tc>
        <w:tc>
          <w:tcPr>
            <w:tcW w:w="560" w:type="pct"/>
            <w:tcBorders>
              <w:top w:val="nil"/>
              <w:left w:val="nil"/>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驳回数量</w:t>
            </w:r>
          </w:p>
        </w:tc>
        <w:tc>
          <w:tcPr>
            <w:tcW w:w="544" w:type="pct"/>
            <w:tcBorders>
              <w:top w:val="nil"/>
              <w:left w:val="nil"/>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撤回或视为撤回数量</w:t>
            </w:r>
          </w:p>
        </w:tc>
        <w:tc>
          <w:tcPr>
            <w:tcW w:w="567" w:type="pct"/>
            <w:tcBorders>
              <w:top w:val="nil"/>
              <w:left w:val="nil"/>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总数量发明授权率</w:t>
            </w:r>
          </w:p>
        </w:tc>
        <w:tc>
          <w:tcPr>
            <w:tcW w:w="688" w:type="pct"/>
            <w:tcBorders>
              <w:top w:val="nil"/>
              <w:left w:val="nil"/>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F类（机械工程）发明授权数量</w:t>
            </w:r>
          </w:p>
        </w:tc>
        <w:tc>
          <w:tcPr>
            <w:tcW w:w="688" w:type="pct"/>
            <w:tcBorders>
              <w:top w:val="nil"/>
              <w:left w:val="nil"/>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H类（电学）发明授权数量</w:t>
            </w:r>
          </w:p>
        </w:tc>
        <w:tc>
          <w:tcPr>
            <w:tcW w:w="705" w:type="pct"/>
            <w:tcBorders>
              <w:top w:val="nil"/>
              <w:left w:val="nil"/>
              <w:bottom w:val="single" w:color="auto" w:sz="4" w:space="0"/>
              <w:right w:val="single" w:color="auto" w:sz="4" w:space="0"/>
            </w:tcBorders>
            <w:shd w:val="clear" w:color="000000" w:fill="E7E6E6"/>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G类（物理）发明授权数量</w:t>
            </w:r>
          </w:p>
        </w:tc>
      </w:tr>
      <w:tr>
        <w:tblPrEx>
          <w:tblCellMar>
            <w:top w:w="0" w:type="dxa"/>
            <w:left w:w="108" w:type="dxa"/>
            <w:bottom w:w="0" w:type="dxa"/>
            <w:right w:w="108" w:type="dxa"/>
          </w:tblCellMar>
        </w:tblPrEx>
        <w:trPr>
          <w:trHeight w:val="345"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(1)</w:t>
            </w:r>
          </w:p>
        </w:tc>
        <w:tc>
          <w:tcPr>
            <w:tcW w:w="57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(2)</w:t>
            </w:r>
          </w:p>
        </w:tc>
        <w:tc>
          <w:tcPr>
            <w:tcW w:w="56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w:t>
            </w:r>
            <w:r>
              <w:rPr>
                <w:rFonts w:hint="eastAsia" w:ascii="宋体" w:hAnsi="宋体" w:cs="宋体"/>
                <w:color w:val="000000"/>
                <w:kern w:val="0"/>
                <w:sz w:val="21"/>
                <w:szCs w:val="21"/>
                <w:lang w:val="en-US" w:eastAsia="zh-CN"/>
              </w:rPr>
              <w:t>3</w:t>
            </w:r>
            <w:r>
              <w:rPr>
                <w:rFonts w:ascii="宋体" w:hAnsi="宋体" w:eastAsia="宋体" w:cs="宋体"/>
                <w:color w:val="000000"/>
                <w:kern w:val="0"/>
                <w:sz w:val="21"/>
                <w:szCs w:val="21"/>
              </w:rPr>
              <w:t>)</w:t>
            </w:r>
          </w:p>
        </w:tc>
        <w:tc>
          <w:tcPr>
            <w:tcW w:w="544"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(4)</w:t>
            </w:r>
          </w:p>
        </w:tc>
        <w:tc>
          <w:tcPr>
            <w:tcW w:w="567"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(5)</w:t>
            </w:r>
          </w:p>
        </w:tc>
        <w:tc>
          <w:tcPr>
            <w:tcW w:w="688"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(6)</w:t>
            </w:r>
          </w:p>
        </w:tc>
        <w:tc>
          <w:tcPr>
            <w:tcW w:w="688"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(7)</w:t>
            </w:r>
          </w:p>
        </w:tc>
        <w:tc>
          <w:tcPr>
            <w:tcW w:w="70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345"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2015年</w:t>
            </w:r>
          </w:p>
        </w:tc>
        <w:tc>
          <w:tcPr>
            <w:tcW w:w="57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44"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7" w:type="pct"/>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宋体" w:hAnsi="宋体" w:eastAsia="宋体" w:cs="宋体"/>
                <w:color w:val="000000"/>
                <w:kern w:val="0"/>
                <w:sz w:val="21"/>
                <w:szCs w:val="21"/>
              </w:rPr>
            </w:pPr>
            <w:r>
              <w:rPr>
                <w:rFonts w:hint="eastAsia" w:ascii="宋体" w:hAnsi="宋体" w:cs="宋体"/>
                <w:color w:val="000000"/>
                <w:kern w:val="0"/>
                <w:szCs w:val="21"/>
              </w:rPr>
              <w:t>%</w:t>
            </w: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70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45"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2016年</w:t>
            </w:r>
          </w:p>
        </w:tc>
        <w:tc>
          <w:tcPr>
            <w:tcW w:w="57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44"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7" w:type="pct"/>
            <w:tcBorders>
              <w:top w:val="nil"/>
              <w:left w:val="nil"/>
              <w:bottom w:val="single" w:color="auto" w:sz="4" w:space="0"/>
              <w:right w:val="single" w:color="auto" w:sz="4" w:space="0"/>
            </w:tcBorders>
            <w:shd w:val="clear" w:color="auto" w:fill="auto"/>
          </w:tcPr>
          <w:p>
            <w:pPr>
              <w:widowControl/>
              <w:spacing w:line="300" w:lineRule="exact"/>
              <w:jc w:val="right"/>
              <w:rPr>
                <w:rFonts w:ascii="宋体" w:hAnsi="宋体" w:eastAsia="宋体" w:cs="宋体"/>
                <w:color w:val="000000"/>
                <w:kern w:val="0"/>
                <w:sz w:val="21"/>
                <w:szCs w:val="21"/>
              </w:rPr>
            </w:pPr>
            <w:r>
              <w:rPr>
                <w:rFonts w:hint="eastAsia" w:ascii="宋体" w:hAnsi="宋体" w:cs="宋体"/>
                <w:color w:val="000000"/>
                <w:kern w:val="0"/>
                <w:szCs w:val="21"/>
              </w:rPr>
              <w:t>%</w:t>
            </w: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70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32"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2017年</w:t>
            </w:r>
          </w:p>
        </w:tc>
        <w:tc>
          <w:tcPr>
            <w:tcW w:w="57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44"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7" w:type="pct"/>
            <w:tcBorders>
              <w:top w:val="nil"/>
              <w:left w:val="nil"/>
              <w:bottom w:val="single" w:color="auto" w:sz="4" w:space="0"/>
              <w:right w:val="single" w:color="auto" w:sz="4" w:space="0"/>
            </w:tcBorders>
            <w:shd w:val="clear" w:color="auto" w:fill="auto"/>
          </w:tcPr>
          <w:p>
            <w:pPr>
              <w:widowControl/>
              <w:spacing w:line="300" w:lineRule="exact"/>
              <w:jc w:val="right"/>
              <w:rPr>
                <w:rFonts w:ascii="宋体" w:hAnsi="宋体" w:eastAsia="宋体" w:cs="宋体"/>
                <w:color w:val="000000"/>
                <w:kern w:val="0"/>
                <w:sz w:val="21"/>
                <w:szCs w:val="21"/>
              </w:rPr>
            </w:pPr>
            <w:r>
              <w:rPr>
                <w:rFonts w:hint="eastAsia" w:ascii="宋体" w:hAnsi="宋体" w:cs="宋体"/>
                <w:color w:val="000000"/>
                <w:kern w:val="0"/>
                <w:szCs w:val="21"/>
              </w:rPr>
              <w:t>%</w:t>
            </w: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70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45"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2018年</w:t>
            </w:r>
          </w:p>
        </w:tc>
        <w:tc>
          <w:tcPr>
            <w:tcW w:w="57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44"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7" w:type="pct"/>
            <w:tcBorders>
              <w:top w:val="nil"/>
              <w:left w:val="nil"/>
              <w:bottom w:val="single" w:color="auto" w:sz="4" w:space="0"/>
              <w:right w:val="single" w:color="auto" w:sz="4" w:space="0"/>
            </w:tcBorders>
            <w:shd w:val="clear" w:color="auto" w:fill="auto"/>
          </w:tcPr>
          <w:p>
            <w:pPr>
              <w:widowControl/>
              <w:spacing w:line="300" w:lineRule="exact"/>
              <w:jc w:val="right"/>
              <w:rPr>
                <w:rFonts w:ascii="宋体" w:hAnsi="宋体" w:eastAsia="宋体" w:cs="宋体"/>
                <w:color w:val="000000"/>
                <w:kern w:val="0"/>
                <w:sz w:val="21"/>
                <w:szCs w:val="21"/>
              </w:rPr>
            </w:pPr>
            <w:r>
              <w:rPr>
                <w:rFonts w:hint="eastAsia" w:ascii="宋体" w:hAnsi="宋体" w:cs="宋体"/>
                <w:color w:val="000000"/>
                <w:kern w:val="0"/>
                <w:szCs w:val="21"/>
              </w:rPr>
              <w:t>%</w:t>
            </w: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70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2019年</w:t>
            </w:r>
          </w:p>
        </w:tc>
        <w:tc>
          <w:tcPr>
            <w:tcW w:w="57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44"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p>
        </w:tc>
        <w:tc>
          <w:tcPr>
            <w:tcW w:w="567" w:type="pct"/>
            <w:tcBorders>
              <w:top w:val="nil"/>
              <w:left w:val="nil"/>
              <w:bottom w:val="thinThickMediumGap" w:color="auto" w:sz="18" w:space="0"/>
              <w:right w:val="single" w:color="auto" w:sz="4" w:space="0"/>
            </w:tcBorders>
            <w:shd w:val="clear" w:color="auto" w:fill="auto"/>
          </w:tcPr>
          <w:p>
            <w:pPr>
              <w:widowControl/>
              <w:spacing w:line="300" w:lineRule="exact"/>
              <w:jc w:val="right"/>
              <w:rPr>
                <w:rFonts w:ascii="宋体" w:hAnsi="宋体" w:eastAsia="宋体" w:cs="宋体"/>
                <w:color w:val="000000"/>
                <w:kern w:val="0"/>
                <w:sz w:val="21"/>
                <w:szCs w:val="21"/>
              </w:rPr>
            </w:pPr>
            <w:r>
              <w:rPr>
                <w:rFonts w:hint="eastAsia" w:ascii="宋体" w:hAnsi="宋体" w:cs="宋体"/>
                <w:color w:val="000000"/>
                <w:kern w:val="0"/>
                <w:szCs w:val="21"/>
              </w:rPr>
              <w:t>%</w:t>
            </w: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c>
          <w:tcPr>
            <w:tcW w:w="70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累计</w:t>
            </w:r>
          </w:p>
        </w:tc>
        <w:tc>
          <w:tcPr>
            <w:tcW w:w="57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000000"/>
                <w:kern w:val="0"/>
                <w:sz w:val="21"/>
                <w:szCs w:val="21"/>
              </w:rPr>
            </w:pPr>
          </w:p>
        </w:tc>
        <w:tc>
          <w:tcPr>
            <w:tcW w:w="560"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000000"/>
                <w:kern w:val="0"/>
                <w:sz w:val="21"/>
                <w:szCs w:val="21"/>
              </w:rPr>
            </w:pPr>
          </w:p>
        </w:tc>
        <w:tc>
          <w:tcPr>
            <w:tcW w:w="544" w:type="pct"/>
            <w:tcBorders>
              <w:top w:val="nil"/>
              <w:left w:val="nil"/>
              <w:bottom w:val="single" w:color="auto" w:sz="4" w:space="0"/>
              <w:right w:val="thinThickMediumGap" w:color="auto" w:sz="18" w:space="0"/>
            </w:tcBorders>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567" w:type="pct"/>
            <w:tcBorders>
              <w:top w:val="thinThickMediumGap" w:color="auto" w:sz="18" w:space="0"/>
              <w:left w:val="thinThickMediumGap" w:color="auto" w:sz="18" w:space="0"/>
              <w:bottom w:val="thinThickMediumGap" w:color="auto" w:sz="18" w:space="0"/>
              <w:right w:val="thinThickMediumGap" w:color="auto" w:sz="18" w:space="0"/>
            </w:tcBorders>
            <w:shd w:val="clear" w:color="auto" w:fill="D8D8D8" w:themeFill="background1" w:themeFillShade="D9"/>
          </w:tcPr>
          <w:p>
            <w:pPr>
              <w:widowControl/>
              <w:spacing w:line="300" w:lineRule="exact"/>
              <w:jc w:val="right"/>
              <w:rPr>
                <w:rFonts w:hint="eastAsia" w:ascii="宋体" w:hAnsi="宋体" w:eastAsia="宋体" w:cs="宋体"/>
                <w:b/>
                <w:bCs/>
                <w:color w:val="000000"/>
                <w:kern w:val="0"/>
                <w:sz w:val="21"/>
                <w:szCs w:val="21"/>
              </w:rPr>
            </w:pPr>
            <w:r>
              <w:rPr>
                <w:rFonts w:hint="eastAsia" w:ascii="宋体" w:hAnsi="宋体" w:cs="宋体"/>
                <w:color w:val="000000"/>
                <w:kern w:val="0"/>
                <w:szCs w:val="21"/>
              </w:rPr>
              <w:t>%</w:t>
            </w:r>
          </w:p>
        </w:tc>
        <w:tc>
          <w:tcPr>
            <w:tcW w:w="688" w:type="pct"/>
            <w:tcBorders>
              <w:top w:val="nil"/>
              <w:left w:val="thinThickMediumGap" w:color="auto" w:sz="18" w:space="0"/>
              <w:bottom w:val="single" w:color="auto" w:sz="4" w:space="0"/>
              <w:right w:val="single" w:color="auto" w:sz="4" w:space="0"/>
            </w:tcBorders>
            <w:shd w:val="clear" w:color="auto" w:fill="auto"/>
            <w:noWrap/>
            <w:vAlign w:val="center"/>
          </w:tcPr>
          <w:p>
            <w:pPr>
              <w:widowControl/>
              <w:spacing w:line="300" w:lineRule="exact"/>
              <w:jc w:val="center"/>
              <w:rPr>
                <w:rFonts w:hint="default" w:ascii="宋体" w:hAnsi="宋体" w:eastAsia="宋体" w:cs="宋体"/>
                <w:b/>
                <w:bCs/>
                <w:color w:val="000000"/>
                <w:kern w:val="0"/>
                <w:sz w:val="21"/>
                <w:szCs w:val="21"/>
                <w:lang w:val="en-US" w:eastAsia="zh-CN"/>
              </w:rPr>
            </w:pPr>
          </w:p>
        </w:tc>
        <w:tc>
          <w:tcPr>
            <w:tcW w:w="68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
                <w:bCs/>
                <w:color w:val="000000"/>
                <w:kern w:val="0"/>
                <w:sz w:val="21"/>
                <w:szCs w:val="21"/>
              </w:rPr>
            </w:pPr>
          </w:p>
        </w:tc>
        <w:tc>
          <w:tcPr>
            <w:tcW w:w="70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
                <w:bCs/>
                <w:color w:val="000000"/>
                <w:kern w:val="0"/>
                <w:sz w:val="21"/>
                <w:szCs w:val="21"/>
              </w:rPr>
            </w:pPr>
          </w:p>
        </w:tc>
      </w:tr>
      <w:tr>
        <w:tblPrEx>
          <w:tblCellMar>
            <w:top w:w="0" w:type="dxa"/>
            <w:left w:w="108" w:type="dxa"/>
            <w:bottom w:w="0" w:type="dxa"/>
            <w:right w:w="108" w:type="dxa"/>
          </w:tblCellMar>
        </w:tblPrEx>
        <w:trPr>
          <w:trHeight w:val="238"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4329" w:type="pct"/>
            <w:gridSpan w:val="7"/>
            <w:tcBorders>
              <w:top w:val="single" w:color="auto" w:sz="4" w:space="0"/>
              <w:left w:val="nil"/>
              <w:bottom w:val="single" w:color="auto" w:sz="4" w:space="0"/>
              <w:right w:val="single" w:color="000000" w:sz="4" w:space="0"/>
            </w:tcBorders>
            <w:shd w:val="clear" w:color="auto" w:fill="auto"/>
          </w:tcPr>
          <w:p>
            <w:pPr>
              <w:pStyle w:val="248"/>
              <w:widowControl/>
              <w:numPr>
                <w:ilvl w:val="0"/>
                <w:numId w:val="11"/>
              </w:numPr>
              <w:spacing w:line="300" w:lineRule="exact"/>
              <w:ind w:firstLineChars="0"/>
              <w:jc w:val="left"/>
              <w:rPr>
                <w:rFonts w:ascii="宋体" w:hAnsi="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5</w:t>
            </w:r>
            <w:r>
              <w:rPr>
                <w:rFonts w:ascii="宋体" w:hAnsi="宋体" w:eastAsia="宋体" w:cs="宋体"/>
                <w:color w:val="000000"/>
                <w:kern w:val="0"/>
                <w:sz w:val="21"/>
                <w:szCs w:val="21"/>
              </w:rPr>
              <w:t>）=（2）÷【（</w:t>
            </w:r>
            <w:r>
              <w:rPr>
                <w:rFonts w:hint="eastAsia" w:ascii="宋体" w:hAnsi="宋体" w:cs="宋体"/>
                <w:color w:val="000000"/>
                <w:kern w:val="0"/>
                <w:sz w:val="21"/>
                <w:szCs w:val="21"/>
                <w:lang w:val="en-US" w:eastAsia="zh-CN"/>
              </w:rPr>
              <w:t>2</w:t>
            </w:r>
            <w:r>
              <w:rPr>
                <w:rFonts w:ascii="宋体" w:hAnsi="宋体" w:eastAsia="宋体" w:cs="宋体"/>
                <w:color w:val="000000"/>
                <w:kern w:val="0"/>
                <w:sz w:val="21"/>
                <w:szCs w:val="21"/>
              </w:rPr>
              <w:t>）+（</w:t>
            </w:r>
            <w:r>
              <w:rPr>
                <w:rFonts w:hint="eastAsia" w:ascii="宋体" w:hAnsi="宋体" w:cs="宋体"/>
                <w:color w:val="000000"/>
                <w:kern w:val="0"/>
                <w:sz w:val="21"/>
                <w:szCs w:val="21"/>
                <w:lang w:val="en-US" w:eastAsia="zh-CN"/>
              </w:rPr>
              <w:t>3</w:t>
            </w:r>
            <w:r>
              <w:rPr>
                <w:rFonts w:ascii="宋体" w:hAnsi="宋体" w:eastAsia="宋体" w:cs="宋体"/>
                <w:color w:val="000000"/>
                <w:kern w:val="0"/>
                <w:sz w:val="21"/>
                <w:szCs w:val="21"/>
              </w:rPr>
              <w:t>）+（</w:t>
            </w:r>
            <w:r>
              <w:rPr>
                <w:rFonts w:hint="eastAsia" w:ascii="宋体" w:hAnsi="宋体" w:cs="宋体"/>
                <w:color w:val="000000"/>
                <w:kern w:val="0"/>
                <w:sz w:val="21"/>
                <w:szCs w:val="21"/>
                <w:lang w:val="en-US" w:eastAsia="zh-CN"/>
              </w:rPr>
              <w:t>4</w:t>
            </w:r>
            <w:r>
              <w:rPr>
                <w:rFonts w:ascii="宋体" w:hAnsi="宋体" w:eastAsia="宋体" w:cs="宋体"/>
                <w:color w:val="000000"/>
                <w:kern w:val="0"/>
                <w:sz w:val="21"/>
                <w:szCs w:val="21"/>
              </w:rPr>
              <w:t>）】×100%；</w:t>
            </w:r>
          </w:p>
          <w:p>
            <w:pPr>
              <w:pStyle w:val="2"/>
              <w:numPr>
                <w:ilvl w:val="0"/>
                <w:numId w:val="11"/>
              </w:numPr>
              <w:jc w:val="left"/>
              <w:rPr>
                <w:rFonts w:ascii="宋体" w:hAnsi="宋体" w:eastAsia="宋体" w:cs="宋体"/>
                <w:color w:val="000000"/>
                <w:kern w:val="0"/>
                <w:sz w:val="21"/>
                <w:szCs w:val="21"/>
              </w:rPr>
            </w:pPr>
            <w:r>
              <w:rPr>
                <w:rFonts w:hint="eastAsia"/>
                <w:lang w:bidi="ar"/>
              </w:rPr>
              <w:t>发明授权率是指发明授权与发明授权、驳回、撤回的专利总量的比率，以发明公开版本为基准计算。计算公式为：发明授权率=发明授权数量/（发明申请数量+驳回数量+撤回或视为撤回数量）×100%，其中，授权数量包括处于有效状态的专利，也包括曾授权，当前已失效或部分无效、全部无效、放弃的专利。</w:t>
            </w:r>
          </w:p>
        </w:tc>
      </w:tr>
    </w:tbl>
    <w:p>
      <w:pPr>
        <w:pStyle w:val="2"/>
        <w:jc w:val="center"/>
      </w:pPr>
    </w:p>
    <w:p>
      <w:pPr>
        <w:numPr>
          <w:ilvl w:val="0"/>
          <w:numId w:val="0"/>
        </w:numPr>
        <w:spacing w:line="312" w:lineRule="auto"/>
        <w:outlineLvl w:val="0"/>
        <w:rPr>
          <w:sz w:val="28"/>
          <w:szCs w:val="28"/>
        </w:rPr>
      </w:pPr>
    </w:p>
    <w:sectPr>
      <w:headerReference r:id="rId8" w:type="first"/>
      <w:footerReference r:id="rId10" w:type="first"/>
      <w:headerReference r:id="rId6" w:type="default"/>
      <w:footerReference r:id="rId9" w:type="default"/>
      <w:headerReference r:id="rId7"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010B"/>
    <w:multiLevelType w:val="singleLevel"/>
    <w:tmpl w:val="80F4010B"/>
    <w:lvl w:ilvl="0" w:tentative="0">
      <w:start w:val="1"/>
      <w:numFmt w:val="decimal"/>
      <w:suff w:val="space"/>
      <w:lvlText w:val="%1."/>
      <w:lvlJc w:val="left"/>
    </w:lvl>
  </w:abstractNum>
  <w:abstractNum w:abstractNumId="1">
    <w:nsid w:val="8A230B96"/>
    <w:multiLevelType w:val="singleLevel"/>
    <w:tmpl w:val="8A230B96"/>
    <w:lvl w:ilvl="0" w:tentative="0">
      <w:start w:val="3"/>
      <w:numFmt w:val="decimal"/>
      <w:suff w:val="space"/>
      <w:lvlText w:val="%1."/>
      <w:lvlJc w:val="left"/>
    </w:lvl>
  </w:abstractNum>
  <w:abstractNum w:abstractNumId="2">
    <w:nsid w:val="8E46977F"/>
    <w:multiLevelType w:val="singleLevel"/>
    <w:tmpl w:val="8E46977F"/>
    <w:lvl w:ilvl="0" w:tentative="0">
      <w:start w:val="13"/>
      <w:numFmt w:val="decimal"/>
      <w:suff w:val="space"/>
      <w:lvlText w:val="%1."/>
      <w:lvlJc w:val="left"/>
    </w:lvl>
  </w:abstractNum>
  <w:abstractNum w:abstractNumId="3">
    <w:nsid w:val="9694A6D6"/>
    <w:multiLevelType w:val="singleLevel"/>
    <w:tmpl w:val="9694A6D6"/>
    <w:lvl w:ilvl="0" w:tentative="0">
      <w:start w:val="2"/>
      <w:numFmt w:val="decimal"/>
      <w:suff w:val="space"/>
      <w:lvlText w:val="%1."/>
      <w:lvlJc w:val="left"/>
    </w:lvl>
  </w:abstractNum>
  <w:abstractNum w:abstractNumId="4">
    <w:nsid w:val="ECAF0BC9"/>
    <w:multiLevelType w:val="singleLevel"/>
    <w:tmpl w:val="ECAF0BC9"/>
    <w:lvl w:ilvl="0" w:tentative="0">
      <w:start w:val="3"/>
      <w:numFmt w:val="chineseCounting"/>
      <w:suff w:val="nothing"/>
      <w:lvlText w:val="（%1）"/>
      <w:lvlJc w:val="left"/>
      <w:rPr>
        <w:rFonts w:hint="eastAsia"/>
      </w:rPr>
    </w:lvl>
  </w:abstractNum>
  <w:abstractNum w:abstractNumId="5">
    <w:nsid w:val="2A1800BA"/>
    <w:multiLevelType w:val="singleLevel"/>
    <w:tmpl w:val="2A1800BA"/>
    <w:lvl w:ilvl="0" w:tentative="0">
      <w:start w:val="2"/>
      <w:numFmt w:val="chineseCounting"/>
      <w:suff w:val="space"/>
      <w:lvlText w:val="第%1部分"/>
      <w:lvlJc w:val="left"/>
      <w:rPr>
        <w:rFonts w:hint="eastAsia"/>
      </w:rPr>
    </w:lvl>
  </w:abstractNum>
  <w:abstractNum w:abstractNumId="6">
    <w:nsid w:val="2C45A790"/>
    <w:multiLevelType w:val="singleLevel"/>
    <w:tmpl w:val="2C45A790"/>
    <w:lvl w:ilvl="0" w:tentative="0">
      <w:start w:val="2"/>
      <w:numFmt w:val="decimal"/>
      <w:suff w:val="space"/>
      <w:lvlText w:val="%1）"/>
      <w:lvlJc w:val="left"/>
    </w:lvl>
  </w:abstractNum>
  <w:abstractNum w:abstractNumId="7">
    <w:nsid w:val="5C6E47E0"/>
    <w:multiLevelType w:val="singleLevel"/>
    <w:tmpl w:val="5C6E47E0"/>
    <w:lvl w:ilvl="0" w:tentative="0">
      <w:start w:val="1"/>
      <w:numFmt w:val="decimal"/>
      <w:suff w:val="nothing"/>
      <w:lvlText w:val="2.%1 "/>
      <w:lvlJc w:val="left"/>
      <w:pPr>
        <w:ind w:left="0" w:firstLine="403"/>
      </w:pPr>
      <w:rPr>
        <w:rFonts w:hint="default"/>
      </w:rPr>
    </w:lvl>
  </w:abstractNum>
  <w:abstractNum w:abstractNumId="8">
    <w:nsid w:val="601A01F6"/>
    <w:multiLevelType w:val="multilevel"/>
    <w:tmpl w:val="601A01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454E1A"/>
    <w:multiLevelType w:val="singleLevel"/>
    <w:tmpl w:val="78454E1A"/>
    <w:lvl w:ilvl="0" w:tentative="0">
      <w:start w:val="2"/>
      <w:numFmt w:val="chineseCounting"/>
      <w:suff w:val="nothing"/>
      <w:lvlText w:val="%1、"/>
      <w:lvlJc w:val="left"/>
      <w:rPr>
        <w:rFonts w:hint="eastAsia"/>
      </w:rPr>
    </w:lvl>
  </w:abstractNum>
  <w:num w:numId="1">
    <w:abstractNumId w:val="3"/>
  </w:num>
  <w:num w:numId="2">
    <w:abstractNumId w:val="5"/>
  </w:num>
  <w:num w:numId="3">
    <w:abstractNumId w:val="7"/>
  </w:num>
  <w:num w:numId="4">
    <w:abstractNumId w:val="4"/>
  </w:num>
  <w:num w:numId="5">
    <w:abstractNumId w:val="10"/>
  </w:num>
  <w:num w:numId="6">
    <w:abstractNumId w:val="1"/>
  </w:num>
  <w:num w:numId="7">
    <w:abstractNumId w:val="6"/>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10D0"/>
    <w:rsid w:val="00153FE6"/>
    <w:rsid w:val="001561AA"/>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1A9E"/>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0B3"/>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E623C"/>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0D73"/>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1F5A"/>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3F93"/>
    <w:rsid w:val="004B40D7"/>
    <w:rsid w:val="004B4F70"/>
    <w:rsid w:val="004B5F41"/>
    <w:rsid w:val="004C681A"/>
    <w:rsid w:val="004D6EA0"/>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14F2"/>
    <w:rsid w:val="00542703"/>
    <w:rsid w:val="0054314B"/>
    <w:rsid w:val="00544A4C"/>
    <w:rsid w:val="0054507A"/>
    <w:rsid w:val="00551029"/>
    <w:rsid w:val="005614DD"/>
    <w:rsid w:val="005627C5"/>
    <w:rsid w:val="005631A4"/>
    <w:rsid w:val="00563E56"/>
    <w:rsid w:val="00565C08"/>
    <w:rsid w:val="0056685B"/>
    <w:rsid w:val="00566B20"/>
    <w:rsid w:val="00567362"/>
    <w:rsid w:val="00570F31"/>
    <w:rsid w:val="00573604"/>
    <w:rsid w:val="00574BD0"/>
    <w:rsid w:val="00574CE4"/>
    <w:rsid w:val="00576093"/>
    <w:rsid w:val="00580665"/>
    <w:rsid w:val="00586C61"/>
    <w:rsid w:val="005911AF"/>
    <w:rsid w:val="00596959"/>
    <w:rsid w:val="005975A3"/>
    <w:rsid w:val="00597D25"/>
    <w:rsid w:val="005A0CBD"/>
    <w:rsid w:val="005A452A"/>
    <w:rsid w:val="005A4EAA"/>
    <w:rsid w:val="005A6337"/>
    <w:rsid w:val="005B1009"/>
    <w:rsid w:val="005B1DCE"/>
    <w:rsid w:val="005B408B"/>
    <w:rsid w:val="005C1244"/>
    <w:rsid w:val="005C2424"/>
    <w:rsid w:val="005C3CB4"/>
    <w:rsid w:val="005C556F"/>
    <w:rsid w:val="005C64A0"/>
    <w:rsid w:val="005D36A5"/>
    <w:rsid w:val="005D4CE3"/>
    <w:rsid w:val="005D4F56"/>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685"/>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3011"/>
    <w:rsid w:val="007237CD"/>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48B0"/>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4803"/>
    <w:rsid w:val="007F5C94"/>
    <w:rsid w:val="007F6304"/>
    <w:rsid w:val="00803470"/>
    <w:rsid w:val="008047AB"/>
    <w:rsid w:val="00805A12"/>
    <w:rsid w:val="00806104"/>
    <w:rsid w:val="00807837"/>
    <w:rsid w:val="00810EC9"/>
    <w:rsid w:val="0081507F"/>
    <w:rsid w:val="00816B75"/>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20C2"/>
    <w:rsid w:val="0089511A"/>
    <w:rsid w:val="00895C02"/>
    <w:rsid w:val="00897751"/>
    <w:rsid w:val="008A3917"/>
    <w:rsid w:val="008A41C4"/>
    <w:rsid w:val="008A45C0"/>
    <w:rsid w:val="008A51C9"/>
    <w:rsid w:val="008B113F"/>
    <w:rsid w:val="008B2E78"/>
    <w:rsid w:val="008B5DE7"/>
    <w:rsid w:val="008C0350"/>
    <w:rsid w:val="008C188F"/>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6157"/>
    <w:rsid w:val="00967594"/>
    <w:rsid w:val="00967EDE"/>
    <w:rsid w:val="00972D6C"/>
    <w:rsid w:val="00972F10"/>
    <w:rsid w:val="009756B9"/>
    <w:rsid w:val="00977A30"/>
    <w:rsid w:val="00983FF9"/>
    <w:rsid w:val="009A5435"/>
    <w:rsid w:val="009A7EBC"/>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08B4"/>
    <w:rsid w:val="009F1C14"/>
    <w:rsid w:val="009F25F3"/>
    <w:rsid w:val="00A03A04"/>
    <w:rsid w:val="00A062A3"/>
    <w:rsid w:val="00A111CD"/>
    <w:rsid w:val="00A11568"/>
    <w:rsid w:val="00A1324F"/>
    <w:rsid w:val="00A13452"/>
    <w:rsid w:val="00A17157"/>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331"/>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6ECB"/>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2C09"/>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869AE"/>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0EC"/>
    <w:rsid w:val="00CC245D"/>
    <w:rsid w:val="00CC2B53"/>
    <w:rsid w:val="00CC7144"/>
    <w:rsid w:val="00CC7292"/>
    <w:rsid w:val="00CD425D"/>
    <w:rsid w:val="00CE1122"/>
    <w:rsid w:val="00CE4B95"/>
    <w:rsid w:val="00CE4E90"/>
    <w:rsid w:val="00CE5D9F"/>
    <w:rsid w:val="00CF1493"/>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54605"/>
    <w:rsid w:val="00D60E9F"/>
    <w:rsid w:val="00D64EE5"/>
    <w:rsid w:val="00D6588C"/>
    <w:rsid w:val="00D66E2E"/>
    <w:rsid w:val="00D67CCB"/>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0A1"/>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37EF"/>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2DD1"/>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273254"/>
    <w:rsid w:val="01623276"/>
    <w:rsid w:val="01B91D8E"/>
    <w:rsid w:val="01C26110"/>
    <w:rsid w:val="020D671C"/>
    <w:rsid w:val="021431DA"/>
    <w:rsid w:val="021B1F2C"/>
    <w:rsid w:val="039D3BD7"/>
    <w:rsid w:val="03C947E4"/>
    <w:rsid w:val="03F92744"/>
    <w:rsid w:val="05584672"/>
    <w:rsid w:val="058652E5"/>
    <w:rsid w:val="07247A4C"/>
    <w:rsid w:val="07A24765"/>
    <w:rsid w:val="08FD2095"/>
    <w:rsid w:val="094414E6"/>
    <w:rsid w:val="098623C6"/>
    <w:rsid w:val="09DC28C9"/>
    <w:rsid w:val="0A647E90"/>
    <w:rsid w:val="0AF9507C"/>
    <w:rsid w:val="0B103F8B"/>
    <w:rsid w:val="0BDB1E58"/>
    <w:rsid w:val="0CA71036"/>
    <w:rsid w:val="0D620CD8"/>
    <w:rsid w:val="0DC31CED"/>
    <w:rsid w:val="0DF71764"/>
    <w:rsid w:val="0E5856CC"/>
    <w:rsid w:val="0E946093"/>
    <w:rsid w:val="0E9F7003"/>
    <w:rsid w:val="0F1C4D8A"/>
    <w:rsid w:val="0F202498"/>
    <w:rsid w:val="0F3D4559"/>
    <w:rsid w:val="10800DC8"/>
    <w:rsid w:val="10C77F11"/>
    <w:rsid w:val="111C1B5E"/>
    <w:rsid w:val="113F495F"/>
    <w:rsid w:val="11597445"/>
    <w:rsid w:val="116A661F"/>
    <w:rsid w:val="11C73E6D"/>
    <w:rsid w:val="12870765"/>
    <w:rsid w:val="14C80AFC"/>
    <w:rsid w:val="15435C97"/>
    <w:rsid w:val="16583F31"/>
    <w:rsid w:val="16E85D36"/>
    <w:rsid w:val="16FD4B91"/>
    <w:rsid w:val="17313A9C"/>
    <w:rsid w:val="1738270B"/>
    <w:rsid w:val="177634DB"/>
    <w:rsid w:val="18963985"/>
    <w:rsid w:val="189A333A"/>
    <w:rsid w:val="18FF64B5"/>
    <w:rsid w:val="191343D0"/>
    <w:rsid w:val="1942597B"/>
    <w:rsid w:val="19EA15E9"/>
    <w:rsid w:val="19FD7267"/>
    <w:rsid w:val="1AE82B0C"/>
    <w:rsid w:val="1B886CD0"/>
    <w:rsid w:val="1BB8098F"/>
    <w:rsid w:val="1BC504B9"/>
    <w:rsid w:val="1BFA335B"/>
    <w:rsid w:val="1C941E9B"/>
    <w:rsid w:val="1CB864AA"/>
    <w:rsid w:val="1D1B7F31"/>
    <w:rsid w:val="1D8B0C36"/>
    <w:rsid w:val="1D9309FC"/>
    <w:rsid w:val="1DA9056F"/>
    <w:rsid w:val="1DF133EB"/>
    <w:rsid w:val="1F700EB6"/>
    <w:rsid w:val="1F82022C"/>
    <w:rsid w:val="1F916D20"/>
    <w:rsid w:val="1FAA1D63"/>
    <w:rsid w:val="1FB76264"/>
    <w:rsid w:val="1FBC37A0"/>
    <w:rsid w:val="2063119E"/>
    <w:rsid w:val="216B15CD"/>
    <w:rsid w:val="223971A1"/>
    <w:rsid w:val="22AE0453"/>
    <w:rsid w:val="22CE68E9"/>
    <w:rsid w:val="22FC04C4"/>
    <w:rsid w:val="23394664"/>
    <w:rsid w:val="23895EED"/>
    <w:rsid w:val="23D82AF9"/>
    <w:rsid w:val="24B57302"/>
    <w:rsid w:val="257D30DA"/>
    <w:rsid w:val="274444B0"/>
    <w:rsid w:val="27695603"/>
    <w:rsid w:val="27A759BD"/>
    <w:rsid w:val="27B815AE"/>
    <w:rsid w:val="27EC442E"/>
    <w:rsid w:val="285D287A"/>
    <w:rsid w:val="28FC3DD8"/>
    <w:rsid w:val="29FC2CE2"/>
    <w:rsid w:val="2A9E1D31"/>
    <w:rsid w:val="2AE9537F"/>
    <w:rsid w:val="2AEC63DA"/>
    <w:rsid w:val="2B465376"/>
    <w:rsid w:val="2B8A0517"/>
    <w:rsid w:val="2BC9419C"/>
    <w:rsid w:val="2BE85845"/>
    <w:rsid w:val="2C314A5C"/>
    <w:rsid w:val="2C77384B"/>
    <w:rsid w:val="2C793521"/>
    <w:rsid w:val="2CD75A89"/>
    <w:rsid w:val="2CF021B0"/>
    <w:rsid w:val="2D2F4F26"/>
    <w:rsid w:val="2DD20EBB"/>
    <w:rsid w:val="2EEE45E2"/>
    <w:rsid w:val="2F0444A1"/>
    <w:rsid w:val="2F2819B3"/>
    <w:rsid w:val="2F565632"/>
    <w:rsid w:val="2F5E6002"/>
    <w:rsid w:val="2FA03459"/>
    <w:rsid w:val="2FA4046A"/>
    <w:rsid w:val="30122F1B"/>
    <w:rsid w:val="301A64C5"/>
    <w:rsid w:val="301E0CD7"/>
    <w:rsid w:val="302315E2"/>
    <w:rsid w:val="30550747"/>
    <w:rsid w:val="308146C6"/>
    <w:rsid w:val="309D7CAC"/>
    <w:rsid w:val="30F57B23"/>
    <w:rsid w:val="310A13A0"/>
    <w:rsid w:val="3152277A"/>
    <w:rsid w:val="3153403C"/>
    <w:rsid w:val="31F23DC2"/>
    <w:rsid w:val="3232506C"/>
    <w:rsid w:val="326E478F"/>
    <w:rsid w:val="33185531"/>
    <w:rsid w:val="332B5E86"/>
    <w:rsid w:val="33A85769"/>
    <w:rsid w:val="34134897"/>
    <w:rsid w:val="34647062"/>
    <w:rsid w:val="34A56664"/>
    <w:rsid w:val="35A0376C"/>
    <w:rsid w:val="35B74CB5"/>
    <w:rsid w:val="3630464B"/>
    <w:rsid w:val="36492259"/>
    <w:rsid w:val="36C80BD6"/>
    <w:rsid w:val="3746613E"/>
    <w:rsid w:val="3761403D"/>
    <w:rsid w:val="3787271D"/>
    <w:rsid w:val="37A46159"/>
    <w:rsid w:val="37E95543"/>
    <w:rsid w:val="380C03A0"/>
    <w:rsid w:val="38317226"/>
    <w:rsid w:val="388A7E46"/>
    <w:rsid w:val="38D07406"/>
    <w:rsid w:val="38F13D85"/>
    <w:rsid w:val="395E0633"/>
    <w:rsid w:val="39B01190"/>
    <w:rsid w:val="39D25597"/>
    <w:rsid w:val="3A43339F"/>
    <w:rsid w:val="3A583BAD"/>
    <w:rsid w:val="3B012F1D"/>
    <w:rsid w:val="3B051EA5"/>
    <w:rsid w:val="3C2E6A72"/>
    <w:rsid w:val="3C7F58D0"/>
    <w:rsid w:val="3DBA4892"/>
    <w:rsid w:val="3E76345B"/>
    <w:rsid w:val="3EFA60FB"/>
    <w:rsid w:val="3F0E3C8A"/>
    <w:rsid w:val="3FDE6A58"/>
    <w:rsid w:val="400E3078"/>
    <w:rsid w:val="407B6FE4"/>
    <w:rsid w:val="40A615AD"/>
    <w:rsid w:val="41042B82"/>
    <w:rsid w:val="414C3600"/>
    <w:rsid w:val="415043B6"/>
    <w:rsid w:val="423935DB"/>
    <w:rsid w:val="424B2B43"/>
    <w:rsid w:val="427D6DB3"/>
    <w:rsid w:val="428802E4"/>
    <w:rsid w:val="433E4413"/>
    <w:rsid w:val="434049E1"/>
    <w:rsid w:val="43877222"/>
    <w:rsid w:val="440D1500"/>
    <w:rsid w:val="441F6E8D"/>
    <w:rsid w:val="45312604"/>
    <w:rsid w:val="453426A3"/>
    <w:rsid w:val="464B54B8"/>
    <w:rsid w:val="46D86717"/>
    <w:rsid w:val="477267FD"/>
    <w:rsid w:val="487966AB"/>
    <w:rsid w:val="48966E3F"/>
    <w:rsid w:val="491F645F"/>
    <w:rsid w:val="4A1813AF"/>
    <w:rsid w:val="4A6766A0"/>
    <w:rsid w:val="4A715BF2"/>
    <w:rsid w:val="4B487E87"/>
    <w:rsid w:val="4CA2756F"/>
    <w:rsid w:val="4CB055F2"/>
    <w:rsid w:val="4CB8437F"/>
    <w:rsid w:val="4D162FC9"/>
    <w:rsid w:val="4D2B48E9"/>
    <w:rsid w:val="4D712AB4"/>
    <w:rsid w:val="4E441147"/>
    <w:rsid w:val="4E45455B"/>
    <w:rsid w:val="4E7F51D5"/>
    <w:rsid w:val="4EEA7533"/>
    <w:rsid w:val="4F527B62"/>
    <w:rsid w:val="4F747D53"/>
    <w:rsid w:val="50F038EB"/>
    <w:rsid w:val="50FF164D"/>
    <w:rsid w:val="51553856"/>
    <w:rsid w:val="51605F9C"/>
    <w:rsid w:val="52055B66"/>
    <w:rsid w:val="52497EEC"/>
    <w:rsid w:val="52A567A9"/>
    <w:rsid w:val="52C176CB"/>
    <w:rsid w:val="543A43DD"/>
    <w:rsid w:val="555E1673"/>
    <w:rsid w:val="55932C76"/>
    <w:rsid w:val="56F44ECA"/>
    <w:rsid w:val="56FC13EC"/>
    <w:rsid w:val="571E628A"/>
    <w:rsid w:val="57DB2ED4"/>
    <w:rsid w:val="582172CC"/>
    <w:rsid w:val="58C3057F"/>
    <w:rsid w:val="59067EB7"/>
    <w:rsid w:val="59B91B18"/>
    <w:rsid w:val="5A013A88"/>
    <w:rsid w:val="5A223546"/>
    <w:rsid w:val="5AC47E7A"/>
    <w:rsid w:val="5C123B42"/>
    <w:rsid w:val="5C8E1DDF"/>
    <w:rsid w:val="5D1E5A3C"/>
    <w:rsid w:val="5D225A64"/>
    <w:rsid w:val="5D27754D"/>
    <w:rsid w:val="5D4C76EB"/>
    <w:rsid w:val="5D971654"/>
    <w:rsid w:val="5DC66A07"/>
    <w:rsid w:val="5E241755"/>
    <w:rsid w:val="5E74051D"/>
    <w:rsid w:val="5EDC4F5E"/>
    <w:rsid w:val="5EE1663C"/>
    <w:rsid w:val="5EF23D05"/>
    <w:rsid w:val="5EFE234D"/>
    <w:rsid w:val="5F556390"/>
    <w:rsid w:val="5FA36273"/>
    <w:rsid w:val="605E48A5"/>
    <w:rsid w:val="612A09AD"/>
    <w:rsid w:val="61AD28BE"/>
    <w:rsid w:val="638C2DBC"/>
    <w:rsid w:val="64541236"/>
    <w:rsid w:val="64C878D9"/>
    <w:rsid w:val="651403D6"/>
    <w:rsid w:val="657A779C"/>
    <w:rsid w:val="658852B6"/>
    <w:rsid w:val="65C264F1"/>
    <w:rsid w:val="65DF6182"/>
    <w:rsid w:val="65E03DE3"/>
    <w:rsid w:val="660C1388"/>
    <w:rsid w:val="662B0016"/>
    <w:rsid w:val="66C76CFA"/>
    <w:rsid w:val="671671C8"/>
    <w:rsid w:val="67581015"/>
    <w:rsid w:val="676F7060"/>
    <w:rsid w:val="677B4BB6"/>
    <w:rsid w:val="67A2147F"/>
    <w:rsid w:val="67C418D5"/>
    <w:rsid w:val="686A4402"/>
    <w:rsid w:val="68FE200C"/>
    <w:rsid w:val="691E2A64"/>
    <w:rsid w:val="69730DDD"/>
    <w:rsid w:val="69B233A5"/>
    <w:rsid w:val="6AFB3C15"/>
    <w:rsid w:val="6C012325"/>
    <w:rsid w:val="6C1B4312"/>
    <w:rsid w:val="6C4A198C"/>
    <w:rsid w:val="6D59738F"/>
    <w:rsid w:val="6D6371EA"/>
    <w:rsid w:val="6DFB1577"/>
    <w:rsid w:val="6E1A24E1"/>
    <w:rsid w:val="6F520BEF"/>
    <w:rsid w:val="6F796E07"/>
    <w:rsid w:val="6FBC109B"/>
    <w:rsid w:val="70C04ECF"/>
    <w:rsid w:val="71786DCD"/>
    <w:rsid w:val="71C264F8"/>
    <w:rsid w:val="71CB519E"/>
    <w:rsid w:val="72630A42"/>
    <w:rsid w:val="726F0362"/>
    <w:rsid w:val="726F4392"/>
    <w:rsid w:val="73083B11"/>
    <w:rsid w:val="7329718E"/>
    <w:rsid w:val="73E55D83"/>
    <w:rsid w:val="74505532"/>
    <w:rsid w:val="74855AAA"/>
    <w:rsid w:val="74A44D67"/>
    <w:rsid w:val="74C272BC"/>
    <w:rsid w:val="74C3607A"/>
    <w:rsid w:val="75CF4F16"/>
    <w:rsid w:val="75D346AE"/>
    <w:rsid w:val="75D8716B"/>
    <w:rsid w:val="75D96B78"/>
    <w:rsid w:val="7658156E"/>
    <w:rsid w:val="768B7BB8"/>
    <w:rsid w:val="78030348"/>
    <w:rsid w:val="786C6934"/>
    <w:rsid w:val="78C93F5A"/>
    <w:rsid w:val="78DD60CF"/>
    <w:rsid w:val="7A443099"/>
    <w:rsid w:val="7A9537E7"/>
    <w:rsid w:val="7B5C3533"/>
    <w:rsid w:val="7C1008C3"/>
    <w:rsid w:val="7C345557"/>
    <w:rsid w:val="7C3E1A1B"/>
    <w:rsid w:val="7CB33702"/>
    <w:rsid w:val="7CFD303E"/>
    <w:rsid w:val="7D8D5BB2"/>
    <w:rsid w:val="7E077A3B"/>
    <w:rsid w:val="7E604F4A"/>
    <w:rsid w:val="7EEB5D20"/>
    <w:rsid w:val="7FB8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2"/>
    <w:link w:val="117"/>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5">
    <w:name w:val="heading 3"/>
    <w:basedOn w:val="1"/>
    <w:next w:val="2"/>
    <w:link w:val="11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6">
    <w:name w:val="heading 4"/>
    <w:basedOn w:val="1"/>
    <w:next w:val="2"/>
    <w:link w:val="70"/>
    <w:qFormat/>
    <w:uiPriority w:val="0"/>
    <w:pPr>
      <w:keepNext/>
      <w:tabs>
        <w:tab w:val="left" w:pos="425"/>
      </w:tabs>
      <w:ind w:left="425" w:firstLine="415"/>
      <w:jc w:val="left"/>
      <w:outlineLvl w:val="3"/>
    </w:pPr>
    <w:rPr>
      <w:rFonts w:ascii="宋体" w:hAnsi="宋体"/>
    </w:rPr>
  </w:style>
  <w:style w:type="paragraph" w:styleId="7">
    <w:name w:val="heading 5"/>
    <w:basedOn w:val="1"/>
    <w:next w:val="2"/>
    <w:link w:val="82"/>
    <w:qFormat/>
    <w:uiPriority w:val="0"/>
    <w:pPr>
      <w:keepNext/>
      <w:keepLines/>
      <w:spacing w:before="280" w:after="290" w:line="376" w:lineRule="auto"/>
      <w:outlineLvl w:val="4"/>
    </w:pPr>
    <w:rPr>
      <w:rFonts w:ascii="Arial" w:hAnsi="Arial" w:cs="Arial"/>
      <w:b/>
    </w:rPr>
  </w:style>
  <w:style w:type="paragraph" w:styleId="8">
    <w:name w:val="heading 6"/>
    <w:basedOn w:val="1"/>
    <w:next w:val="2"/>
    <w:link w:val="88"/>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2"/>
    <w:link w:val="78"/>
    <w:qFormat/>
    <w:uiPriority w:val="0"/>
    <w:pPr>
      <w:keepNext/>
      <w:keepLines/>
      <w:spacing w:before="240" w:after="64" w:line="320" w:lineRule="auto"/>
      <w:outlineLvl w:val="6"/>
    </w:pPr>
    <w:rPr>
      <w:b/>
      <w:sz w:val="24"/>
    </w:rPr>
  </w:style>
  <w:style w:type="paragraph" w:styleId="10">
    <w:name w:val="heading 8"/>
    <w:basedOn w:val="1"/>
    <w:next w:val="2"/>
    <w:link w:val="9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2"/>
    <w:link w:val="87"/>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93"/>
    <w:qFormat/>
    <w:uiPriority w:val="0"/>
    <w:pPr>
      <w:ind w:firstLine="420"/>
    </w:p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200" w:leftChars="200"/>
    </w:pPr>
  </w:style>
  <w:style w:type="paragraph" w:styleId="14">
    <w:name w:val="caption"/>
    <w:basedOn w:val="1"/>
    <w:next w:val="1"/>
    <w:link w:val="95"/>
    <w:qFormat/>
    <w:uiPriority w:val="0"/>
    <w:pPr>
      <w:spacing w:beforeLines="50"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86"/>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74"/>
    <w:qFormat/>
    <w:uiPriority w:val="0"/>
    <w:pPr>
      <w:jc w:val="left"/>
    </w:pPr>
  </w:style>
  <w:style w:type="paragraph" w:styleId="19">
    <w:name w:val="Salutation"/>
    <w:basedOn w:val="1"/>
    <w:next w:val="1"/>
    <w:link w:val="62"/>
    <w:qFormat/>
    <w:uiPriority w:val="0"/>
    <w:pPr>
      <w:jc w:val="left"/>
    </w:pPr>
    <w:rPr>
      <w:rFonts w:eastAsia="PMingLiU"/>
      <w:sz w:val="24"/>
      <w:lang w:eastAsia="zh-TW"/>
    </w:rPr>
  </w:style>
  <w:style w:type="paragraph" w:styleId="20">
    <w:name w:val="Body Text 3"/>
    <w:basedOn w:val="1"/>
    <w:link w:val="92"/>
    <w:qFormat/>
    <w:uiPriority w:val="0"/>
    <w:pPr>
      <w:spacing w:after="120"/>
    </w:pPr>
    <w:rPr>
      <w:sz w:val="16"/>
      <w:szCs w:val="16"/>
    </w:rPr>
  </w:style>
  <w:style w:type="paragraph" w:styleId="21">
    <w:name w:val="Body Text"/>
    <w:basedOn w:val="1"/>
    <w:link w:val="94"/>
    <w:qFormat/>
    <w:uiPriority w:val="0"/>
    <w:rPr>
      <w:rFonts w:ascii="Arial" w:hAnsi="Arial"/>
      <w:color w:val="000000"/>
      <w:szCs w:val="24"/>
    </w:rPr>
  </w:style>
  <w:style w:type="paragraph" w:styleId="22">
    <w:name w:val="Body Text Indent"/>
    <w:basedOn w:val="1"/>
    <w:link w:val="105"/>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link w:val="115"/>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0"/>
    <w:qFormat/>
    <w:uiPriority w:val="0"/>
    <w:rPr>
      <w:rFonts w:ascii="宋体"/>
      <w:sz w:val="24"/>
    </w:rPr>
  </w:style>
  <w:style w:type="paragraph" w:styleId="29">
    <w:name w:val="Body Text Indent 2"/>
    <w:basedOn w:val="1"/>
    <w:link w:val="116"/>
    <w:qFormat/>
    <w:uiPriority w:val="0"/>
    <w:pPr>
      <w:ind w:left="735"/>
    </w:pPr>
  </w:style>
  <w:style w:type="paragraph" w:styleId="30">
    <w:name w:val="Balloon Text"/>
    <w:basedOn w:val="1"/>
    <w:link w:val="118"/>
    <w:qFormat/>
    <w:uiPriority w:val="0"/>
    <w:rPr>
      <w:sz w:val="18"/>
      <w:szCs w:val="18"/>
    </w:rPr>
  </w:style>
  <w:style w:type="paragraph" w:styleId="31">
    <w:name w:val="footer"/>
    <w:basedOn w:val="1"/>
    <w:link w:val="76"/>
    <w:qFormat/>
    <w:uiPriority w:val="99"/>
    <w:pPr>
      <w:tabs>
        <w:tab w:val="center" w:pos="4153"/>
        <w:tab w:val="right" w:pos="8306"/>
      </w:tabs>
      <w:snapToGrid w:val="0"/>
      <w:jc w:val="left"/>
    </w:pPr>
    <w:rPr>
      <w:sz w:val="18"/>
    </w:rPr>
  </w:style>
  <w:style w:type="paragraph" w:styleId="32">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00"/>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123"/>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107"/>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link w:val="75"/>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11"/>
    <w:qFormat/>
    <w:uiPriority w:val="0"/>
    <w:rPr>
      <w:b/>
      <w:bCs/>
    </w:rPr>
  </w:style>
  <w:style w:type="paragraph" w:styleId="48">
    <w:name w:val="Body Text First Indent"/>
    <w:basedOn w:val="21"/>
    <w:link w:val="113"/>
    <w:qFormat/>
    <w:uiPriority w:val="0"/>
    <w:pPr>
      <w:spacing w:after="120"/>
      <w:ind w:firstLine="420"/>
    </w:pPr>
    <w:rPr>
      <w:rFonts w:ascii="Times New Roman" w:hAnsi="Times New Roman"/>
      <w:color w:val="auto"/>
      <w:szCs w:val="20"/>
    </w:rPr>
  </w:style>
  <w:style w:type="paragraph" w:styleId="49">
    <w:name w:val="Body Text First Indent 2"/>
    <w:basedOn w:val="22"/>
    <w:qFormat/>
    <w:uiPriority w:val="0"/>
    <w:pPr>
      <w:ind w:firstLine="420"/>
    </w:pPr>
    <w:rPr>
      <w:bCs/>
      <w:szCs w:val="24"/>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character" w:customStyle="1" w:styleId="59">
    <w:name w:val="style21"/>
    <w:qFormat/>
    <w:uiPriority w:val="0"/>
    <w:rPr>
      <w:sz w:val="21"/>
      <w:szCs w:val="21"/>
    </w:rPr>
  </w:style>
  <w:style w:type="character" w:customStyle="1" w:styleId="60">
    <w:name w:val="未处理的提及1"/>
    <w:unhideWhenUsed/>
    <w:qFormat/>
    <w:uiPriority w:val="99"/>
    <w:rPr>
      <w:color w:val="605E5C"/>
      <w:shd w:val="clear" w:color="auto" w:fill="E1DFDD"/>
    </w:rPr>
  </w:style>
  <w:style w:type="character" w:customStyle="1" w:styleId="61">
    <w:name w:val="标题 1 字符"/>
    <w:link w:val="3"/>
    <w:qFormat/>
    <w:uiPriority w:val="0"/>
    <w:rPr>
      <w:b/>
      <w:kern w:val="44"/>
      <w:sz w:val="44"/>
    </w:rPr>
  </w:style>
  <w:style w:type="character" w:customStyle="1" w:styleId="62">
    <w:name w:val="称呼 字符"/>
    <w:link w:val="19"/>
    <w:qFormat/>
    <w:uiPriority w:val="0"/>
    <w:rPr>
      <w:rFonts w:eastAsia="PMingLiU"/>
      <w:kern w:val="2"/>
      <w:sz w:val="24"/>
      <w:lang w:eastAsia="zh-TW"/>
    </w:rPr>
  </w:style>
  <w:style w:type="character" w:customStyle="1" w:styleId="63">
    <w:name w:val="文字 Char"/>
    <w:link w:val="64"/>
    <w:qFormat/>
    <w:uiPriority w:val="0"/>
    <w:rPr>
      <w:rFonts w:ascii="宋体" w:hAnsi="宋体"/>
      <w:snapToGrid w:val="0"/>
      <w:color w:val="000000"/>
      <w:szCs w:val="21"/>
    </w:rPr>
  </w:style>
  <w:style w:type="paragraph" w:customStyle="1" w:styleId="64">
    <w:name w:val="文字"/>
    <w:basedOn w:val="1"/>
    <w:link w:val="63"/>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65">
    <w:name w:val="标准正文 Char"/>
    <w:link w:val="66"/>
    <w:qFormat/>
    <w:uiPriority w:val="0"/>
    <w:rPr>
      <w:rFonts w:ascii="宋体"/>
    </w:rPr>
  </w:style>
  <w:style w:type="paragraph" w:customStyle="1" w:styleId="66">
    <w:name w:val="标准正文"/>
    <w:basedOn w:val="67"/>
    <w:link w:val="65"/>
    <w:qFormat/>
    <w:uiPriority w:val="0"/>
    <w:pPr>
      <w:spacing w:before="60" w:after="60"/>
      <w:ind w:firstLine="482"/>
      <w:jc w:val="both"/>
    </w:pPr>
    <w:rPr>
      <w:kern w:val="0"/>
      <w:sz w:val="20"/>
    </w:rPr>
  </w:style>
  <w:style w:type="paragraph" w:customStyle="1" w:styleId="67">
    <w:name w:val="正文文本缩进1"/>
    <w:basedOn w:val="1"/>
    <w:qFormat/>
    <w:uiPriority w:val="0"/>
    <w:pPr>
      <w:spacing w:line="360" w:lineRule="auto"/>
      <w:ind w:firstLine="454"/>
      <w:jc w:val="center"/>
    </w:pPr>
    <w:rPr>
      <w:rFonts w:ascii="宋体"/>
    </w:rPr>
  </w:style>
  <w:style w:type="character" w:customStyle="1" w:styleId="68">
    <w:name w:val="G_正文 Char"/>
    <w:link w:val="69"/>
    <w:qFormat/>
    <w:uiPriority w:val="0"/>
    <w:rPr>
      <w:rFonts w:ascii="宋体" w:hAnsi="宋体"/>
      <w:sz w:val="24"/>
      <w:szCs w:val="24"/>
    </w:rPr>
  </w:style>
  <w:style w:type="paragraph" w:customStyle="1" w:styleId="69">
    <w:name w:val="G_正文"/>
    <w:basedOn w:val="1"/>
    <w:link w:val="68"/>
    <w:qFormat/>
    <w:uiPriority w:val="0"/>
    <w:pPr>
      <w:snapToGrid w:val="0"/>
      <w:spacing w:line="360" w:lineRule="auto"/>
      <w:ind w:firstLine="480" w:firstLineChars="200"/>
    </w:pPr>
    <w:rPr>
      <w:rFonts w:ascii="宋体" w:hAnsi="宋体"/>
      <w:kern w:val="0"/>
      <w:sz w:val="24"/>
      <w:szCs w:val="24"/>
    </w:rPr>
  </w:style>
  <w:style w:type="character" w:customStyle="1" w:styleId="70">
    <w:name w:val="标题 4 字符"/>
    <w:link w:val="6"/>
    <w:qFormat/>
    <w:uiPriority w:val="0"/>
    <w:rPr>
      <w:rFonts w:ascii="宋体" w:hAnsi="宋体"/>
      <w:kern w:val="2"/>
      <w:sz w:val="21"/>
    </w:rPr>
  </w:style>
  <w:style w:type="character" w:customStyle="1" w:styleId="71">
    <w:name w:val="font01"/>
    <w:basedOn w:val="52"/>
    <w:qFormat/>
    <w:uiPriority w:val="0"/>
    <w:rPr>
      <w:rFonts w:hint="eastAsia" w:ascii="宋体" w:hAnsi="宋体" w:eastAsia="宋体" w:cs="宋体"/>
      <w:color w:val="000000"/>
      <w:sz w:val="22"/>
      <w:szCs w:val="22"/>
      <w:u w:val="none"/>
    </w:rPr>
  </w:style>
  <w:style w:type="character" w:customStyle="1" w:styleId="72">
    <w:name w:val="bold1"/>
    <w:qFormat/>
    <w:uiPriority w:val="0"/>
    <w:rPr>
      <w:sz w:val="32"/>
      <w:szCs w:val="18"/>
    </w:rPr>
  </w:style>
  <w:style w:type="character" w:customStyle="1" w:styleId="73">
    <w:name w:val="font11"/>
    <w:basedOn w:val="52"/>
    <w:qFormat/>
    <w:uiPriority w:val="0"/>
    <w:rPr>
      <w:rFonts w:hint="eastAsia" w:ascii="宋体" w:hAnsi="宋体" w:eastAsia="宋体" w:cs="宋体"/>
      <w:color w:val="000000"/>
      <w:sz w:val="22"/>
      <w:szCs w:val="22"/>
      <w:u w:val="none"/>
    </w:rPr>
  </w:style>
  <w:style w:type="character" w:customStyle="1" w:styleId="74">
    <w:name w:val="批注文字 字符"/>
    <w:link w:val="18"/>
    <w:qFormat/>
    <w:uiPriority w:val="0"/>
    <w:rPr>
      <w:kern w:val="2"/>
      <w:sz w:val="21"/>
    </w:rPr>
  </w:style>
  <w:style w:type="character" w:customStyle="1" w:styleId="75">
    <w:name w:val="标题 字符"/>
    <w:link w:val="46"/>
    <w:qFormat/>
    <w:locked/>
    <w:uiPriority w:val="0"/>
    <w:rPr>
      <w:rFonts w:ascii="Arial" w:hAnsi="Arial" w:eastAsia="宋体"/>
      <w:b/>
      <w:sz w:val="36"/>
      <w:lang w:val="en-US" w:eastAsia="zh-CN" w:bidi="ar-SA"/>
    </w:rPr>
  </w:style>
  <w:style w:type="character" w:customStyle="1" w:styleId="76">
    <w:name w:val="页脚 字符"/>
    <w:link w:val="31"/>
    <w:qFormat/>
    <w:uiPriority w:val="99"/>
    <w:rPr>
      <w:kern w:val="2"/>
      <w:sz w:val="18"/>
    </w:rPr>
  </w:style>
  <w:style w:type="character" w:customStyle="1" w:styleId="77">
    <w:name w:val="meuncn1"/>
    <w:qFormat/>
    <w:uiPriority w:val="0"/>
    <w:rPr>
      <w:rFonts w:hint="eastAsia" w:ascii="宋体" w:hAnsi="宋体" w:eastAsia="宋体"/>
      <w:color w:val="666666"/>
      <w:sz w:val="18"/>
      <w:szCs w:val="18"/>
      <w:u w:val="none"/>
    </w:rPr>
  </w:style>
  <w:style w:type="character" w:customStyle="1" w:styleId="78">
    <w:name w:val="标题 7 字符"/>
    <w:link w:val="9"/>
    <w:qFormat/>
    <w:uiPriority w:val="0"/>
    <w:rPr>
      <w:b/>
      <w:kern w:val="2"/>
      <w:sz w:val="24"/>
    </w:rPr>
  </w:style>
  <w:style w:type="character" w:customStyle="1" w:styleId="79">
    <w:name w:val="f142"/>
    <w:basedOn w:val="52"/>
    <w:qFormat/>
    <w:uiPriority w:val="0"/>
    <w:rPr>
      <w:sz w:val="21"/>
      <w:szCs w:val="21"/>
    </w:rPr>
  </w:style>
  <w:style w:type="character" w:customStyle="1" w:styleId="80">
    <w:name w:val="样式6 Char"/>
    <w:link w:val="81"/>
    <w:qFormat/>
    <w:uiPriority w:val="0"/>
    <w:rPr>
      <w:rFonts w:ascii="宋体" w:hAnsi="Courier New" w:eastAsia="楷体_GB2312"/>
      <w:sz w:val="24"/>
    </w:rPr>
  </w:style>
  <w:style w:type="paragraph" w:customStyle="1" w:styleId="81">
    <w:name w:val="样式6"/>
    <w:basedOn w:val="1"/>
    <w:link w:val="80"/>
    <w:qFormat/>
    <w:uiPriority w:val="0"/>
    <w:pPr>
      <w:tabs>
        <w:tab w:val="left" w:pos="425"/>
      </w:tabs>
      <w:spacing w:line="360" w:lineRule="auto"/>
      <w:ind w:left="425" w:hanging="425"/>
    </w:pPr>
    <w:rPr>
      <w:rFonts w:ascii="宋体" w:hAnsi="Courier New" w:eastAsia="楷体_GB2312"/>
      <w:kern w:val="0"/>
      <w:sz w:val="24"/>
    </w:rPr>
  </w:style>
  <w:style w:type="character" w:customStyle="1" w:styleId="82">
    <w:name w:val="标题 5 字符"/>
    <w:link w:val="7"/>
    <w:qFormat/>
    <w:uiPriority w:val="0"/>
    <w:rPr>
      <w:rFonts w:ascii="Arial" w:hAnsi="Arial" w:cs="Arial"/>
      <w:b/>
      <w:kern w:val="2"/>
      <w:sz w:val="21"/>
    </w:rPr>
  </w:style>
  <w:style w:type="character" w:customStyle="1" w:styleId="83">
    <w:name w:val="word1"/>
    <w:qFormat/>
    <w:uiPriority w:val="0"/>
    <w:rPr>
      <w:rFonts w:hint="default" w:ascii="ˎ̥" w:hAnsi="ˎ̥"/>
      <w:color w:val="555555"/>
      <w:spacing w:val="12"/>
      <w:sz w:val="18"/>
      <w:szCs w:val="18"/>
    </w:rPr>
  </w:style>
  <w:style w:type="character" w:customStyle="1" w:styleId="84">
    <w:name w:val="样式 四号 行距: 1.5 倍行距 首行缩进:  2 字符1 Char"/>
    <w:link w:val="85"/>
    <w:qFormat/>
    <w:uiPriority w:val="0"/>
    <w:rPr>
      <w:rFonts w:cs="宋体"/>
      <w:sz w:val="24"/>
    </w:rPr>
  </w:style>
  <w:style w:type="paragraph" w:customStyle="1" w:styleId="85">
    <w:name w:val="样式 四号 行距: 1.5 倍行距 首行缩进:  2 字符1"/>
    <w:basedOn w:val="1"/>
    <w:link w:val="84"/>
    <w:qFormat/>
    <w:uiPriority w:val="0"/>
    <w:pPr>
      <w:spacing w:line="360" w:lineRule="auto"/>
      <w:ind w:firstLine="560" w:firstLineChars="200"/>
    </w:pPr>
    <w:rPr>
      <w:kern w:val="0"/>
      <w:sz w:val="24"/>
    </w:rPr>
  </w:style>
  <w:style w:type="character" w:customStyle="1" w:styleId="86">
    <w:name w:val="文档结构图 字符"/>
    <w:link w:val="16"/>
    <w:qFormat/>
    <w:uiPriority w:val="0"/>
    <w:rPr>
      <w:kern w:val="2"/>
      <w:sz w:val="21"/>
      <w:shd w:val="clear" w:color="auto" w:fill="000080"/>
    </w:rPr>
  </w:style>
  <w:style w:type="character" w:customStyle="1" w:styleId="87">
    <w:name w:val="标题 9 字符"/>
    <w:link w:val="11"/>
    <w:qFormat/>
    <w:uiPriority w:val="0"/>
    <w:rPr>
      <w:rFonts w:ascii="Arial" w:hAnsi="Arial" w:eastAsia="黑体"/>
      <w:kern w:val="2"/>
      <w:sz w:val="21"/>
    </w:rPr>
  </w:style>
  <w:style w:type="character" w:customStyle="1" w:styleId="88">
    <w:name w:val="标题 6 字符"/>
    <w:link w:val="8"/>
    <w:qFormat/>
    <w:uiPriority w:val="0"/>
    <w:rPr>
      <w:rFonts w:ascii="Arial" w:hAnsi="Arial" w:eastAsia="黑体"/>
      <w:b/>
      <w:kern w:val="2"/>
      <w:sz w:val="24"/>
    </w:rPr>
  </w:style>
  <w:style w:type="character" w:customStyle="1" w:styleId="89">
    <w:name w:val="font21"/>
    <w:basedOn w:val="52"/>
    <w:qFormat/>
    <w:uiPriority w:val="0"/>
    <w:rPr>
      <w:rFonts w:hint="eastAsia" w:ascii="仿宋_GB2312" w:eastAsia="仿宋_GB2312" w:cs="仿宋_GB2312"/>
      <w:color w:val="000000"/>
      <w:sz w:val="24"/>
      <w:szCs w:val="24"/>
      <w:u w:val="none"/>
    </w:rPr>
  </w:style>
  <w:style w:type="character" w:customStyle="1" w:styleId="90">
    <w:name w:val="日期 字符"/>
    <w:link w:val="28"/>
    <w:qFormat/>
    <w:uiPriority w:val="0"/>
    <w:rPr>
      <w:rFonts w:ascii="宋体"/>
      <w:kern w:val="2"/>
      <w:sz w:val="24"/>
    </w:rPr>
  </w:style>
  <w:style w:type="character" w:customStyle="1" w:styleId="91">
    <w:name w:val="页眉 字符"/>
    <w:link w:val="32"/>
    <w:qFormat/>
    <w:uiPriority w:val="0"/>
    <w:rPr>
      <w:kern w:val="2"/>
      <w:sz w:val="18"/>
    </w:rPr>
  </w:style>
  <w:style w:type="character" w:customStyle="1" w:styleId="92">
    <w:name w:val="正文文本 3 字符"/>
    <w:link w:val="20"/>
    <w:qFormat/>
    <w:uiPriority w:val="0"/>
    <w:rPr>
      <w:kern w:val="2"/>
      <w:sz w:val="16"/>
      <w:szCs w:val="16"/>
    </w:rPr>
  </w:style>
  <w:style w:type="character" w:customStyle="1" w:styleId="93">
    <w:name w:val="正文缩进 字符"/>
    <w:link w:val="2"/>
    <w:qFormat/>
    <w:uiPriority w:val="0"/>
    <w:rPr>
      <w:rFonts w:eastAsia="宋体"/>
      <w:kern w:val="2"/>
      <w:sz w:val="21"/>
      <w:lang w:val="en-US" w:eastAsia="zh-CN" w:bidi="ar-SA"/>
    </w:rPr>
  </w:style>
  <w:style w:type="character" w:customStyle="1" w:styleId="94">
    <w:name w:val="正文文本 字符"/>
    <w:link w:val="21"/>
    <w:qFormat/>
    <w:uiPriority w:val="0"/>
    <w:rPr>
      <w:rFonts w:ascii="Arial" w:hAnsi="Arial" w:eastAsia="宋体"/>
      <w:color w:val="000000"/>
      <w:kern w:val="2"/>
      <w:sz w:val="21"/>
      <w:szCs w:val="24"/>
      <w:lang w:val="en-US" w:eastAsia="zh-CN" w:bidi="ar-SA"/>
    </w:rPr>
  </w:style>
  <w:style w:type="character" w:customStyle="1" w:styleId="95">
    <w:name w:val="题注 字符"/>
    <w:link w:val="14"/>
    <w:qFormat/>
    <w:uiPriority w:val="0"/>
    <w:rPr>
      <w:rFonts w:ascii="宋体" w:hAnsi="宋体"/>
      <w:b/>
      <w:bCs/>
      <w:kern w:val="2"/>
      <w:sz w:val="21"/>
    </w:rPr>
  </w:style>
  <w:style w:type="character" w:customStyle="1" w:styleId="96">
    <w:name w:val="wctjfont1"/>
    <w:qFormat/>
    <w:uiPriority w:val="0"/>
    <w:rPr>
      <w:sz w:val="18"/>
      <w:szCs w:val="18"/>
    </w:rPr>
  </w:style>
  <w:style w:type="character" w:customStyle="1" w:styleId="97">
    <w:name w:val="样式1 Char"/>
    <w:link w:val="98"/>
    <w:qFormat/>
    <w:uiPriority w:val="0"/>
    <w:rPr>
      <w:rFonts w:ascii="黑体" w:hAnsi="Arial"/>
      <w:color w:val="FF00FF"/>
      <w:sz w:val="24"/>
    </w:rPr>
  </w:style>
  <w:style w:type="paragraph" w:customStyle="1" w:styleId="98">
    <w:name w:val="样式1"/>
    <w:basedOn w:val="1"/>
    <w:link w:val="97"/>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99">
    <w:name w:val="标题 8 字符"/>
    <w:link w:val="10"/>
    <w:qFormat/>
    <w:uiPriority w:val="0"/>
    <w:rPr>
      <w:rFonts w:ascii="Arial" w:hAnsi="Arial" w:eastAsia="黑体"/>
      <w:kern w:val="2"/>
      <w:sz w:val="24"/>
    </w:rPr>
  </w:style>
  <w:style w:type="character" w:customStyle="1" w:styleId="100">
    <w:name w:val="副标题 字符"/>
    <w:link w:val="36"/>
    <w:qFormat/>
    <w:locked/>
    <w:uiPriority w:val="0"/>
    <w:rPr>
      <w:rFonts w:ascii="Arial" w:hAnsi="Arial" w:eastAsia="宋体" w:cs="Arial"/>
      <w:b/>
      <w:bCs/>
      <w:kern w:val="28"/>
      <w:sz w:val="32"/>
      <w:szCs w:val="32"/>
      <w:lang w:val="en-US" w:eastAsia="zh-CN" w:bidi="ar-SA"/>
    </w:rPr>
  </w:style>
  <w:style w:type="character" w:customStyle="1" w:styleId="101">
    <w:name w:val="title_emph1"/>
    <w:qFormat/>
    <w:uiPriority w:val="0"/>
    <w:rPr>
      <w:rFonts w:hint="default" w:ascii="Arial" w:hAnsi="Arial" w:cs="Arial"/>
      <w:b/>
      <w:bCs/>
      <w:sz w:val="20"/>
      <w:szCs w:val="20"/>
    </w:rPr>
  </w:style>
  <w:style w:type="character" w:customStyle="1" w:styleId="102">
    <w:name w:val="15"/>
    <w:basedOn w:val="52"/>
    <w:qFormat/>
    <w:uiPriority w:val="0"/>
    <w:rPr>
      <w:rFonts w:hint="eastAsia" w:ascii="仿宋" w:hAnsi="仿宋" w:eastAsia="仿宋" w:cs="仿宋"/>
      <w:color w:val="000000"/>
      <w:sz w:val="32"/>
      <w:szCs w:val="32"/>
    </w:rPr>
  </w:style>
  <w:style w:type="character" w:customStyle="1" w:styleId="103">
    <w:name w:val="lh131"/>
    <w:basedOn w:val="52"/>
    <w:qFormat/>
    <w:uiPriority w:val="0"/>
  </w:style>
  <w:style w:type="character" w:customStyle="1" w:styleId="104">
    <w:name w:val="纯文本 Char Char"/>
    <w:qFormat/>
    <w:uiPriority w:val="0"/>
    <w:rPr>
      <w:rFonts w:ascii="仿宋_GB2312" w:hAnsi="Courier New" w:eastAsia="仿宋_GB2312"/>
      <w:kern w:val="2"/>
      <w:sz w:val="30"/>
      <w:szCs w:val="28"/>
      <w:lang w:val="en-US" w:eastAsia="zh-CN" w:bidi="ar-SA"/>
    </w:rPr>
  </w:style>
  <w:style w:type="character" w:customStyle="1" w:styleId="105">
    <w:name w:val="正文文本缩进 字符"/>
    <w:link w:val="22"/>
    <w:qFormat/>
    <w:uiPriority w:val="0"/>
    <w:rPr>
      <w:rFonts w:eastAsia="宋体"/>
      <w:kern w:val="2"/>
      <w:sz w:val="21"/>
      <w:lang w:val="en-US" w:eastAsia="zh-CN" w:bidi="ar-SA"/>
    </w:rPr>
  </w:style>
  <w:style w:type="character" w:customStyle="1" w:styleId="106">
    <w:name w:val="页码1"/>
    <w:qFormat/>
    <w:uiPriority w:val="0"/>
    <w:rPr>
      <w:rFonts w:ascii="宋体" w:eastAsia="宋体"/>
      <w:sz w:val="18"/>
    </w:rPr>
  </w:style>
  <w:style w:type="character" w:customStyle="1" w:styleId="107">
    <w:name w:val="正文文本 2 字符"/>
    <w:link w:val="42"/>
    <w:qFormat/>
    <w:uiPriority w:val="0"/>
    <w:rPr>
      <w:kern w:val="2"/>
      <w:sz w:val="21"/>
      <w:szCs w:val="24"/>
    </w:rPr>
  </w:style>
  <w:style w:type="character" w:customStyle="1" w:styleId="108">
    <w:name w:val="文档正文 Char"/>
    <w:link w:val="109"/>
    <w:qFormat/>
    <w:uiPriority w:val="0"/>
    <w:rPr>
      <w:rFonts w:ascii="宋体"/>
      <w:sz w:val="28"/>
    </w:rPr>
  </w:style>
  <w:style w:type="paragraph" w:customStyle="1" w:styleId="109">
    <w:name w:val="文档正文"/>
    <w:basedOn w:val="1"/>
    <w:link w:val="108"/>
    <w:qFormat/>
    <w:uiPriority w:val="0"/>
    <w:pPr>
      <w:keepNext/>
      <w:adjustRightInd w:val="0"/>
      <w:spacing w:line="312" w:lineRule="atLeast"/>
      <w:ind w:firstLine="567"/>
      <w:textAlignment w:val="baseline"/>
    </w:pPr>
    <w:rPr>
      <w:rFonts w:ascii="宋体"/>
      <w:kern w:val="0"/>
      <w:sz w:val="28"/>
    </w:rPr>
  </w:style>
  <w:style w:type="character" w:customStyle="1" w:styleId="110">
    <w:name w:val="contents1"/>
    <w:qFormat/>
    <w:uiPriority w:val="0"/>
    <w:rPr>
      <w:color w:val="000000"/>
      <w:sz w:val="21"/>
      <w:szCs w:val="21"/>
      <w:u w:val="none"/>
    </w:rPr>
  </w:style>
  <w:style w:type="character" w:customStyle="1" w:styleId="111">
    <w:name w:val="批注主题 字符"/>
    <w:link w:val="47"/>
    <w:qFormat/>
    <w:uiPriority w:val="0"/>
    <w:rPr>
      <w:b/>
      <w:bCs/>
      <w:kern w:val="2"/>
      <w:sz w:val="21"/>
    </w:rPr>
  </w:style>
  <w:style w:type="character" w:customStyle="1" w:styleId="112">
    <w:name w:val="Highlighted Variable"/>
    <w:qFormat/>
    <w:uiPriority w:val="0"/>
    <w:rPr>
      <w:color w:val="000000"/>
    </w:rPr>
  </w:style>
  <w:style w:type="character" w:customStyle="1" w:styleId="113">
    <w:name w:val="正文文本首行缩进 字符"/>
    <w:basedOn w:val="94"/>
    <w:link w:val="48"/>
    <w:qFormat/>
    <w:uiPriority w:val="0"/>
    <w:rPr>
      <w:rFonts w:ascii="Arial" w:hAnsi="Arial" w:eastAsia="宋体"/>
      <w:color w:val="000000"/>
      <w:kern w:val="2"/>
      <w:sz w:val="21"/>
      <w:szCs w:val="24"/>
      <w:lang w:val="en-US" w:eastAsia="zh-CN" w:bidi="ar-SA"/>
    </w:rPr>
  </w:style>
  <w:style w:type="character" w:customStyle="1" w:styleId="114">
    <w:name w:val="标题 3 字符"/>
    <w:link w:val="5"/>
    <w:qFormat/>
    <w:uiPriority w:val="0"/>
    <w:rPr>
      <w:rFonts w:ascii="Arial" w:hAnsi="Arial" w:cs="Arial"/>
      <w:b/>
      <w:kern w:val="2"/>
      <w:sz w:val="28"/>
    </w:rPr>
  </w:style>
  <w:style w:type="character" w:customStyle="1" w:styleId="115">
    <w:name w:val="纯文本 字符"/>
    <w:link w:val="26"/>
    <w:qFormat/>
    <w:uiPriority w:val="0"/>
    <w:rPr>
      <w:rFonts w:ascii="宋体" w:hAnsi="Courier New" w:eastAsia="宋体" w:cs="Courier New"/>
      <w:kern w:val="2"/>
      <w:sz w:val="21"/>
      <w:szCs w:val="21"/>
      <w:lang w:val="en-US" w:eastAsia="zh-CN" w:bidi="ar-SA"/>
    </w:rPr>
  </w:style>
  <w:style w:type="character" w:customStyle="1" w:styleId="116">
    <w:name w:val="正文文本缩进 2 字符"/>
    <w:link w:val="29"/>
    <w:qFormat/>
    <w:uiPriority w:val="0"/>
    <w:rPr>
      <w:kern w:val="2"/>
      <w:sz w:val="21"/>
    </w:rPr>
  </w:style>
  <w:style w:type="character" w:customStyle="1" w:styleId="117">
    <w:name w:val="标题 2 字符"/>
    <w:link w:val="4"/>
    <w:qFormat/>
    <w:uiPriority w:val="0"/>
    <w:rPr>
      <w:rFonts w:ascii="Arial" w:hAnsi="Arial" w:eastAsia="黑体"/>
      <w:b/>
      <w:kern w:val="2"/>
      <w:sz w:val="24"/>
    </w:rPr>
  </w:style>
  <w:style w:type="character" w:customStyle="1" w:styleId="118">
    <w:name w:val="批注框文本 字符"/>
    <w:link w:val="30"/>
    <w:qFormat/>
    <w:uiPriority w:val="0"/>
    <w:rPr>
      <w:kern w:val="2"/>
      <w:sz w:val="18"/>
      <w:szCs w:val="18"/>
    </w:rPr>
  </w:style>
  <w:style w:type="character" w:customStyle="1" w:styleId="119">
    <w:name w:val="DeltaView Insertion"/>
    <w:qFormat/>
    <w:uiPriority w:val="0"/>
  </w:style>
  <w:style w:type="character" w:customStyle="1" w:styleId="120">
    <w:name w:val="样式 正文Alt+Z +"/>
    <w:qFormat/>
    <w:uiPriority w:val="0"/>
    <w:rPr>
      <w:sz w:val="21"/>
    </w:rPr>
  </w:style>
  <w:style w:type="character" w:customStyle="1" w:styleId="121">
    <w:name w:val="正文 + 首行缩进:  2 字符 Char"/>
    <w:link w:val="122"/>
    <w:qFormat/>
    <w:uiPriority w:val="0"/>
    <w:rPr>
      <w:rFonts w:hAnsi="宋体"/>
      <w:sz w:val="28"/>
      <w:szCs w:val="28"/>
    </w:rPr>
  </w:style>
  <w:style w:type="paragraph" w:customStyle="1" w:styleId="122">
    <w:name w:val="正文 + 首行缩进:  2 字符"/>
    <w:basedOn w:val="1"/>
    <w:link w:val="121"/>
    <w:qFormat/>
    <w:uiPriority w:val="0"/>
    <w:pPr>
      <w:spacing w:line="360" w:lineRule="auto"/>
      <w:ind w:right="31" w:firstLine="560" w:firstLineChars="200"/>
    </w:pPr>
    <w:rPr>
      <w:rFonts w:hAnsi="宋体"/>
      <w:kern w:val="0"/>
      <w:sz w:val="28"/>
      <w:szCs w:val="28"/>
    </w:rPr>
  </w:style>
  <w:style w:type="character" w:customStyle="1" w:styleId="123">
    <w:name w:val="正文文本缩进 3 字符"/>
    <w:link w:val="39"/>
    <w:qFormat/>
    <w:uiPriority w:val="0"/>
    <w:rPr>
      <w:rFonts w:ascii="宋体" w:hAnsi="宋体"/>
      <w:b/>
      <w:kern w:val="2"/>
      <w:sz w:val="21"/>
    </w:rPr>
  </w:style>
  <w:style w:type="character" w:customStyle="1" w:styleId="124">
    <w:name w:val="表格五号字 Char"/>
    <w:link w:val="125"/>
    <w:qFormat/>
    <w:uiPriority w:val="0"/>
    <w:rPr>
      <w:sz w:val="21"/>
    </w:rPr>
  </w:style>
  <w:style w:type="paragraph" w:customStyle="1" w:styleId="125">
    <w:name w:val="表格五号字"/>
    <w:basedOn w:val="1"/>
    <w:link w:val="124"/>
    <w:qFormat/>
    <w:uiPriority w:val="0"/>
    <w:pPr>
      <w:adjustRightInd w:val="0"/>
      <w:snapToGrid w:val="0"/>
      <w:spacing w:beforeLines="20" w:afterLines="20"/>
      <w:jc w:val="center"/>
    </w:pPr>
    <w:rPr>
      <w:kern w:val="0"/>
    </w:rPr>
  </w:style>
  <w:style w:type="character" w:customStyle="1" w:styleId="126">
    <w:name w:val="批注引用1"/>
    <w:qFormat/>
    <w:uiPriority w:val="0"/>
    <w:rPr>
      <w:sz w:val="21"/>
      <w:szCs w:val="21"/>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31">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32">
    <w:name w:val="表格1"/>
    <w:basedOn w:val="1"/>
    <w:qFormat/>
    <w:uiPriority w:val="0"/>
    <w:pPr>
      <w:jc w:val="center"/>
    </w:pPr>
    <w:rPr>
      <w:rFonts w:ascii="宋体"/>
      <w:color w:val="000000"/>
      <w:sz w:val="24"/>
    </w:rPr>
  </w:style>
  <w:style w:type="paragraph" w:customStyle="1" w:styleId="133">
    <w:name w:val="样式 标题 6 + 左侧:  0 厘米 首行缩进:  0 厘米"/>
    <w:basedOn w:val="8"/>
    <w:qFormat/>
    <w:uiPriority w:val="0"/>
    <w:pPr>
      <w:widowControl/>
      <w:tabs>
        <w:tab w:val="left" w:pos="0"/>
      </w:tabs>
      <w:spacing w:line="317" w:lineRule="auto"/>
      <w:ind w:left="1134" w:hanging="1134"/>
      <w:jc w:val="left"/>
    </w:pPr>
    <w:rPr>
      <w:rFonts w:cs="宋体"/>
    </w:rPr>
  </w:style>
  <w:style w:type="paragraph" w:customStyle="1" w:styleId="134">
    <w:name w:val="信息标题2"/>
    <w:basedOn w:val="14"/>
    <w:next w:val="14"/>
    <w:qFormat/>
    <w:uiPriority w:val="0"/>
    <w:rPr>
      <w:rFonts w:ascii="Arial Black" w:hAnsi="Arial Black"/>
      <w:sz w:val="3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3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39">
    <w:name w:val="Char Char Char"/>
    <w:basedOn w:val="1"/>
    <w:qFormat/>
    <w:uiPriority w:val="0"/>
    <w:rPr>
      <w:rFonts w:ascii="Tahoma" w:hAnsi="Tahoma"/>
      <w:sz w:val="24"/>
    </w:rPr>
  </w:style>
  <w:style w:type="paragraph" w:customStyle="1" w:styleId="140">
    <w:name w:val="表格标题(居中)"/>
    <w:basedOn w:val="1"/>
    <w:qFormat/>
    <w:uiPriority w:val="0"/>
    <w:pPr>
      <w:snapToGrid w:val="0"/>
      <w:spacing w:line="300" w:lineRule="auto"/>
      <w:ind w:firstLine="454"/>
      <w:jc w:val="center"/>
    </w:pPr>
    <w:rPr>
      <w:rFonts w:ascii="宋体" w:eastAsia="黑体"/>
      <w:sz w:val="24"/>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43">
    <w:name w:val="纯文本2"/>
    <w:basedOn w:val="1"/>
    <w:qFormat/>
    <w:uiPriority w:val="0"/>
    <w:rPr>
      <w:rFonts w:ascii="宋体" w:hAnsi="Courier New"/>
    </w:rPr>
  </w:style>
  <w:style w:type="paragraph" w:customStyle="1" w:styleId="14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45">
    <w:name w:val="表格文字"/>
    <w:basedOn w:val="1"/>
    <w:qFormat/>
    <w:uiPriority w:val="0"/>
    <w:pPr>
      <w:spacing w:beforeLines="25" w:afterLines="25"/>
    </w:pPr>
    <w:rPr>
      <w:spacing w:val="10"/>
      <w:szCs w:val="24"/>
    </w:rPr>
  </w:style>
  <w:style w:type="paragraph" w:customStyle="1" w:styleId="146">
    <w:name w:val="正文文本缩进 31"/>
    <w:basedOn w:val="1"/>
    <w:qFormat/>
    <w:uiPriority w:val="0"/>
    <w:pPr>
      <w:spacing w:line="360" w:lineRule="auto"/>
      <w:ind w:firstLine="425"/>
    </w:pPr>
    <w:rPr>
      <w:rFonts w:ascii="宋体"/>
    </w:rPr>
  </w:style>
  <w:style w:type="paragraph" w:customStyle="1" w:styleId="1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8">
    <w:name w:val="正文文本缩进 21"/>
    <w:basedOn w:val="1"/>
    <w:qFormat/>
    <w:uiPriority w:val="0"/>
    <w:pPr>
      <w:spacing w:after="120" w:line="480" w:lineRule="auto"/>
      <w:ind w:left="420" w:leftChars="200" w:firstLine="454"/>
    </w:pPr>
    <w:rPr>
      <w:rFonts w:ascii="宋体"/>
    </w:rPr>
  </w:style>
  <w:style w:type="paragraph" w:customStyle="1" w:styleId="149">
    <w:name w:val="列表 51"/>
    <w:basedOn w:val="1"/>
    <w:qFormat/>
    <w:uiPriority w:val="0"/>
    <w:pPr>
      <w:widowControl/>
      <w:spacing w:line="360" w:lineRule="auto"/>
      <w:ind w:left="100" w:leftChars="800" w:hanging="200" w:hangingChars="200"/>
      <w:jc w:val="left"/>
    </w:pPr>
    <w:rPr>
      <w:kern w:val="0"/>
      <w:sz w:val="28"/>
    </w:rPr>
  </w:style>
  <w:style w:type="paragraph" w:customStyle="1" w:styleId="150">
    <w:name w:val="p0"/>
    <w:basedOn w:val="1"/>
    <w:qFormat/>
    <w:uiPriority w:val="0"/>
    <w:pPr>
      <w:widowControl/>
    </w:pPr>
    <w:rPr>
      <w:kern w:val="0"/>
      <w:szCs w:val="21"/>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
    <w:name w:val="表例"/>
    <w:basedOn w:val="6"/>
    <w:qFormat/>
    <w:uiPriority w:val="0"/>
    <w:pPr>
      <w:keepLines/>
      <w:snapToGrid w:val="0"/>
      <w:spacing w:line="360" w:lineRule="auto"/>
      <w:ind w:firstLine="480" w:firstLineChars="200"/>
    </w:pPr>
    <w:rPr>
      <w:rFonts w:hAnsi="Times New Roman"/>
      <w:b/>
      <w:bCs/>
      <w:sz w:val="24"/>
    </w:rPr>
  </w:style>
  <w:style w:type="paragraph" w:customStyle="1" w:styleId="153">
    <w:name w:val="样式 标题 2H2标题 1.1 + 首行缩进:  1.13 厘米"/>
    <w:basedOn w:val="4"/>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54">
    <w:name w:val="--规划正文"/>
    <w:basedOn w:val="1"/>
    <w:qFormat/>
    <w:uiPriority w:val="0"/>
    <w:pPr>
      <w:spacing w:line="360" w:lineRule="auto"/>
      <w:ind w:firstLine="200" w:firstLineChars="200"/>
    </w:pPr>
  </w:style>
  <w:style w:type="paragraph" w:customStyle="1" w:styleId="155">
    <w:name w:val="列表 21"/>
    <w:basedOn w:val="1"/>
    <w:qFormat/>
    <w:uiPriority w:val="0"/>
    <w:pPr>
      <w:spacing w:line="360" w:lineRule="auto"/>
      <w:ind w:left="100" w:leftChars="200" w:hanging="200" w:hangingChars="200"/>
    </w:pPr>
    <w:rPr>
      <w:rFonts w:ascii="宋体"/>
    </w:rPr>
  </w:style>
  <w:style w:type="paragraph" w:customStyle="1" w:styleId="156">
    <w:name w:val="Char Char Char Char Char Char1 Char Char Char Char"/>
    <w:basedOn w:val="1"/>
    <w:qFormat/>
    <w:uiPriority w:val="0"/>
    <w:rPr>
      <w:rFonts w:ascii="Tahoma" w:hAnsi="Tahoma"/>
      <w:sz w:val="24"/>
    </w:rPr>
  </w:style>
  <w:style w:type="paragraph" w:customStyle="1" w:styleId="15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159">
    <w:name w:val="1 Char Char Char Char Char Char Char"/>
    <w:basedOn w:val="1"/>
    <w:qFormat/>
    <w:uiPriority w:val="0"/>
    <w:rPr>
      <w:sz w:val="30"/>
    </w:rPr>
  </w:style>
  <w:style w:type="paragraph" w:customStyle="1" w:styleId="160">
    <w:name w:val="样式4"/>
    <w:basedOn w:val="1"/>
    <w:qFormat/>
    <w:uiPriority w:val="0"/>
    <w:pPr>
      <w:tabs>
        <w:tab w:val="left" w:pos="1320"/>
      </w:tabs>
      <w:spacing w:line="360" w:lineRule="auto"/>
      <w:ind w:left="1320" w:hanging="420"/>
    </w:pPr>
    <w:rPr>
      <w:bCs/>
      <w:szCs w:val="24"/>
    </w:rPr>
  </w:style>
  <w:style w:type="paragraph" w:customStyle="1" w:styleId="16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2">
    <w:name w:val="6表"/>
    <w:basedOn w:val="1"/>
    <w:qFormat/>
    <w:uiPriority w:val="0"/>
    <w:pPr>
      <w:textAlignment w:val="baseline"/>
    </w:pPr>
    <w:rPr>
      <w:kern w:val="0"/>
      <w:sz w:val="24"/>
      <w:szCs w:val="24"/>
    </w:rPr>
  </w:style>
  <w:style w:type="paragraph" w:customStyle="1" w:styleId="163">
    <w:name w:val="Char Char Char Char"/>
    <w:basedOn w:val="1"/>
    <w:qFormat/>
    <w:uiPriority w:val="0"/>
    <w:rPr>
      <w:szCs w:val="24"/>
    </w:rPr>
  </w:style>
  <w:style w:type="paragraph" w:customStyle="1" w:styleId="16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65">
    <w:name w:val="列出段落2"/>
    <w:basedOn w:val="1"/>
    <w:qFormat/>
    <w:uiPriority w:val="0"/>
    <w:pPr>
      <w:spacing w:line="360" w:lineRule="auto"/>
      <w:ind w:firstLine="420" w:firstLineChars="200"/>
    </w:pPr>
    <w:rPr>
      <w:rFonts w:ascii="宋体"/>
    </w:rPr>
  </w:style>
  <w:style w:type="paragraph" w:customStyle="1" w:styleId="166">
    <w:name w:val="列表接续 51"/>
    <w:basedOn w:val="1"/>
    <w:qFormat/>
    <w:uiPriority w:val="0"/>
    <w:pPr>
      <w:widowControl/>
      <w:spacing w:after="120" w:line="360" w:lineRule="auto"/>
      <w:ind w:left="2100" w:leftChars="1000"/>
      <w:jc w:val="left"/>
    </w:pPr>
    <w:rPr>
      <w:kern w:val="0"/>
      <w:sz w:val="28"/>
    </w:rPr>
  </w:style>
  <w:style w:type="paragraph" w:customStyle="1" w:styleId="1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TT1"/>
    <w:basedOn w:val="1"/>
    <w:qFormat/>
    <w:uiPriority w:val="0"/>
    <w:rPr>
      <w:rFonts w:ascii="宋体"/>
      <w:b/>
      <w:sz w:val="28"/>
    </w:rPr>
  </w:style>
  <w:style w:type="paragraph" w:customStyle="1" w:styleId="171">
    <w:name w:val="引文目录标题1"/>
    <w:basedOn w:val="1"/>
    <w:next w:val="1"/>
    <w:qFormat/>
    <w:uiPriority w:val="0"/>
    <w:pPr>
      <w:spacing w:before="120" w:after="60" w:line="360" w:lineRule="auto"/>
    </w:pPr>
    <w:rPr>
      <w:rFonts w:ascii="Arial" w:hAnsi="Arial"/>
    </w:rPr>
  </w:style>
  <w:style w:type="paragraph" w:customStyle="1" w:styleId="172">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173">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74">
    <w:name w:val="批注主题1"/>
    <w:basedOn w:val="18"/>
    <w:next w:val="18"/>
    <w:qFormat/>
    <w:uiPriority w:val="0"/>
    <w:pPr>
      <w:spacing w:line="360" w:lineRule="auto"/>
      <w:ind w:firstLine="454"/>
    </w:pPr>
    <w:rPr>
      <w:rFonts w:ascii="宋体"/>
      <w:b/>
      <w:bCs/>
      <w:sz w:val="24"/>
    </w:rPr>
  </w:style>
  <w:style w:type="paragraph" w:customStyle="1" w:styleId="175">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1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8">
    <w:name w:val="表正文"/>
    <w:basedOn w:val="1"/>
    <w:next w:val="20"/>
    <w:qFormat/>
    <w:uiPriority w:val="0"/>
    <w:rPr>
      <w:sz w:val="18"/>
      <w:szCs w:val="24"/>
    </w:rPr>
  </w:style>
  <w:style w:type="paragraph" w:customStyle="1" w:styleId="179">
    <w:name w:val="样式 标题 2 +"/>
    <w:basedOn w:val="4"/>
    <w:qFormat/>
    <w:uiPriority w:val="0"/>
    <w:pPr>
      <w:keepLines w:val="0"/>
      <w:widowControl/>
      <w:tabs>
        <w:tab w:val="left" w:pos="567"/>
      </w:tabs>
      <w:spacing w:before="240" w:after="60" w:line="240" w:lineRule="auto"/>
      <w:jc w:val="left"/>
    </w:pPr>
    <w:rPr>
      <w:rFonts w:ascii="Cambria" w:hAnsi="Cambria" w:eastAsia="宋体"/>
      <w:i/>
      <w:iCs/>
      <w:kern w:val="0"/>
      <w:sz w:val="32"/>
      <w:szCs w:val="32"/>
    </w:rPr>
  </w:style>
  <w:style w:type="paragraph" w:customStyle="1" w:styleId="18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1">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82">
    <w:name w:val="二级条标题"/>
    <w:basedOn w:val="180"/>
    <w:next w:val="1"/>
    <w:qFormat/>
    <w:uiPriority w:val="0"/>
  </w:style>
  <w:style w:type="paragraph" w:customStyle="1" w:styleId="183">
    <w:name w:val="图名"/>
    <w:basedOn w:val="1"/>
    <w:next w:val="1"/>
    <w:qFormat/>
    <w:uiPriority w:val="0"/>
    <w:pPr>
      <w:spacing w:line="360" w:lineRule="auto"/>
      <w:jc w:val="center"/>
    </w:pPr>
    <w:rPr>
      <w:rFonts w:ascii="宋体"/>
      <w:b/>
      <w:sz w:val="28"/>
    </w:rPr>
  </w:style>
  <w:style w:type="paragraph" w:customStyle="1" w:styleId="18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5">
    <w:name w:val="五级条标题"/>
    <w:basedOn w:val="186"/>
    <w:next w:val="1"/>
    <w:qFormat/>
    <w:uiPriority w:val="0"/>
    <w:pPr>
      <w:outlineLvl w:val="6"/>
    </w:pPr>
  </w:style>
  <w:style w:type="paragraph" w:customStyle="1" w:styleId="186">
    <w:name w:val="四级条标题"/>
    <w:basedOn w:val="187"/>
    <w:next w:val="1"/>
    <w:qFormat/>
    <w:uiPriority w:val="0"/>
    <w:pPr>
      <w:outlineLvl w:val="5"/>
    </w:pPr>
  </w:style>
  <w:style w:type="paragraph" w:customStyle="1" w:styleId="187">
    <w:name w:val="三级条标题"/>
    <w:basedOn w:val="182"/>
    <w:next w:val="1"/>
    <w:qFormat/>
    <w:uiPriority w:val="0"/>
    <w:pPr>
      <w:outlineLvl w:val="4"/>
    </w:pPr>
  </w:style>
  <w:style w:type="paragraph" w:customStyle="1" w:styleId="188">
    <w:name w:val="statenumter"/>
    <w:basedOn w:val="1"/>
    <w:qFormat/>
    <w:uiPriority w:val="0"/>
    <w:pPr>
      <w:adjustRightInd w:val="0"/>
      <w:spacing w:line="360" w:lineRule="auto"/>
    </w:pPr>
    <w:rPr>
      <w:rFonts w:hint="eastAsia" w:ascii="宋体"/>
      <w:kern w:val="0"/>
    </w:rPr>
  </w:style>
  <w:style w:type="paragraph" w:customStyle="1" w:styleId="189">
    <w:name w:val="正文文本 21"/>
    <w:basedOn w:val="1"/>
    <w:qFormat/>
    <w:uiPriority w:val="0"/>
    <w:pPr>
      <w:spacing w:line="360" w:lineRule="auto"/>
    </w:pPr>
    <w:rPr>
      <w:rFonts w:ascii="宋体"/>
      <w:color w:val="333399"/>
    </w:rPr>
  </w:style>
  <w:style w:type="paragraph" w:customStyle="1" w:styleId="190">
    <w:name w:val="样式 标题 2 + 宋体"/>
    <w:basedOn w:val="4"/>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19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2">
    <w:name w:val="样式 宋体 小四"/>
    <w:basedOn w:val="1"/>
    <w:qFormat/>
    <w:uiPriority w:val="0"/>
    <w:pPr>
      <w:spacing w:line="360" w:lineRule="auto"/>
      <w:ind w:firstLine="480" w:firstLineChars="200"/>
    </w:pPr>
    <w:rPr>
      <w:rFonts w:ascii="宋体" w:hAnsi="宋体" w:cs="宋体"/>
      <w:sz w:val="24"/>
    </w:rPr>
  </w:style>
  <w:style w:type="paragraph" w:customStyle="1" w:styleId="193">
    <w:name w:val="Char Char1 Char"/>
    <w:basedOn w:val="194"/>
    <w:qFormat/>
    <w:uiPriority w:val="0"/>
    <w:pPr>
      <w:spacing w:line="240" w:lineRule="auto"/>
      <w:ind w:firstLine="0"/>
    </w:pPr>
  </w:style>
  <w:style w:type="paragraph" w:customStyle="1" w:styleId="194">
    <w:name w:val="文档结构图1"/>
    <w:basedOn w:val="1"/>
    <w:qFormat/>
    <w:uiPriority w:val="0"/>
    <w:pPr>
      <w:shd w:val="clear" w:color="auto" w:fill="000080"/>
      <w:spacing w:line="360" w:lineRule="auto"/>
      <w:ind w:firstLine="454"/>
    </w:pPr>
    <w:rPr>
      <w:rFonts w:ascii="宋体"/>
    </w:rPr>
  </w:style>
  <w:style w:type="paragraph" w:customStyle="1" w:styleId="19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6">
    <w:name w:val="箭头列表1（Alt+Q）"/>
    <w:basedOn w:val="1"/>
    <w:qFormat/>
    <w:uiPriority w:val="0"/>
    <w:pPr>
      <w:tabs>
        <w:tab w:val="left" w:pos="1110"/>
      </w:tabs>
      <w:spacing w:line="360" w:lineRule="auto"/>
      <w:ind w:left="1110" w:hanging="600"/>
    </w:pPr>
    <w:rPr>
      <w:rFonts w:ascii="宋体"/>
    </w:rPr>
  </w:style>
  <w:style w:type="paragraph" w:customStyle="1" w:styleId="197">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98">
    <w:name w:val="签名 - 公司"/>
    <w:basedOn w:val="33"/>
    <w:next w:val="19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9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00">
    <w:name w:val="样式 标准正文 + 加粗"/>
    <w:basedOn w:val="66"/>
    <w:qFormat/>
    <w:uiPriority w:val="0"/>
    <w:rPr>
      <w:b/>
      <w:bCs/>
    </w:rPr>
  </w:style>
  <w:style w:type="paragraph" w:customStyle="1" w:styleId="201">
    <w:name w:val="1111 Char Char Char Char"/>
    <w:basedOn w:val="1"/>
    <w:qFormat/>
    <w:uiPriority w:val="0"/>
    <w:pPr>
      <w:spacing w:line="360" w:lineRule="auto"/>
      <w:ind w:firstLine="560" w:firstLineChars="200"/>
    </w:pPr>
    <w:rPr>
      <w:rFonts w:ascii="宋体"/>
      <w:sz w:val="28"/>
      <w:szCs w:val="28"/>
    </w:rPr>
  </w:style>
  <w:style w:type="paragraph" w:customStyle="1" w:styleId="202">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3">
    <w:name w:val="Char1 Char Char Char"/>
    <w:basedOn w:val="1"/>
    <w:qFormat/>
    <w:uiPriority w:val="0"/>
    <w:pPr>
      <w:ind w:firstLine="357" w:firstLineChars="170"/>
    </w:pPr>
    <w:rPr>
      <w:rFonts w:ascii="Tahoma" w:hAnsi="Tahoma"/>
    </w:rPr>
  </w:style>
  <w:style w:type="paragraph" w:customStyle="1" w:styleId="204">
    <w:name w:val="正文顶格缩进"/>
    <w:basedOn w:val="1"/>
    <w:qFormat/>
    <w:uiPriority w:val="0"/>
    <w:pPr>
      <w:spacing w:line="360" w:lineRule="auto"/>
      <w:ind w:left="510"/>
    </w:pPr>
    <w:rPr>
      <w:rFonts w:ascii="宋体"/>
    </w:rPr>
  </w:style>
  <w:style w:type="paragraph" w:customStyle="1" w:styleId="205">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6">
    <w:name w:val="圆点列表2"/>
    <w:basedOn w:val="207"/>
    <w:qFormat/>
    <w:uiPriority w:val="0"/>
    <w:pPr>
      <w:tabs>
        <w:tab w:val="left" w:pos="360"/>
      </w:tabs>
      <w:ind w:left="867" w:hanging="357"/>
    </w:pPr>
  </w:style>
  <w:style w:type="paragraph" w:customStyle="1" w:styleId="207">
    <w:name w:val="圆点列表1（Alt+A）"/>
    <w:basedOn w:val="1"/>
    <w:qFormat/>
    <w:uiPriority w:val="0"/>
    <w:pPr>
      <w:tabs>
        <w:tab w:val="left" w:pos="360"/>
      </w:tabs>
      <w:spacing w:line="360" w:lineRule="auto"/>
      <w:ind w:firstLine="454"/>
    </w:pPr>
    <w:rPr>
      <w:rFonts w:ascii="宋体"/>
    </w:rPr>
  </w:style>
  <w:style w:type="paragraph" w:customStyle="1" w:styleId="208">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0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10">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11">
    <w:name w:val="_Style 20"/>
    <w:basedOn w:val="1"/>
    <w:next w:val="21"/>
    <w:qFormat/>
    <w:uiPriority w:val="0"/>
    <w:pPr>
      <w:tabs>
        <w:tab w:val="left" w:pos="5250"/>
      </w:tabs>
    </w:pPr>
    <w:rPr>
      <w:sz w:val="28"/>
    </w:rPr>
  </w:style>
  <w:style w:type="paragraph" w:customStyle="1" w:styleId="212">
    <w:name w:val="小标题"/>
    <w:basedOn w:val="1"/>
    <w:next w:val="2"/>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3">
    <w:name w:val="Char Char Char1 Char"/>
    <w:basedOn w:val="1"/>
    <w:qFormat/>
    <w:uiPriority w:val="0"/>
    <w:rPr>
      <w:rFonts w:ascii="Tahoma" w:hAnsi="Tahoma" w:cs="仿宋_GB2312"/>
      <w:sz w:val="24"/>
    </w:rPr>
  </w:style>
  <w:style w:type="paragraph" w:customStyle="1" w:styleId="214">
    <w:name w:val="Table"/>
    <w:qFormat/>
    <w:uiPriority w:val="0"/>
    <w:rPr>
      <w:rFonts w:ascii="Times New Roman" w:hAnsi="Times New Roman" w:eastAsia="宋体" w:cs="Times New Roman"/>
      <w:sz w:val="21"/>
      <w:lang w:val="en-US" w:eastAsia="en-US" w:bidi="ar-SA"/>
    </w:rPr>
  </w:style>
  <w:style w:type="paragraph" w:customStyle="1" w:styleId="2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18">
    <w:name w:val="正文缩进2"/>
    <w:basedOn w:val="1"/>
    <w:qFormat/>
    <w:uiPriority w:val="0"/>
    <w:pPr>
      <w:spacing w:line="360" w:lineRule="auto"/>
      <w:ind w:left="510" w:firstLine="454"/>
    </w:pPr>
    <w:rPr>
      <w:rFonts w:ascii="宋体"/>
    </w:rPr>
  </w:style>
  <w:style w:type="paragraph" w:customStyle="1" w:styleId="219">
    <w:name w:val="表格栏头"/>
    <w:basedOn w:val="131"/>
    <w:next w:val="131"/>
    <w:qFormat/>
    <w:uiPriority w:val="0"/>
    <w:rPr>
      <w:b/>
    </w:rPr>
  </w:style>
  <w:style w:type="paragraph" w:customStyle="1" w:styleId="22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21">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2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2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24">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25">
    <w:name w:val="Char Char Char1"/>
    <w:basedOn w:val="16"/>
    <w:qFormat/>
    <w:uiPriority w:val="0"/>
    <w:pPr>
      <w:spacing w:line="360" w:lineRule="auto"/>
      <w:ind w:firstLine="454"/>
    </w:pPr>
    <w:rPr>
      <w:rFonts w:ascii="宋体"/>
    </w:rPr>
  </w:style>
  <w:style w:type="paragraph" w:customStyle="1" w:styleId="226">
    <w:name w:val="*正文"/>
    <w:basedOn w:val="1"/>
    <w:qFormat/>
    <w:uiPriority w:val="0"/>
    <w:pPr>
      <w:widowControl/>
      <w:ind w:firstLine="200" w:firstLineChars="200"/>
    </w:pPr>
    <w:rPr>
      <w:rFonts w:ascii="仿宋_GB2312" w:eastAsia="仿宋_GB2312"/>
      <w:sz w:val="24"/>
      <w:szCs w:val="28"/>
    </w:rPr>
  </w:style>
  <w:style w:type="paragraph" w:customStyle="1" w:styleId="227">
    <w:name w:val="正文文本 31"/>
    <w:basedOn w:val="1"/>
    <w:qFormat/>
    <w:uiPriority w:val="0"/>
    <w:pPr>
      <w:spacing w:line="360" w:lineRule="auto"/>
      <w:jc w:val="center"/>
    </w:pPr>
    <w:rPr>
      <w:rFonts w:ascii="黑体" w:eastAsia="黑体"/>
      <w:color w:val="FF0000"/>
    </w:rPr>
  </w:style>
  <w:style w:type="paragraph" w:customStyle="1" w:styleId="228">
    <w:name w:val="标题 2标题"/>
    <w:basedOn w:val="46"/>
    <w:next w:val="46"/>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29">
    <w:name w:val="标号"/>
    <w:basedOn w:val="1"/>
    <w:qFormat/>
    <w:uiPriority w:val="0"/>
    <w:pPr>
      <w:tabs>
        <w:tab w:val="left" w:pos="644"/>
      </w:tabs>
      <w:spacing w:line="360" w:lineRule="auto"/>
      <w:ind w:left="420" w:hanging="136"/>
    </w:p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1">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3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Char1"/>
    <w:basedOn w:val="16"/>
    <w:qFormat/>
    <w:uiPriority w:val="0"/>
    <w:rPr>
      <w:rFonts w:ascii="Tahoma" w:hAnsi="Tahoma"/>
      <w:sz w:val="24"/>
      <w:szCs w:val="24"/>
    </w:rPr>
  </w:style>
  <w:style w:type="paragraph" w:customStyle="1" w:styleId="234">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8">
    <w:name w:val="日期1"/>
    <w:basedOn w:val="1"/>
    <w:next w:val="1"/>
    <w:qFormat/>
    <w:uiPriority w:val="0"/>
    <w:pPr>
      <w:spacing w:line="360" w:lineRule="auto"/>
      <w:ind w:left="100" w:leftChars="2500" w:firstLine="454"/>
    </w:pPr>
    <w:rPr>
      <w:rFonts w:ascii="宋体"/>
      <w:color w:val="0000FF"/>
      <w:sz w:val="30"/>
    </w:rPr>
  </w:style>
  <w:style w:type="paragraph" w:customStyle="1" w:styleId="239">
    <w:name w:val="正文小四"/>
    <w:basedOn w:val="2"/>
    <w:qFormat/>
    <w:uiPriority w:val="0"/>
    <w:pPr>
      <w:spacing w:line="360" w:lineRule="auto"/>
      <w:ind w:firstLine="480" w:firstLineChars="200"/>
    </w:pPr>
    <w:rPr>
      <w:sz w:val="24"/>
      <w:szCs w:val="24"/>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表格4"/>
    <w:basedOn w:val="132"/>
    <w:qFormat/>
    <w:uiPriority w:val="0"/>
    <w:pPr>
      <w:adjustRightInd w:val="0"/>
      <w:snapToGrid w:val="0"/>
      <w:jc w:val="both"/>
    </w:pPr>
    <w:rPr>
      <w:rFonts w:ascii="Times New Roman"/>
      <w:color w:val="auto"/>
      <w:spacing w:val="-10"/>
      <w:sz w:val="20"/>
    </w:rPr>
  </w:style>
  <w:style w:type="paragraph" w:customStyle="1" w:styleId="242">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43">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44">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47">
    <w:name w:val="font7"/>
    <w:basedOn w:val="1"/>
    <w:qFormat/>
    <w:uiPriority w:val="0"/>
    <w:pPr>
      <w:widowControl/>
      <w:spacing w:before="100" w:beforeAutospacing="1" w:after="100" w:afterAutospacing="1"/>
      <w:jc w:val="left"/>
    </w:pPr>
    <w:rPr>
      <w:kern w:val="0"/>
      <w:sz w:val="22"/>
      <w:szCs w:val="22"/>
    </w:rPr>
  </w:style>
  <w:style w:type="paragraph" w:styleId="248">
    <w:name w:val="List Paragraph"/>
    <w:basedOn w:val="1"/>
    <w:qFormat/>
    <w:uiPriority w:val="34"/>
    <w:pPr>
      <w:snapToGrid w:val="0"/>
      <w:spacing w:line="360" w:lineRule="auto"/>
      <w:ind w:firstLine="420" w:firstLineChars="200"/>
    </w:pPr>
    <w:rPr>
      <w:sz w:val="24"/>
    </w:rPr>
  </w:style>
  <w:style w:type="paragraph" w:customStyle="1" w:styleId="249">
    <w:name w:val="版权"/>
    <w:basedOn w:val="1"/>
    <w:qFormat/>
    <w:uiPriority w:val="0"/>
    <w:pPr>
      <w:spacing w:before="312" w:after="312"/>
      <w:ind w:firstLine="480"/>
      <w:jc w:val="center"/>
      <w:outlineLvl w:val="0"/>
    </w:pPr>
    <w:rPr>
      <w:rFonts w:ascii="华文中宋" w:hAnsi="华文中宋"/>
      <w:b/>
      <w:sz w:val="24"/>
    </w:rPr>
  </w:style>
  <w:style w:type="paragraph" w:customStyle="1" w:styleId="250">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2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5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5">
    <w:name w:val="PTSS Normal Char Char1 Char Char"/>
    <w:basedOn w:val="1"/>
    <w:qFormat/>
    <w:uiPriority w:val="0"/>
    <w:pPr>
      <w:widowControl/>
      <w:spacing w:before="240" w:after="120" w:line="288" w:lineRule="auto"/>
      <w:ind w:firstLine="420"/>
      <w:jc w:val="left"/>
    </w:pPr>
    <w:rPr>
      <w:szCs w:val="24"/>
    </w:rPr>
  </w:style>
  <w:style w:type="paragraph" w:customStyle="1" w:styleId="256">
    <w:name w:val="汇总"/>
    <w:basedOn w:val="1"/>
    <w:next w:val="3"/>
    <w:qFormat/>
    <w:uiPriority w:val="0"/>
    <w:pPr>
      <w:adjustRightInd w:val="0"/>
      <w:spacing w:line="360" w:lineRule="atLeast"/>
      <w:jc w:val="left"/>
      <w:textAlignment w:val="baseline"/>
    </w:pPr>
    <w:rPr>
      <w:kern w:val="0"/>
      <w:sz w:val="24"/>
    </w:rPr>
  </w:style>
  <w:style w:type="paragraph" w:customStyle="1" w:styleId="257">
    <w:name w:val="样式 样式 行距: 1.5 倍行距3 + 首行缩进: 2字符"/>
    <w:basedOn w:val="1"/>
    <w:next w:val="148"/>
    <w:qFormat/>
    <w:uiPriority w:val="0"/>
    <w:pPr>
      <w:spacing w:after="120" w:line="360" w:lineRule="auto"/>
      <w:ind w:firstLine="240" w:firstLineChars="100"/>
    </w:pPr>
  </w:style>
  <w:style w:type="paragraph" w:customStyle="1" w:styleId="258">
    <w:name w:val="Char Char Char Char Char Char Char"/>
    <w:basedOn w:val="194"/>
    <w:qFormat/>
    <w:uiPriority w:val="0"/>
    <w:pPr>
      <w:spacing w:line="240" w:lineRule="auto"/>
      <w:ind w:firstLine="0"/>
    </w:pPr>
    <w:rPr>
      <w:rFonts w:ascii="Tahoma" w:hAnsi="Tahoma"/>
      <w:sz w:val="24"/>
      <w:szCs w:val="24"/>
    </w:rPr>
  </w:style>
  <w:style w:type="paragraph" w:customStyle="1" w:styleId="259">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60">
    <w:name w:val="Char Char1 Char Char Char Char"/>
    <w:basedOn w:val="1"/>
    <w:qFormat/>
    <w:uiPriority w:val="0"/>
    <w:rPr>
      <w:rFonts w:ascii="Tahoma" w:hAnsi="Tahoma"/>
      <w:sz w:val="24"/>
      <w:szCs w:val="24"/>
    </w:rPr>
  </w:style>
  <w:style w:type="paragraph" w:customStyle="1" w:styleId="261">
    <w:name w:val="正文标题"/>
    <w:basedOn w:val="1"/>
    <w:qFormat/>
    <w:uiPriority w:val="0"/>
    <w:pPr>
      <w:spacing w:before="120" w:line="360" w:lineRule="auto"/>
      <w:ind w:firstLine="482" w:firstLineChars="200"/>
    </w:pPr>
    <w:rPr>
      <w:rFonts w:cs="宋体"/>
      <w:b/>
      <w:bCs/>
      <w:sz w:val="24"/>
    </w:rPr>
  </w:style>
  <w:style w:type="paragraph" w:customStyle="1" w:styleId="262">
    <w:name w:val="Char12"/>
    <w:basedOn w:val="1"/>
    <w:qFormat/>
    <w:uiPriority w:val="0"/>
    <w:rPr>
      <w:sz w:val="24"/>
      <w:szCs w:val="24"/>
    </w:rPr>
  </w:style>
  <w:style w:type="paragraph" w:customStyle="1" w:styleId="263">
    <w:name w:val="样式 小四 首行缩进:  2 字符"/>
    <w:basedOn w:val="1"/>
    <w:qFormat/>
    <w:uiPriority w:val="0"/>
    <w:pPr>
      <w:spacing w:line="360" w:lineRule="auto"/>
      <w:ind w:left="480"/>
    </w:pPr>
  </w:style>
  <w:style w:type="paragraph" w:customStyle="1" w:styleId="26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5">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6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67">
    <w:name w:val="文本块1"/>
    <w:basedOn w:val="1"/>
    <w:qFormat/>
    <w:uiPriority w:val="0"/>
    <w:pPr>
      <w:spacing w:after="120" w:line="360" w:lineRule="auto"/>
      <w:ind w:left="1440" w:right="1440" w:firstLine="454"/>
    </w:pPr>
    <w:rPr>
      <w:rFonts w:ascii="宋体"/>
    </w:rPr>
  </w:style>
  <w:style w:type="paragraph" w:customStyle="1" w:styleId="268">
    <w:name w:val="样式 标题 2H2h2l22nd level2Header 2UNDERRUBRIK 1-2 + Arial 段..."/>
    <w:basedOn w:val="4"/>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69">
    <w:name w:val="移动五期"/>
    <w:basedOn w:val="1"/>
    <w:qFormat/>
    <w:uiPriority w:val="0"/>
    <w:pPr>
      <w:spacing w:line="360" w:lineRule="auto"/>
      <w:ind w:firstLine="454"/>
    </w:pPr>
    <w:rPr>
      <w:rFonts w:ascii="宋体"/>
      <w:sz w:val="24"/>
    </w:rPr>
  </w:style>
  <w:style w:type="paragraph" w:customStyle="1" w:styleId="27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qptext"/>
    <w:basedOn w:val="1"/>
    <w:qFormat/>
    <w:uiPriority w:val="0"/>
    <w:pPr>
      <w:adjustRightInd w:val="0"/>
      <w:snapToGrid w:val="0"/>
      <w:spacing w:before="60" w:after="60" w:line="360" w:lineRule="auto"/>
      <w:jc w:val="left"/>
    </w:pPr>
    <w:rPr>
      <w:rFonts w:ascii="宋体"/>
      <w:sz w:val="24"/>
    </w:rPr>
  </w:style>
  <w:style w:type="paragraph" w:customStyle="1" w:styleId="27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73">
    <w:name w:val="样式 宋体 小四 段后: 7.8 磅 行距: 固定值 25 磅1"/>
    <w:basedOn w:val="4"/>
    <w:next w:val="4"/>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6">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7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79">
    <w:name w:val="圆点列表3（Alt+D）"/>
    <w:basedOn w:val="206"/>
    <w:qFormat/>
    <w:uiPriority w:val="0"/>
    <w:pPr>
      <w:tabs>
        <w:tab w:val="clear" w:pos="360"/>
      </w:tabs>
      <w:ind w:left="1378"/>
    </w:pPr>
  </w:style>
  <w:style w:type="paragraph" w:customStyle="1" w:styleId="28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81">
    <w:name w:val="箭头列表3（Alt+E）"/>
    <w:basedOn w:val="282"/>
    <w:qFormat/>
    <w:uiPriority w:val="0"/>
    <w:pPr>
      <w:tabs>
        <w:tab w:val="left" w:pos="425"/>
      </w:tabs>
      <w:ind w:left="1446"/>
    </w:pPr>
  </w:style>
  <w:style w:type="paragraph" w:customStyle="1" w:styleId="282">
    <w:name w:val="箭头列表2（Alt+W）"/>
    <w:basedOn w:val="196"/>
    <w:qFormat/>
    <w:uiPriority w:val="0"/>
    <w:pPr>
      <w:tabs>
        <w:tab w:val="left" w:pos="425"/>
        <w:tab w:val="clear" w:pos="1110"/>
      </w:tabs>
      <w:ind w:left="425" w:hanging="425"/>
    </w:pPr>
  </w:style>
  <w:style w:type="paragraph" w:customStyle="1" w:styleId="283">
    <w:name w:val="正文首行缩进2字"/>
    <w:basedOn w:val="1"/>
    <w:next w:val="1"/>
    <w:qFormat/>
    <w:uiPriority w:val="0"/>
    <w:pPr>
      <w:spacing w:line="360" w:lineRule="auto"/>
      <w:ind w:firstLine="600" w:firstLineChars="200"/>
    </w:pPr>
    <w:rPr>
      <w:rFonts w:cs="Arial"/>
      <w:szCs w:val="30"/>
    </w:rPr>
  </w:style>
  <w:style w:type="paragraph" w:customStyle="1" w:styleId="2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Style First line:  0.35&quot;"/>
    <w:basedOn w:val="1"/>
    <w:qFormat/>
    <w:uiPriority w:val="0"/>
    <w:pPr>
      <w:spacing w:before="60" w:after="60" w:line="360" w:lineRule="auto"/>
      <w:ind w:firstLine="504"/>
    </w:pPr>
    <w:rPr>
      <w:rFonts w:ascii="Arial" w:hAnsi="Arial" w:cs="宋体"/>
      <w:sz w:val="24"/>
    </w:rPr>
  </w:style>
  <w:style w:type="paragraph" w:customStyle="1" w:styleId="287">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8">
    <w:name w:val="表格1粗"/>
    <w:basedOn w:val="132"/>
    <w:qFormat/>
    <w:uiPriority w:val="0"/>
    <w:pPr>
      <w:tabs>
        <w:tab w:val="left" w:pos="2134"/>
      </w:tabs>
      <w:adjustRightInd w:val="0"/>
      <w:snapToGrid w:val="0"/>
    </w:pPr>
    <w:rPr>
      <w:rFonts w:ascii="Times New Roman" w:cs="宋体"/>
      <w:b/>
      <w:color w:val="auto"/>
      <w:szCs w:val="24"/>
    </w:rPr>
  </w:style>
  <w:style w:type="paragraph" w:customStyle="1" w:styleId="28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90">
    <w:name w:val="Char Char7 Char"/>
    <w:basedOn w:val="1"/>
    <w:qFormat/>
    <w:uiPriority w:val="0"/>
    <w:pPr>
      <w:spacing w:line="360" w:lineRule="auto"/>
    </w:pPr>
    <w:rPr>
      <w:rFonts w:ascii="宋体" w:hAnsi="宋体"/>
      <w:sz w:val="22"/>
      <w:szCs w:val="24"/>
    </w:rPr>
  </w:style>
  <w:style w:type="paragraph" w:customStyle="1" w:styleId="291">
    <w:name w:val="样式 标题 1 + 段前: 10 磅 段后: 10 磅 行距: 1.5 倍行距"/>
    <w:basedOn w:val="3"/>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92">
    <w:name w:val=".."/>
    <w:basedOn w:val="275"/>
    <w:next w:val="275"/>
    <w:qFormat/>
    <w:uiPriority w:val="0"/>
    <w:rPr>
      <w:rFonts w:ascii="黑体" w:eastAsia="黑体" w:cs="Times New Roman"/>
      <w:color w:val="auto"/>
    </w:rPr>
  </w:style>
  <w:style w:type="paragraph" w:customStyle="1" w:styleId="293">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9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95">
    <w:name w:val="样式 正文缩进 + 首行缩进:  2 字符 段前: 0.5 行 段后: 0.5 行"/>
    <w:basedOn w:val="2"/>
    <w:qFormat/>
    <w:uiPriority w:val="0"/>
    <w:pPr>
      <w:spacing w:beforeLines="50" w:afterLines="50" w:line="360" w:lineRule="auto"/>
      <w:ind w:firstLine="480" w:firstLineChars="200"/>
    </w:pPr>
    <w:rPr>
      <w:rFonts w:cs="宋体"/>
      <w:sz w:val="24"/>
    </w:rPr>
  </w:style>
  <w:style w:type="paragraph" w:customStyle="1" w:styleId="2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98">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character" w:customStyle="1" w:styleId="299">
    <w:name w:val="font31"/>
    <w:basedOn w:val="52"/>
    <w:qFormat/>
    <w:uiPriority w:val="0"/>
    <w:rPr>
      <w:rFonts w:hint="eastAsia" w:ascii="仿宋" w:hAnsi="仿宋" w:eastAsia="仿宋" w:cs="仿宋"/>
      <w:b/>
      <w:color w:val="FF0000"/>
      <w:sz w:val="24"/>
      <w:szCs w:val="24"/>
      <w:u w:val="none"/>
    </w:rPr>
  </w:style>
  <w:style w:type="character" w:customStyle="1" w:styleId="300">
    <w:name w:val="font91"/>
    <w:basedOn w:val="52"/>
    <w:qFormat/>
    <w:uiPriority w:val="0"/>
    <w:rPr>
      <w:rFonts w:hint="eastAsia" w:ascii="仿宋" w:hAnsi="仿宋" w:eastAsia="仿宋" w:cs="仿宋"/>
      <w:color w:val="000000"/>
      <w:sz w:val="24"/>
      <w:szCs w:val="24"/>
      <w:u w:val="none"/>
    </w:rPr>
  </w:style>
  <w:style w:type="character" w:customStyle="1" w:styleId="301">
    <w:name w:val="font41"/>
    <w:basedOn w:val="52"/>
    <w:qFormat/>
    <w:uiPriority w:val="0"/>
    <w:rPr>
      <w:rFonts w:hint="eastAsia" w:ascii="仿宋" w:hAnsi="仿宋" w:eastAsia="仿宋" w:cs="仿宋"/>
      <w:b/>
      <w:color w:val="FF0000"/>
      <w:sz w:val="24"/>
      <w:szCs w:val="24"/>
      <w:u w:val="single"/>
    </w:rPr>
  </w:style>
  <w:style w:type="character" w:customStyle="1" w:styleId="302">
    <w:name w:val="font101"/>
    <w:basedOn w:val="52"/>
    <w:qFormat/>
    <w:uiPriority w:val="0"/>
    <w:rPr>
      <w:rFonts w:hint="eastAsia" w:ascii="仿宋" w:hAnsi="仿宋" w:eastAsia="仿宋" w:cs="仿宋"/>
      <w:color w:val="000000"/>
      <w:sz w:val="24"/>
      <w:szCs w:val="24"/>
      <w:u w:val="none"/>
    </w:rPr>
  </w:style>
  <w:style w:type="character" w:customStyle="1" w:styleId="303">
    <w:name w:val="font112"/>
    <w:basedOn w:val="52"/>
    <w:qFormat/>
    <w:uiPriority w:val="0"/>
    <w:rPr>
      <w:rFonts w:hint="eastAsia" w:ascii="仿宋" w:hAnsi="仿宋" w:eastAsia="仿宋" w:cs="仿宋"/>
      <w:b/>
      <w:color w:val="000000"/>
      <w:sz w:val="24"/>
      <w:szCs w:val="24"/>
      <w:u w:val="single"/>
    </w:rPr>
  </w:style>
  <w:style w:type="character" w:customStyle="1" w:styleId="304">
    <w:name w:val="font51"/>
    <w:basedOn w:val="52"/>
    <w:qFormat/>
    <w:uiPriority w:val="0"/>
    <w:rPr>
      <w:rFonts w:hint="eastAsia" w:ascii="仿宋" w:hAnsi="仿宋" w:eastAsia="仿宋" w:cs="仿宋"/>
      <w:b/>
      <w:color w:val="000000"/>
      <w:sz w:val="24"/>
      <w:szCs w:val="24"/>
      <w:u w:val="none"/>
    </w:rPr>
  </w:style>
  <w:style w:type="character" w:customStyle="1" w:styleId="305">
    <w:name w:val="font71"/>
    <w:basedOn w:val="52"/>
    <w:qFormat/>
    <w:uiPriority w:val="0"/>
    <w:rPr>
      <w:rFonts w:hint="eastAsia" w:ascii="仿宋" w:hAnsi="仿宋" w:eastAsia="仿宋" w:cs="仿宋"/>
      <w:color w:val="000000"/>
      <w:sz w:val="24"/>
      <w:szCs w:val="24"/>
      <w:u w:val="none"/>
    </w:rPr>
  </w:style>
  <w:style w:type="character" w:customStyle="1" w:styleId="306">
    <w:name w:val="font61"/>
    <w:basedOn w:val="52"/>
    <w:qFormat/>
    <w:uiPriority w:val="0"/>
    <w:rPr>
      <w:rFonts w:hint="eastAsia" w:ascii="仿宋" w:hAnsi="仿宋" w:eastAsia="仿宋" w:cs="仿宋"/>
      <w:b/>
      <w:color w:val="000000"/>
      <w:sz w:val="24"/>
      <w:szCs w:val="24"/>
      <w:u w:val="none"/>
    </w:rPr>
  </w:style>
  <w:style w:type="character" w:customStyle="1" w:styleId="307">
    <w:name w:val="font81"/>
    <w:basedOn w:val="52"/>
    <w:qFormat/>
    <w:uiPriority w:val="0"/>
    <w:rPr>
      <w:rFonts w:hint="eastAsia" w:ascii="仿宋" w:hAnsi="仿宋" w:eastAsia="仿宋" w:cs="仿宋"/>
      <w:b/>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31</Pages>
  <Words>2804</Words>
  <Characters>15986</Characters>
  <Lines>133</Lines>
  <Paragraphs>37</Paragraphs>
  <TotalTime>18</TotalTime>
  <ScaleCrop>false</ScaleCrop>
  <LinksUpToDate>false</LinksUpToDate>
  <CharactersWithSpaces>18753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2021-07-20T08:31:00Z</dcterms:created>
  <dc:creator>zw</dc:creator>
  <cp:keywords>FoxChit SOFTWARE SOLUTIONS</cp:keywords>
  <cp:lastModifiedBy>LZ</cp:lastModifiedBy>
  <cp:lastPrinted>2020-11-10T06:46:00Z</cp:lastPrinted>
  <dcterms:modified xsi:type="dcterms:W3CDTF">2021-08-02T06:36:20Z</dcterms:modified>
  <dc:title>26</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