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bookmarkStart w:id="6" w:name="_GoBack"/>
    </w:p>
    <w:p>
      <w:pPr>
        <w:jc w:val="center"/>
        <w:rPr>
          <w:rFonts w:hint="eastAsia" w:eastAsia="黑体"/>
          <w:sz w:val="44"/>
        </w:rPr>
      </w:pPr>
    </w:p>
    <w:p>
      <w:pPr>
        <w:jc w:val="center"/>
        <w:rPr>
          <w:rFonts w:hint="eastAsia" w:eastAsia="黑体"/>
          <w:sz w:val="44"/>
        </w:rPr>
      </w:pPr>
    </w:p>
    <w:p>
      <w:pPr>
        <w:jc w:val="center"/>
        <w:rPr>
          <w:rFonts w:hint="eastAsia" w:eastAsia="黑体"/>
          <w:sz w:val="44"/>
        </w:rPr>
      </w:pPr>
      <w:r>
        <w:rPr>
          <w:rFonts w:hint="eastAsia" w:eastAsia="黑体"/>
          <w:sz w:val="44"/>
        </w:rPr>
        <w:t>广东机场白云信息科技股份有限公司</w:t>
      </w:r>
    </w:p>
    <w:p>
      <w:pPr>
        <w:jc w:val="center"/>
        <w:rPr>
          <w:rFonts w:hint="eastAsia" w:eastAsia="黑体"/>
          <w:sz w:val="44"/>
          <w:lang w:eastAsia="zh-CN"/>
        </w:rPr>
      </w:pPr>
      <w:r>
        <w:rPr>
          <w:rFonts w:hint="eastAsia" w:eastAsia="黑体"/>
          <w:sz w:val="44"/>
          <w:lang w:eastAsia="zh-CN"/>
        </w:rPr>
        <w:t>网络安全攻防实训平台建设项目相关硬件及软件采购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rPr>
        <w:t>网络安全攻防实训平台建设项目相关硬件及软件采购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1.1 项目名称：网络安全攻防实训平台建设项目相关硬件及软件采购</w:t>
      </w:r>
      <w:r>
        <w:rPr>
          <w:rFonts w:hint="eastAsia" w:ascii="宋体" w:hAnsi="宋体" w:cs="宋体"/>
          <w:sz w:val="24"/>
          <w:szCs w:val="24"/>
          <w:lang w:eastAsia="zh-CN"/>
        </w:rPr>
        <w:t>项目</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w:t>
      </w:r>
      <w:r>
        <w:rPr>
          <w:rFonts w:hint="eastAsia" w:ascii="宋体" w:hAnsi="宋体" w:cs="宋体"/>
          <w:sz w:val="24"/>
          <w:szCs w:val="24"/>
          <w:lang w:eastAsia="zh-CN"/>
        </w:rPr>
        <w:t>白云国际</w:t>
      </w:r>
      <w:r>
        <w:rPr>
          <w:rFonts w:hint="eastAsia" w:ascii="宋体" w:hAnsi="宋体" w:cs="宋体"/>
          <w:sz w:val="24"/>
          <w:szCs w:val="24"/>
        </w:rPr>
        <w:t>机场</w:t>
      </w:r>
    </w:p>
    <w:p>
      <w:pPr>
        <w:ind w:firstLine="42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：合同签订后三个月内完成项目交付使用</w:t>
      </w:r>
      <w:r>
        <w:rPr>
          <w:rFonts w:hint="eastAsia"/>
          <w:highlight w:val="none"/>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0"/>
        <w:tblW w:w="10335" w:type="dxa"/>
        <w:jc w:val="center"/>
        <w:tblLayout w:type="fixed"/>
        <w:tblCellMar>
          <w:top w:w="0" w:type="dxa"/>
          <w:left w:w="108" w:type="dxa"/>
          <w:bottom w:w="0" w:type="dxa"/>
          <w:right w:w="108" w:type="dxa"/>
        </w:tblCellMar>
      </w:tblPr>
      <w:tblGrid>
        <w:gridCol w:w="373"/>
        <w:gridCol w:w="1515"/>
        <w:gridCol w:w="3465"/>
        <w:gridCol w:w="390"/>
        <w:gridCol w:w="1365"/>
        <w:gridCol w:w="3227"/>
      </w:tblGrid>
      <w:tr>
        <w:tblPrEx>
          <w:tblCellMar>
            <w:top w:w="0" w:type="dxa"/>
            <w:left w:w="108" w:type="dxa"/>
            <w:bottom w:w="0" w:type="dxa"/>
            <w:right w:w="108" w:type="dxa"/>
          </w:tblCellMar>
        </w:tblPrEx>
        <w:trPr>
          <w:trHeight w:val="673" w:hRule="atLeast"/>
          <w:jc w:val="center"/>
        </w:trPr>
        <w:tc>
          <w:tcPr>
            <w:tcW w:w="373"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51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项目内容</w:t>
            </w:r>
          </w:p>
        </w:tc>
        <w:tc>
          <w:tcPr>
            <w:tcW w:w="346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规格</w:t>
            </w:r>
          </w:p>
        </w:tc>
        <w:tc>
          <w:tcPr>
            <w:tcW w:w="39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eastAsia="zh-CN"/>
              </w:rPr>
              <w:t>单位</w:t>
            </w:r>
          </w:p>
        </w:tc>
        <w:tc>
          <w:tcPr>
            <w:tcW w:w="136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服务期间</w:t>
            </w:r>
          </w:p>
        </w:tc>
        <w:tc>
          <w:tcPr>
            <w:tcW w:w="3227"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备注</w:t>
            </w:r>
          </w:p>
        </w:tc>
      </w:tr>
      <w:tr>
        <w:tblPrEx>
          <w:tblCellMar>
            <w:top w:w="0" w:type="dxa"/>
            <w:left w:w="108" w:type="dxa"/>
            <w:bottom w:w="0" w:type="dxa"/>
            <w:right w:w="108" w:type="dxa"/>
          </w:tblCellMar>
        </w:tblPrEx>
        <w:trPr>
          <w:trHeight w:val="3921" w:hRule="atLeast"/>
          <w:jc w:val="center"/>
        </w:trPr>
        <w:tc>
          <w:tcPr>
            <w:tcW w:w="3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jc w:val="center"/>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网络安全攻防实训平台建设项目相关硬件及软件采购</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Chars="0"/>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1.硬件设备：2台硬件定制化服务器设备；</w:t>
            </w:r>
          </w:p>
          <w:p>
            <w:pPr>
              <w:widowControl/>
              <w:numPr>
                <w:ilvl w:val="0"/>
                <w:numId w:val="0"/>
              </w:numPr>
              <w:ind w:leftChars="0"/>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2.建立同时支持20人在线的攻防实训平台，包括综合管理模块、资源库模块、教学培训模块、考核检验模块；</w:t>
            </w:r>
          </w:p>
          <w:p>
            <w:pPr>
              <w:widowControl/>
              <w:numPr>
                <w:ilvl w:val="0"/>
                <w:numId w:val="0"/>
              </w:numPr>
              <w:ind w:leftChars="0"/>
              <w:jc w:val="left"/>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3.构建持续的网络安全人员技能提升计划。</w:t>
            </w:r>
          </w:p>
          <w:p>
            <w:pPr>
              <w:widowControl/>
              <w:numPr>
                <w:ilvl w:val="0"/>
                <w:numId w:val="0"/>
              </w:numPr>
              <w:ind w:leftChars="0"/>
              <w:jc w:val="left"/>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4、质保期3年</w:t>
            </w:r>
          </w:p>
        </w:tc>
        <w:tc>
          <w:tcPr>
            <w:tcW w:w="3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合同签订后三个月内完成项目交付使用</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1、★号条款为重要的指标要求，供应商必须实质性响应，若有一项不满足（负偏离）或未响应将导致其投标无效。</w:t>
            </w:r>
          </w:p>
          <w:p>
            <w:pPr>
              <w:widowControl/>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2、▲号条款为主要的技术指标要求，供应商若不满足将会被扣分。</w:t>
            </w:r>
          </w:p>
          <w:p>
            <w:pPr>
              <w:widowControl/>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3、非“★”、“▲”条款，投标人也必须响应（无需提供功能截图），按照技术评分标准进行评分。</w:t>
            </w:r>
          </w:p>
          <w:p>
            <w:pPr>
              <w:widowControl/>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p>
            <w:pPr>
              <w:widowControl/>
              <w:jc w:val="left"/>
              <w:rPr>
                <w:rFonts w:hint="default" w:ascii="仿宋" w:hAnsi="仿宋" w:eastAsia="仿宋" w:cs="仿宋"/>
                <w:b w:val="0"/>
                <w:bCs w:val="0"/>
                <w:color w:val="auto"/>
                <w:kern w:val="0"/>
                <w:sz w:val="24"/>
                <w:szCs w:val="24"/>
                <w:lang w:val="en-US" w:eastAsia="zh-CN"/>
              </w:rPr>
            </w:pP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1" w:name="_Hlk120629120"/>
      <w:r>
        <w:rPr>
          <w:rFonts w:hint="eastAsia" w:ascii="宋体"/>
          <w:b/>
          <w:bCs/>
          <w:sz w:val="24"/>
          <w:szCs w:val="24"/>
        </w:rPr>
        <w:t>人民币</w:t>
      </w:r>
      <w:r>
        <w:rPr>
          <w:rFonts w:hint="eastAsia" w:ascii="宋体"/>
          <w:b/>
          <w:bCs/>
          <w:sz w:val="24"/>
          <w:szCs w:val="24"/>
          <w:lang w:eastAsia="zh-CN"/>
        </w:rPr>
        <w:t>壹佰叁拾</w:t>
      </w:r>
      <w:r>
        <w:rPr>
          <w:rFonts w:hint="eastAsia" w:ascii="宋体"/>
          <w:b/>
          <w:bCs/>
          <w:sz w:val="24"/>
          <w:szCs w:val="24"/>
        </w:rPr>
        <w:t>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1,300,0</w:t>
      </w:r>
      <w:r>
        <w:rPr>
          <w:rFonts w:hint="eastAsia" w:ascii="宋体" w:hAnsi="宋体" w:cs="宋体"/>
          <w:sz w:val="24"/>
          <w:szCs w:val="24"/>
        </w:rPr>
        <w:t>0</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sz w:val="24"/>
          <w:szCs w:val="24"/>
        </w:rPr>
        <w:t>）</w:t>
      </w:r>
      <w:bookmarkEnd w:id="1"/>
      <w:r>
        <w:rPr>
          <w:rFonts w:hint="eastAsia" w:ascii="宋体"/>
          <w:sz w:val="24"/>
          <w:szCs w:val="24"/>
        </w:rPr>
        <w:t>。</w:t>
      </w:r>
    </w:p>
    <w:p>
      <w:pPr>
        <w:spacing w:line="440" w:lineRule="exact"/>
        <w:ind w:firstLine="480" w:firstLineChars="200"/>
        <w:jc w:val="left"/>
        <w:rPr>
          <w:rFonts w:ascii="宋体"/>
          <w:sz w:val="24"/>
          <w:szCs w:val="24"/>
        </w:rPr>
      </w:pPr>
      <w:bookmarkStart w:id="2"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2"/>
    <w:p>
      <w:pPr>
        <w:numPr>
          <w:ilvl w:val="0"/>
          <w:numId w:val="1"/>
        </w:numPr>
        <w:tabs>
          <w:tab w:val="left" w:pos="540"/>
        </w:tabs>
        <w:spacing w:line="360" w:lineRule="auto"/>
        <w:rPr>
          <w:rFonts w:ascii="宋体"/>
          <w:b/>
          <w:bCs/>
          <w:sz w:val="24"/>
          <w:szCs w:val="24"/>
        </w:rPr>
      </w:pPr>
      <w:bookmarkStart w:id="3" w:name="_Hlk74310982"/>
      <w:r>
        <w:rPr>
          <w:rFonts w:hint="eastAsia" w:ascii="宋体"/>
          <w:b/>
          <w:bCs/>
          <w:sz w:val="24"/>
          <w:szCs w:val="24"/>
        </w:rPr>
        <w:t>合格供应商资格条件</w:t>
      </w:r>
      <w:bookmarkEnd w:id="3"/>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4" w:name="_Hlk22711910"/>
      <w:r>
        <w:rPr>
          <w:rFonts w:hint="eastAsia" w:ascii="宋体" w:hAnsi="Calibri"/>
          <w:sz w:val="24"/>
          <w:szCs w:val="24"/>
        </w:rPr>
        <w:t>3.2</w:t>
      </w:r>
      <w:bookmarkEnd w:id="4"/>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5" w:name="_Hlk8050188"/>
      <w:r>
        <w:rPr>
          <w:rFonts w:hint="eastAsia" w:ascii="宋体" w:hAnsi="Calibri"/>
          <w:sz w:val="24"/>
          <w:szCs w:val="24"/>
        </w:rPr>
        <w:t>被列入中国执行信息公开网（http://zxgk.court.gov.cn/）的全国法院失信被执行人名单；</w:t>
      </w:r>
    </w:p>
    <w:bookmarkEnd w:id="5"/>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10</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12</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10</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18</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10</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20</w:t>
      </w:r>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5"/>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tabs>
          <w:tab w:val="left" w:pos="2127"/>
        </w:tabs>
        <w:spacing w:line="360" w:lineRule="auto"/>
        <w:ind w:left="1396" w:leftChars="202" w:hanging="972" w:hangingChars="405"/>
        <w:rPr>
          <w:rFonts w:ascii="宋体" w:hAnsi="宋体"/>
          <w:sz w:val="24"/>
          <w:szCs w:val="24"/>
        </w:rPr>
      </w:pPr>
    </w:p>
    <w:p>
      <w:pPr>
        <w:jc w:val="left"/>
        <w:rPr>
          <w:rFonts w:hint="eastAsia" w:ascii="黑体" w:hAnsi="黑体" w:eastAsia="黑体" w:cs="黑体"/>
          <w:bCs/>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9"/>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bookmarkEnd w:id="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2"/>
      </w:rPr>
      <w:instrText xml:space="preserve"> PAGE </w:instrText>
    </w:r>
    <w:r>
      <w:fldChar w:fldCharType="separate"/>
    </w:r>
    <w:r>
      <w:rPr>
        <w:rStyle w:val="12"/>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8B14367"/>
    <w:rsid w:val="1BED2567"/>
    <w:rsid w:val="1C4F3677"/>
    <w:rsid w:val="1DA310FE"/>
    <w:rsid w:val="1E7D173E"/>
    <w:rsid w:val="1E894275"/>
    <w:rsid w:val="1EE9586C"/>
    <w:rsid w:val="209F64CA"/>
    <w:rsid w:val="22722C84"/>
    <w:rsid w:val="259F5BB9"/>
    <w:rsid w:val="2D41232B"/>
    <w:rsid w:val="2D564673"/>
    <w:rsid w:val="2F262598"/>
    <w:rsid w:val="2FA2110C"/>
    <w:rsid w:val="31BB36D2"/>
    <w:rsid w:val="31D36D5D"/>
    <w:rsid w:val="33647DF6"/>
    <w:rsid w:val="37A27ACB"/>
    <w:rsid w:val="3A503C39"/>
    <w:rsid w:val="3A9F668E"/>
    <w:rsid w:val="3CCF2840"/>
    <w:rsid w:val="3D7E1400"/>
    <w:rsid w:val="3F8D699D"/>
    <w:rsid w:val="40287E8C"/>
    <w:rsid w:val="46EC3004"/>
    <w:rsid w:val="46EC5E1E"/>
    <w:rsid w:val="4A66497C"/>
    <w:rsid w:val="4A6C6BA5"/>
    <w:rsid w:val="4E9262CC"/>
    <w:rsid w:val="53C748A1"/>
    <w:rsid w:val="54876A25"/>
    <w:rsid w:val="558D1E04"/>
    <w:rsid w:val="56E64AE5"/>
    <w:rsid w:val="58023836"/>
    <w:rsid w:val="5B92678A"/>
    <w:rsid w:val="5C605A0C"/>
    <w:rsid w:val="646F7727"/>
    <w:rsid w:val="69AB07FD"/>
    <w:rsid w:val="6E552242"/>
    <w:rsid w:val="6F520F12"/>
    <w:rsid w:val="706A5450"/>
    <w:rsid w:val="70926A7C"/>
    <w:rsid w:val="71D06412"/>
    <w:rsid w:val="746B7252"/>
    <w:rsid w:val="757942C6"/>
    <w:rsid w:val="78DD1C0D"/>
    <w:rsid w:val="794D034E"/>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
    <w:name w:val="table of authorities"/>
    <w:basedOn w:val="1"/>
    <w:next w:val="1"/>
    <w:qFormat/>
    <w:uiPriority w:val="0"/>
    <w:pPr>
      <w:ind w:left="200" w:leftChars="200"/>
    </w:pPr>
  </w:style>
  <w:style w:type="paragraph" w:styleId="5">
    <w:name w:val="Normal Indent"/>
    <w:basedOn w:val="1"/>
    <w:link w:val="14"/>
    <w:qFormat/>
    <w:uiPriority w:val="0"/>
    <w:pPr>
      <w:ind w:firstLine="420"/>
    </w:pPr>
  </w:style>
  <w:style w:type="paragraph" w:styleId="6">
    <w:name w:val="Body Text Indent"/>
    <w:basedOn w:val="1"/>
    <w:qFormat/>
    <w:uiPriority w:val="0"/>
    <w:pPr>
      <w:ind w:left="54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First Indent 2"/>
    <w:basedOn w:val="6"/>
    <w:qFormat/>
    <w:uiPriority w:val="0"/>
    <w:pPr>
      <w:ind w:firstLine="420"/>
    </w:pPr>
    <w:rPr>
      <w:bCs/>
      <w:szCs w:val="24"/>
    </w:rPr>
  </w:style>
  <w:style w:type="character" w:styleId="12">
    <w:name w:val="page number"/>
    <w:basedOn w:val="11"/>
    <w:qFormat/>
    <w:uiPriority w:val="0"/>
  </w:style>
  <w:style w:type="paragraph" w:customStyle="1" w:styleId="13">
    <w:name w:val="响应正文"/>
    <w:basedOn w:val="1"/>
    <w:qFormat/>
    <w:uiPriority w:val="0"/>
    <w:pPr>
      <w:ind w:firstLine="640"/>
    </w:pPr>
    <w:rPr>
      <w:szCs w:val="20"/>
    </w:rPr>
  </w:style>
  <w:style w:type="character" w:customStyle="1" w:styleId="14">
    <w:name w:val="正文缩进 字符"/>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3</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2023-10-12T02:11:24Z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