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b/>
          <w:bCs/>
          <w:color w:val="auto"/>
          <w:sz w:val="44"/>
          <w:highlight w:val="none"/>
        </w:rPr>
      </w:pPr>
      <w:r>
        <w:rPr>
          <w:rFonts w:hint="eastAsia"/>
          <w:b/>
          <w:bCs/>
          <w:color w:val="auto"/>
          <w:sz w:val="44"/>
          <w:highlight w:val="none"/>
        </w:rPr>
        <w:t>通用备件及消耗品采购项目公告</w:t>
      </w:r>
    </w:p>
    <w:p>
      <w:pPr>
        <w:spacing w:line="540" w:lineRule="exact"/>
        <w:rPr>
          <w:color w:val="auto"/>
          <w:highlight w:val="none"/>
        </w:rPr>
      </w:pP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广州白云空港设备技术发展有限公司</w:t>
      </w:r>
      <w:r>
        <w:rPr>
          <w:rFonts w:hint="eastAsia" w:ascii="宋体" w:hAnsi="宋体" w:eastAsia="宋体" w:cs="宋体"/>
          <w:color w:val="auto"/>
          <w:kern w:val="0"/>
          <w:sz w:val="24"/>
          <w:szCs w:val="24"/>
          <w:highlight w:val="none"/>
          <w:lang w:val="en-US" w:eastAsia="zh-CN" w:bidi="ar"/>
        </w:rPr>
        <w:t>以综合评审形式实施</w:t>
      </w:r>
      <w:r>
        <w:rPr>
          <w:rFonts w:hint="eastAsia" w:ascii="宋体" w:hAnsi="宋体" w:eastAsia="宋体" w:cs="宋体"/>
          <w:color w:val="auto"/>
          <w:kern w:val="0"/>
          <w:sz w:val="24"/>
          <w:szCs w:val="24"/>
          <w:highlight w:val="none"/>
          <w:lang w:bidi="ar"/>
        </w:rPr>
        <w:t>通用备件及消耗品</w:t>
      </w:r>
      <w:r>
        <w:rPr>
          <w:rFonts w:hint="eastAsia" w:ascii="宋体" w:hAnsi="宋体" w:eastAsia="宋体" w:cs="宋体"/>
          <w:color w:val="auto"/>
          <w:kern w:val="0"/>
          <w:sz w:val="24"/>
          <w:szCs w:val="24"/>
          <w:highlight w:val="none"/>
          <w:lang w:val="en-US" w:eastAsia="zh-CN" w:bidi="ar"/>
        </w:rPr>
        <w:t>采购</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邀请合格供应商就以下内容</w:t>
      </w:r>
      <w:r>
        <w:rPr>
          <w:rFonts w:hint="eastAsia" w:ascii="宋体" w:hAnsi="宋体" w:eastAsia="宋体" w:cs="宋体"/>
          <w:color w:val="auto"/>
          <w:kern w:val="0"/>
          <w:sz w:val="24"/>
          <w:szCs w:val="24"/>
          <w:highlight w:val="none"/>
          <w:lang w:val="en-US" w:eastAsia="zh-CN" w:bidi="ar"/>
        </w:rPr>
        <w:t>提交</w:t>
      </w:r>
      <w:r>
        <w:rPr>
          <w:rFonts w:hint="eastAsia" w:ascii="宋体" w:hAnsi="宋体" w:eastAsia="宋体" w:cs="宋体"/>
          <w:color w:val="auto"/>
          <w:kern w:val="0"/>
          <w:sz w:val="24"/>
          <w:szCs w:val="24"/>
          <w:highlight w:val="none"/>
          <w:lang w:bidi="ar"/>
        </w:rPr>
        <w:t>所需</w:t>
      </w:r>
      <w:r>
        <w:rPr>
          <w:rFonts w:hint="eastAsia" w:ascii="宋体" w:hAnsi="宋体" w:eastAsia="宋体" w:cs="宋体"/>
          <w:color w:val="auto"/>
          <w:kern w:val="0"/>
          <w:sz w:val="24"/>
          <w:szCs w:val="24"/>
          <w:highlight w:val="none"/>
          <w:lang w:val="en-US" w:eastAsia="zh-CN" w:bidi="ar"/>
        </w:rPr>
        <w:t>物料</w:t>
      </w:r>
      <w:r>
        <w:rPr>
          <w:rFonts w:hint="eastAsia" w:ascii="宋体" w:hAnsi="宋体" w:eastAsia="宋体" w:cs="宋体"/>
          <w:color w:val="auto"/>
          <w:kern w:val="0"/>
          <w:sz w:val="24"/>
          <w:szCs w:val="24"/>
          <w:highlight w:val="none"/>
          <w:lang w:bidi="ar"/>
        </w:rPr>
        <w:t xml:space="preserve">报价： </w:t>
      </w:r>
    </w:p>
    <w:p>
      <w:pPr>
        <w:numPr>
          <w:ilvl w:val="0"/>
          <w:numId w:val="2"/>
        </w:numPr>
        <w:spacing w:line="360" w:lineRule="auto"/>
        <w:ind w:firstLine="640" w:firstLineChars="200"/>
        <w:outlineLvl w:val="0"/>
        <w:rPr>
          <w:rFonts w:ascii="黑体" w:hAnsi="仿宋_GB2312" w:eastAsia="黑体"/>
          <w:color w:val="auto"/>
          <w:sz w:val="32"/>
          <w:highlight w:val="none"/>
        </w:rPr>
      </w:pPr>
      <w:r>
        <w:rPr>
          <w:rFonts w:hint="eastAsia" w:ascii="黑体" w:hAnsi="仿宋_GB2312" w:eastAsia="黑体"/>
          <w:color w:val="auto"/>
          <w:sz w:val="32"/>
          <w:highlight w:val="none"/>
        </w:rPr>
        <w:t>项目概况</w:t>
      </w:r>
      <w:r>
        <w:rPr>
          <w:rFonts w:ascii="黑体" w:hAnsi="仿宋_GB2312" w:eastAsia="黑体"/>
          <w:color w:val="auto"/>
          <w:sz w:val="32"/>
          <w:highlight w:val="none"/>
        </w:rPr>
        <w:t xml:space="preserve"> </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1.项目名称：通用备件及消耗品</w:t>
      </w:r>
      <w:r>
        <w:rPr>
          <w:rFonts w:hint="eastAsia" w:ascii="宋体" w:hAnsi="宋体" w:eastAsia="宋体" w:cs="宋体"/>
          <w:color w:val="auto"/>
          <w:kern w:val="0"/>
          <w:sz w:val="24"/>
          <w:szCs w:val="24"/>
          <w:highlight w:val="none"/>
          <w:lang w:val="en-US" w:eastAsia="zh-CN" w:bidi="ar"/>
        </w:rPr>
        <w:t>采购项目</w:t>
      </w:r>
      <w:r>
        <w:rPr>
          <w:rFonts w:hint="eastAsia" w:ascii="宋体" w:hAnsi="宋体" w:eastAsia="宋体" w:cs="宋体"/>
          <w:color w:val="auto"/>
          <w:kern w:val="0"/>
          <w:sz w:val="24"/>
          <w:szCs w:val="24"/>
          <w:highlight w:val="none"/>
          <w:lang w:bidi="ar"/>
        </w:rPr>
        <w:t>。</w:t>
      </w:r>
    </w:p>
    <w:p>
      <w:pPr>
        <w:widowControl/>
        <w:spacing w:before="150" w:after="150" w:line="312" w:lineRule="auto"/>
        <w:ind w:firstLine="56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1.2项目内容</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通用备件及消耗品</w:t>
      </w:r>
      <w:r>
        <w:rPr>
          <w:rFonts w:hint="eastAsia" w:ascii="宋体" w:hAnsi="宋体" w:eastAsia="宋体" w:cs="宋体"/>
          <w:color w:val="auto"/>
          <w:kern w:val="0"/>
          <w:sz w:val="24"/>
          <w:szCs w:val="24"/>
          <w:highlight w:val="none"/>
          <w:lang w:val="en-US" w:eastAsia="zh-CN" w:bidi="ar"/>
        </w:rPr>
        <w:t>采购项目，限价情况及具体参数详见附件1。</w:t>
      </w:r>
      <w:r>
        <w:rPr>
          <w:rFonts w:hint="eastAsia" w:ascii="宋体" w:hAnsi="宋体" w:eastAsia="宋体" w:cs="宋体"/>
          <w:color w:val="auto"/>
          <w:kern w:val="0"/>
          <w:sz w:val="24"/>
          <w:szCs w:val="24"/>
          <w:highlight w:val="none"/>
          <w:lang w:bidi="ar"/>
        </w:rPr>
        <w:t>本项目根据各投标人提供的报价及服务条款，择优选定</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家供应商</w:t>
      </w:r>
      <w:r>
        <w:rPr>
          <w:rFonts w:hint="eastAsia" w:ascii="宋体" w:hAnsi="宋体" w:cs="宋体"/>
          <w:color w:val="auto"/>
          <w:kern w:val="0"/>
          <w:sz w:val="24"/>
          <w:szCs w:val="24"/>
          <w:highlight w:val="none"/>
          <w:lang w:val="en-US" w:eastAsia="zh-CN" w:bidi="ar"/>
        </w:rPr>
        <w:t>进入我公司通用备件及消耗品供应商库，</w:t>
      </w:r>
      <w:r>
        <w:rPr>
          <w:rFonts w:hint="eastAsia" w:ascii="宋体" w:hAnsi="宋体" w:eastAsia="宋体" w:cs="宋体"/>
          <w:color w:val="auto"/>
          <w:kern w:val="0"/>
          <w:sz w:val="24"/>
          <w:szCs w:val="24"/>
          <w:highlight w:val="none"/>
          <w:lang w:bidi="ar"/>
        </w:rPr>
        <w:t>作为本项目供应商</w:t>
      </w:r>
      <w:r>
        <w:rPr>
          <w:rFonts w:hint="eastAsia" w:ascii="宋体" w:hAnsi="宋体" w:eastAsia="宋体" w:cs="宋体"/>
          <w:color w:val="auto"/>
          <w:kern w:val="0"/>
          <w:sz w:val="24"/>
          <w:szCs w:val="24"/>
          <w:highlight w:val="none"/>
          <w:lang w:eastAsia="zh-CN" w:bidi="ar"/>
        </w:rPr>
        <w:t>。</w:t>
      </w:r>
    </w:p>
    <w:p>
      <w:pPr>
        <w:widowControl/>
        <w:spacing w:before="150" w:after="150" w:line="312" w:lineRule="auto"/>
        <w:ind w:firstLine="560"/>
        <w:jc w:val="left"/>
        <w:rPr>
          <w:rFonts w:hint="default"/>
          <w:color w:val="auto"/>
          <w:highlight w:val="none"/>
          <w:lang w:val="en-US" w:eastAsia="zh-CN"/>
        </w:rPr>
      </w:pPr>
      <w:r>
        <w:rPr>
          <w:rFonts w:hint="eastAsia" w:ascii="宋体" w:hAnsi="宋体" w:eastAsia="宋体" w:cs="宋体"/>
          <w:color w:val="auto"/>
          <w:kern w:val="0"/>
          <w:sz w:val="24"/>
          <w:szCs w:val="24"/>
          <w:highlight w:val="none"/>
          <w:lang w:bidi="ar"/>
        </w:rPr>
        <w:t>1.3</w:t>
      </w:r>
      <w:r>
        <w:rPr>
          <w:rFonts w:hint="eastAsia" w:ascii="宋体" w:hAnsi="宋体" w:eastAsia="宋体" w:cs="宋体"/>
          <w:color w:val="auto"/>
          <w:kern w:val="0"/>
          <w:sz w:val="24"/>
          <w:szCs w:val="24"/>
          <w:highlight w:val="none"/>
          <w:lang w:val="en-US" w:eastAsia="zh-CN" w:bidi="ar"/>
        </w:rPr>
        <w:t>项目最高采购额</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本项目3家入库供应商最高采购额合计为</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0000</w:t>
      </w:r>
      <w:r>
        <w:rPr>
          <w:rFonts w:hint="eastAsia" w:ascii="宋体" w:hAnsi="宋体" w:eastAsia="宋体" w:cs="宋体"/>
          <w:color w:val="auto"/>
          <w:kern w:val="0"/>
          <w:sz w:val="24"/>
          <w:szCs w:val="24"/>
          <w:highlight w:val="none"/>
          <w:lang w:bidi="ar"/>
        </w:rPr>
        <w:t>（大写：</w:t>
      </w:r>
      <w:r>
        <w:rPr>
          <w:rFonts w:hint="eastAsia" w:ascii="宋体" w:hAnsi="宋体" w:eastAsia="宋体" w:cs="宋体"/>
          <w:color w:val="auto"/>
          <w:kern w:val="0"/>
          <w:sz w:val="24"/>
          <w:szCs w:val="24"/>
          <w:highlight w:val="none"/>
          <w:lang w:val="en-US" w:eastAsia="zh-CN" w:bidi="ar"/>
        </w:rPr>
        <w:t>壹佰玖拾万元</w:t>
      </w:r>
      <w:r>
        <w:rPr>
          <w:rFonts w:hint="eastAsia" w:ascii="宋体" w:hAnsi="宋体" w:eastAsia="宋体" w:cs="宋体"/>
          <w:color w:val="auto"/>
          <w:kern w:val="0"/>
          <w:sz w:val="24"/>
          <w:szCs w:val="24"/>
          <w:highlight w:val="none"/>
          <w:lang w:bidi="ar"/>
        </w:rPr>
        <w:t>整）</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上述</w:t>
      </w:r>
      <w:r>
        <w:rPr>
          <w:rFonts w:hint="eastAsia" w:ascii="宋体" w:hAnsi="宋体" w:eastAsia="宋体" w:cs="宋体"/>
          <w:color w:val="auto"/>
          <w:kern w:val="0"/>
          <w:sz w:val="24"/>
          <w:szCs w:val="24"/>
          <w:highlight w:val="none"/>
          <w:lang w:val="en-US" w:eastAsia="zh-CN" w:bidi="ar"/>
        </w:rPr>
        <w:t>费用</w:t>
      </w:r>
      <w:r>
        <w:rPr>
          <w:rFonts w:hint="eastAsia" w:ascii="宋体" w:hAnsi="宋体" w:eastAsia="宋体" w:cs="宋体"/>
          <w:color w:val="auto"/>
          <w:kern w:val="0"/>
          <w:sz w:val="24"/>
          <w:szCs w:val="24"/>
          <w:highlight w:val="none"/>
          <w:lang w:bidi="ar"/>
        </w:rPr>
        <w:t>包含</w:t>
      </w:r>
      <w:r>
        <w:rPr>
          <w:rFonts w:hint="eastAsia" w:ascii="宋体" w:hAnsi="宋体" w:eastAsia="宋体" w:cs="宋体"/>
          <w:color w:val="auto"/>
          <w:kern w:val="0"/>
          <w:sz w:val="24"/>
          <w:szCs w:val="24"/>
          <w:highlight w:val="none"/>
          <w:lang w:val="en-US" w:eastAsia="zh-CN" w:bidi="ar"/>
        </w:rPr>
        <w:t>物料</w:t>
      </w:r>
      <w:r>
        <w:rPr>
          <w:rFonts w:hint="eastAsia" w:ascii="宋体" w:hAnsi="宋体" w:eastAsia="宋体" w:cs="宋体"/>
          <w:color w:val="auto"/>
          <w:kern w:val="0"/>
          <w:sz w:val="24"/>
          <w:szCs w:val="24"/>
          <w:highlight w:val="none"/>
          <w:lang w:bidi="ar"/>
        </w:rPr>
        <w:t>、包装、运输、保险、税费（13%增值税）、质保期保障等全部费用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本项目</w:t>
      </w:r>
      <w:r>
        <w:rPr>
          <w:rFonts w:hint="eastAsia" w:ascii="宋体" w:hAnsi="宋体" w:eastAsia="宋体" w:cs="宋体"/>
          <w:color w:val="auto"/>
          <w:kern w:val="0"/>
          <w:sz w:val="24"/>
          <w:szCs w:val="24"/>
          <w:highlight w:val="none"/>
          <w:lang w:val="en-US" w:eastAsia="zh-CN" w:bidi="ar"/>
        </w:rPr>
        <w:t>附件1中的备件</w:t>
      </w:r>
      <w:r>
        <w:rPr>
          <w:rFonts w:hint="eastAsia" w:ascii="宋体" w:hAnsi="宋体" w:eastAsia="宋体" w:cs="宋体"/>
          <w:color w:val="auto"/>
          <w:kern w:val="0"/>
          <w:sz w:val="24"/>
          <w:szCs w:val="24"/>
          <w:highlight w:val="none"/>
          <w:lang w:bidi="ar"/>
        </w:rPr>
        <w:t>和消耗品的数量为报价参考数量，最终的采购量按实际</w:t>
      </w:r>
      <w:r>
        <w:rPr>
          <w:rFonts w:hint="eastAsia" w:ascii="宋体" w:hAnsi="宋体" w:eastAsia="宋体" w:cs="宋体"/>
          <w:color w:val="auto"/>
          <w:kern w:val="0"/>
          <w:sz w:val="24"/>
          <w:szCs w:val="24"/>
          <w:highlight w:val="none"/>
          <w:lang w:val="en-US" w:eastAsia="zh-CN" w:bidi="ar"/>
        </w:rPr>
        <w:t>送货量</w:t>
      </w:r>
      <w:r>
        <w:rPr>
          <w:rFonts w:hint="eastAsia" w:ascii="宋体" w:hAnsi="宋体" w:eastAsia="宋体" w:cs="宋体"/>
          <w:color w:val="auto"/>
          <w:kern w:val="0"/>
          <w:sz w:val="24"/>
          <w:szCs w:val="24"/>
          <w:highlight w:val="none"/>
          <w:lang w:bidi="ar"/>
        </w:rPr>
        <w:t>计算</w:t>
      </w:r>
      <w:r>
        <w:rPr>
          <w:rFonts w:hint="eastAsia" w:ascii="宋体" w:hAnsi="宋体" w:eastAsia="宋体" w:cs="宋体"/>
          <w:color w:val="auto"/>
          <w:kern w:val="0"/>
          <w:sz w:val="24"/>
          <w:szCs w:val="24"/>
          <w:highlight w:val="none"/>
          <w:lang w:eastAsia="zh-CN" w:bidi="ar"/>
        </w:rPr>
        <w:t>。</w:t>
      </w:r>
    </w:p>
    <w:p>
      <w:pPr>
        <w:numPr>
          <w:ilvl w:val="0"/>
          <w:numId w:val="2"/>
        </w:numPr>
        <w:spacing w:line="360" w:lineRule="auto"/>
        <w:ind w:firstLine="640" w:firstLineChars="200"/>
        <w:outlineLvl w:val="0"/>
        <w:rPr>
          <w:rFonts w:ascii="黑体" w:hAnsi="仿宋_GB2312" w:eastAsia="黑体"/>
          <w:color w:val="auto"/>
          <w:sz w:val="32"/>
          <w:highlight w:val="none"/>
        </w:rPr>
      </w:pPr>
      <w:r>
        <w:rPr>
          <w:rFonts w:hint="eastAsia" w:ascii="黑体" w:hAnsi="仿宋_GB2312" w:eastAsia="黑体"/>
          <w:color w:val="auto"/>
          <w:sz w:val="32"/>
          <w:highlight w:val="none"/>
        </w:rPr>
        <w:t>报价人资质条件</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报价人必须满足以下全部条件,否则该报价文件作废。</w:t>
      </w:r>
    </w:p>
    <w:p>
      <w:pPr>
        <w:widowControl/>
        <w:spacing w:before="150" w:after="150" w:line="312" w:lineRule="auto"/>
        <w:ind w:firstLine="56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2.1</w:t>
      </w:r>
      <w:r>
        <w:rPr>
          <w:rFonts w:hint="eastAsia" w:ascii="宋体" w:hAnsi="宋体" w:cs="宋体"/>
          <w:color w:val="auto"/>
          <w:kern w:val="0"/>
          <w:sz w:val="24"/>
          <w:szCs w:val="24"/>
          <w:highlight w:val="none"/>
          <w:lang w:bidi="ar"/>
        </w:rPr>
        <w:t>具备本项目履约能力的在中华人民共和国境内注册的独立的企业法人，并具有一般纳税人资格。</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b w:val="0"/>
          <w:bCs w:val="0"/>
          <w:strike w:val="0"/>
          <w:dstrike w:val="0"/>
          <w:color w:val="auto"/>
          <w:kern w:val="0"/>
          <w:sz w:val="24"/>
          <w:szCs w:val="24"/>
          <w:highlight w:val="none"/>
          <w:lang w:val="en-US" w:eastAsia="zh-CN" w:bidi="ar"/>
        </w:rPr>
        <w:t>2.2</w:t>
      </w:r>
      <w:r>
        <w:rPr>
          <w:rFonts w:hint="eastAsia" w:ascii="宋体" w:hAnsi="宋体" w:cs="宋体"/>
          <w:color w:val="auto"/>
          <w:kern w:val="0"/>
          <w:sz w:val="24"/>
          <w:szCs w:val="24"/>
          <w:highlight w:val="none"/>
          <w:lang w:bidi="ar"/>
        </w:rPr>
        <w:t>近三年（20</w:t>
      </w:r>
      <w:r>
        <w:rPr>
          <w:rFonts w:hint="eastAsia" w:ascii="宋体" w:hAnsi="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月1日至今），报价人没有因腐败或欺诈行为而被政府或业主宣布取消投标资格；同时，近三年（20</w:t>
      </w:r>
      <w:r>
        <w:rPr>
          <w:rFonts w:hint="eastAsia" w:ascii="宋体" w:hAnsi="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月1日至今）报价人（包括其关联公司</w:t>
      </w:r>
      <w:r>
        <w:rPr>
          <w:rFonts w:hint="eastAsia" w:ascii="宋体" w:hAnsi="宋体" w:cs="宋体"/>
          <w:b w:val="0"/>
          <w:bCs w:val="0"/>
          <w:color w:val="auto"/>
          <w:kern w:val="0"/>
          <w:sz w:val="24"/>
          <w:szCs w:val="24"/>
          <w:highlight w:val="none"/>
          <w:lang w:bidi="ar"/>
        </w:rPr>
        <w:t>）没有与</w:t>
      </w:r>
      <w:r>
        <w:rPr>
          <w:rFonts w:hint="eastAsia" w:ascii="宋体" w:hAnsi="宋体" w:cs="宋体"/>
          <w:color w:val="auto"/>
          <w:kern w:val="0"/>
          <w:sz w:val="24"/>
          <w:szCs w:val="24"/>
          <w:highlight w:val="none"/>
          <w:lang w:bidi="ar"/>
        </w:rPr>
        <w:t>广东省机场管理集团有限公司及其下属的全资、控股公司、非法人实体单位发生各种诉讼和仲裁（须就此项内容提供承诺函并加盖报价人公章，格式样版见附件）。</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2.3</w:t>
      </w:r>
      <w:r>
        <w:rPr>
          <w:rFonts w:hint="eastAsia" w:ascii="宋体" w:hAnsi="宋体" w:cs="宋体"/>
          <w:color w:val="auto"/>
          <w:kern w:val="0"/>
          <w:sz w:val="24"/>
          <w:szCs w:val="24"/>
          <w:highlight w:val="none"/>
          <w:lang w:bidi="ar"/>
        </w:rPr>
        <w:t>报价人不存在被广州白云国际机场股份有限公司认定为发生不良行为合作商，且仍在处置期内的情形（须就此项内容提供承诺函并加盖报价人公章，格式样版见附件）。</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2.4</w:t>
      </w:r>
      <w:r>
        <w:rPr>
          <w:rFonts w:hint="eastAsia" w:ascii="宋体" w:hAnsi="宋体" w:cs="宋体"/>
          <w:color w:val="auto"/>
          <w:kern w:val="0"/>
          <w:sz w:val="24"/>
          <w:szCs w:val="24"/>
          <w:highlight w:val="none"/>
          <w:lang w:bidi="ar"/>
        </w:rPr>
        <w:t>报价人不得被列为“黑名单”，以“信用中国”网站（http://www.creditchina.gov.cn/）查询为准，报价人需在竞价公告发布后从“信用中国”网站截图并加盖公章，同时下载信用评估报告、打印并加盖公章后附在报价文件中。</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bidi="ar"/>
        </w:rPr>
        <w:t>报价人不得被列为严重违法失信企业名单（黑名单），以“国家企业信用信息公示系统”网站（http://www.gsxt.gov.cn/）查询为准，报价人需在竞价公告发布后从“国家企业信用信息公示系统”网站截图并加盖公章。</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2.6</w:t>
      </w:r>
      <w:r>
        <w:rPr>
          <w:rFonts w:hint="eastAsia" w:ascii="宋体" w:hAnsi="宋体" w:cs="宋体"/>
          <w:color w:val="auto"/>
          <w:kern w:val="0"/>
          <w:sz w:val="24"/>
          <w:szCs w:val="24"/>
          <w:highlight w:val="none"/>
          <w:lang w:bidi="ar"/>
        </w:rPr>
        <w:t>报价人不得被列入中国执行信息公开网（http://zxgk.court.gov.cn/）的全国法院失信被执行人名单，报价人需在竞价公告发布后从“中国执行信息公开网”网站截图并加盖公章；</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2.7</w:t>
      </w:r>
      <w:r>
        <w:rPr>
          <w:rFonts w:hint="eastAsia" w:ascii="宋体" w:hAnsi="宋体" w:cs="宋体"/>
          <w:color w:val="auto"/>
          <w:kern w:val="0"/>
          <w:sz w:val="24"/>
          <w:szCs w:val="24"/>
          <w:highlight w:val="none"/>
          <w:lang w:bidi="ar"/>
        </w:rPr>
        <w:t>报价人法定代表人为同一人的两个及两个以上法人，母公司、全资子公司及其控股公司，不得在该项目中同时报价。</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bidi="ar"/>
        </w:rPr>
        <w:t>本项目不接受联合体报价。</w:t>
      </w:r>
    </w:p>
    <w:p>
      <w:pPr>
        <w:widowControl/>
        <w:tabs>
          <w:tab w:val="left" w:pos="567"/>
        </w:tabs>
        <w:autoSpaceDE w:val="0"/>
        <w:autoSpaceDN w:val="0"/>
        <w:adjustRightInd w:val="0"/>
        <w:snapToGrid w:val="0"/>
        <w:spacing w:line="360" w:lineRule="auto"/>
        <w:ind w:firstLine="480" w:firstLineChars="200"/>
        <w:jc w:val="left"/>
        <w:textAlignment w:val="bottom"/>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2.9</w:t>
      </w:r>
      <w:r>
        <w:rPr>
          <w:rFonts w:hint="eastAsia" w:ascii="宋体" w:hAnsi="宋体" w:cs="宋体"/>
          <w:b w:val="0"/>
          <w:bCs w:val="0"/>
          <w:color w:val="auto"/>
          <w:kern w:val="0"/>
          <w:sz w:val="24"/>
          <w:szCs w:val="24"/>
          <w:highlight w:val="non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报价人近三年（2019年5月1日至今）的通用备件及消耗品类物料销售业绩合计不低于人民币</w:t>
      </w:r>
      <w:r>
        <w:rPr>
          <w:rFonts w:hint="eastAsia" w:ascii="宋体" w:hAnsi="宋体" w:cs="宋体"/>
          <w:b w:val="0"/>
          <w:bCs w:val="0"/>
          <w:color w:val="auto"/>
          <w:kern w:val="0"/>
          <w:sz w:val="24"/>
          <w:szCs w:val="24"/>
          <w:highlight w:val="none"/>
          <w:lang w:val="en-US" w:eastAsia="zh-CN" w:bidi="ar"/>
        </w:rPr>
        <w:t>200</w:t>
      </w:r>
      <w:r>
        <w:rPr>
          <w:rFonts w:hint="eastAsia" w:ascii="宋体" w:hAnsi="宋体" w:eastAsia="宋体" w:cs="宋体"/>
          <w:b w:val="0"/>
          <w:bCs w:val="0"/>
          <w:color w:val="auto"/>
          <w:kern w:val="0"/>
          <w:sz w:val="24"/>
          <w:szCs w:val="24"/>
          <w:highlight w:val="none"/>
          <w:lang w:val="en-US" w:eastAsia="zh-CN" w:bidi="ar"/>
        </w:rPr>
        <w:t>万元，须提供销售发票的复印件并加盖公章。</w:t>
      </w:r>
    </w:p>
    <w:p>
      <w:pPr>
        <w:numPr>
          <w:ilvl w:val="0"/>
          <w:numId w:val="2"/>
        </w:numPr>
        <w:spacing w:line="360" w:lineRule="auto"/>
        <w:ind w:firstLine="640" w:firstLineChars="200"/>
        <w:outlineLvl w:val="0"/>
        <w:rPr>
          <w:rFonts w:ascii="黑体" w:hAnsi="仿宋_GB2312" w:eastAsia="黑体"/>
          <w:color w:val="auto"/>
          <w:sz w:val="32"/>
          <w:highlight w:val="none"/>
        </w:rPr>
      </w:pPr>
      <w:r>
        <w:rPr>
          <w:rFonts w:hint="eastAsia" w:ascii="黑体" w:hAnsi="仿宋_GB2312" w:eastAsia="黑体"/>
          <w:color w:val="auto"/>
          <w:sz w:val="32"/>
          <w:highlight w:val="none"/>
        </w:rPr>
        <w:t>报价文件组成</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1营业执照复印件并加盖报价人公章；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2一般纳税人资格证明文件并加盖报价人公章；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3.3</w:t>
      </w:r>
      <w:r>
        <w:rPr>
          <w:rFonts w:hint="eastAsia" w:ascii="宋体" w:hAnsi="宋体" w:eastAsia="宋体" w:cs="宋体"/>
          <w:color w:val="auto"/>
          <w:kern w:val="0"/>
          <w:sz w:val="24"/>
          <w:szCs w:val="24"/>
          <w:highlight w:val="none"/>
          <w:lang w:bidi="ar"/>
        </w:rPr>
        <w:t>按附件格式要求填妥并签章的法定代表人证明书或法人授权委托书（非法人签署时需提供）；</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3.4</w:t>
      </w:r>
      <w:r>
        <w:rPr>
          <w:rFonts w:hint="eastAsia" w:ascii="宋体" w:hAnsi="宋体" w:eastAsia="宋体" w:cs="宋体"/>
          <w:color w:val="auto"/>
          <w:kern w:val="0"/>
          <w:sz w:val="24"/>
          <w:szCs w:val="24"/>
          <w:highlight w:val="none"/>
          <w:lang w:bidi="ar"/>
        </w:rPr>
        <w:t>按附件格式要求提交法人代表身份证或被授权人身份证（复印件即可）；</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按附件格式要求提交“网上竞价项目采购文件响应承诺书”；</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3.6</w:t>
      </w:r>
      <w:bookmarkStart w:id="0" w:name="_Hlk22040916"/>
      <w:r>
        <w:rPr>
          <w:rFonts w:hint="eastAsia" w:ascii="宋体" w:hAnsi="宋体" w:eastAsia="宋体" w:cs="宋体"/>
          <w:color w:val="auto"/>
          <w:kern w:val="0"/>
          <w:sz w:val="24"/>
          <w:szCs w:val="24"/>
          <w:highlight w:val="none"/>
          <w:lang w:bidi="ar"/>
        </w:rPr>
        <w:t>按附件格式填妥并签章的“诚信承诺函”</w:t>
      </w:r>
      <w:bookmarkEnd w:id="0"/>
      <w:r>
        <w:rPr>
          <w:rFonts w:hint="eastAsia" w:ascii="宋体" w:hAnsi="宋体" w:eastAsia="宋体" w:cs="宋体"/>
          <w:color w:val="auto"/>
          <w:kern w:val="0"/>
          <w:sz w:val="24"/>
          <w:szCs w:val="24"/>
          <w:highlight w:val="none"/>
          <w:lang w:bidi="ar"/>
        </w:rPr>
        <w:t>；</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3.7</w:t>
      </w:r>
      <w:r>
        <w:rPr>
          <w:rFonts w:hint="eastAsia" w:ascii="宋体" w:hAnsi="宋体" w:eastAsia="宋体" w:cs="宋体"/>
          <w:color w:val="auto"/>
          <w:kern w:val="0"/>
          <w:sz w:val="24"/>
          <w:szCs w:val="24"/>
          <w:highlight w:val="none"/>
          <w:lang w:bidi="ar"/>
        </w:rPr>
        <w:t>.按附件格式填妥并签章的“企业声明”；</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3.8</w:t>
      </w:r>
      <w:r>
        <w:rPr>
          <w:rFonts w:hint="eastAsia" w:ascii="宋体" w:hAnsi="宋体" w:eastAsia="宋体" w:cs="宋体"/>
          <w:color w:val="auto"/>
          <w:kern w:val="0"/>
          <w:sz w:val="24"/>
          <w:szCs w:val="24"/>
          <w:highlight w:val="none"/>
          <w:lang w:bidi="ar"/>
        </w:rPr>
        <w:t>按附件格式要求提交“国家企业信用信息</w:t>
      </w:r>
      <w:r>
        <w:rPr>
          <w:rFonts w:hint="eastAsia" w:ascii="宋体" w:hAnsi="宋体" w:eastAsia="宋体" w:cs="宋体"/>
          <w:color w:val="auto"/>
          <w:kern w:val="0"/>
          <w:sz w:val="24"/>
          <w:szCs w:val="24"/>
          <w:highlight w:val="none"/>
          <w:lang w:val="en-US" w:eastAsia="zh-CN" w:bidi="ar"/>
        </w:rPr>
        <w:t>公示</w:t>
      </w:r>
      <w:r>
        <w:rPr>
          <w:rFonts w:hint="eastAsia" w:ascii="宋体" w:hAnsi="宋体" w:eastAsia="宋体" w:cs="宋体"/>
          <w:color w:val="auto"/>
          <w:kern w:val="0"/>
          <w:sz w:val="24"/>
          <w:szCs w:val="24"/>
          <w:highlight w:val="none"/>
          <w:lang w:bidi="ar"/>
        </w:rPr>
        <w:t>系统网站”截图并加盖报价人公章；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3.9</w:t>
      </w:r>
      <w:r>
        <w:rPr>
          <w:rFonts w:hint="eastAsia" w:ascii="宋体" w:hAnsi="宋体" w:eastAsia="宋体" w:cs="宋体"/>
          <w:color w:val="auto"/>
          <w:kern w:val="0"/>
          <w:sz w:val="24"/>
          <w:szCs w:val="24"/>
          <w:highlight w:val="none"/>
          <w:lang w:bidi="ar"/>
        </w:rPr>
        <w:t>按附件格式要求提交“信用中国网站”截图并加盖报价人公章；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按附件格式要求提交“中国执行信息公开网”网站截图并加盖报价人公章</w:t>
      </w:r>
      <w:r>
        <w:rPr>
          <w:rFonts w:hint="eastAsia" w:ascii="宋体" w:hAnsi="宋体" w:eastAsia="宋体" w:cs="宋体"/>
          <w:color w:val="auto"/>
          <w:kern w:val="0"/>
          <w:sz w:val="24"/>
          <w:szCs w:val="24"/>
          <w:highlight w:val="none"/>
          <w:lang w:eastAsia="zh-CN" w:bidi="ar"/>
        </w:rPr>
        <w:t>；</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3.11报价人近三年（2019年5月1日至今）的通用备件及消耗品类物料销售发票的复印件并加盖公章。</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val="zh-CN" w:eastAsia="zh-CN" w:bidi="ar"/>
        </w:rPr>
      </w:pPr>
      <w:r>
        <w:rPr>
          <w:rFonts w:hint="eastAsia" w:ascii="宋体" w:hAnsi="宋体" w:eastAsia="宋体" w:cs="宋体"/>
          <w:b w:val="0"/>
          <w:bCs w:val="0"/>
          <w:color w:val="auto"/>
          <w:kern w:val="0"/>
          <w:sz w:val="24"/>
          <w:szCs w:val="24"/>
          <w:highlight w:val="none"/>
          <w:lang w:val="en-US" w:eastAsia="zh-CN" w:bidi="ar"/>
        </w:rPr>
        <w:t>3.12</w:t>
      </w:r>
      <w:r>
        <w:rPr>
          <w:rFonts w:hint="eastAsia" w:ascii="宋体" w:hAnsi="宋体" w:eastAsia="宋体" w:cs="宋体"/>
          <w:b w:val="0"/>
          <w:bCs w:val="0"/>
          <w:color w:val="auto"/>
          <w:kern w:val="0"/>
          <w:sz w:val="24"/>
          <w:szCs w:val="24"/>
          <w:highlight w:val="none"/>
          <w:lang w:val="zh-CN" w:eastAsia="zh-CN" w:bidi="ar"/>
        </w:rPr>
        <w:t>体系认证文件、业绩文件、财务报表、产品经销授权文件、仓储物流证明文件、服务方案（包括</w:t>
      </w:r>
      <w:r>
        <w:rPr>
          <w:rFonts w:hint="eastAsia" w:ascii="宋体" w:hAnsi="宋体" w:cs="宋体"/>
          <w:b w:val="0"/>
          <w:bCs w:val="0"/>
          <w:color w:val="auto"/>
          <w:kern w:val="0"/>
          <w:sz w:val="24"/>
          <w:szCs w:val="24"/>
          <w:highlight w:val="none"/>
          <w:lang w:val="en-US" w:eastAsia="zh-CN" w:bidi="ar"/>
        </w:rPr>
        <w:t>但不限于</w:t>
      </w:r>
      <w:r>
        <w:rPr>
          <w:rFonts w:hint="eastAsia" w:ascii="宋体" w:hAnsi="宋体" w:eastAsia="宋体" w:cs="宋体"/>
          <w:b w:val="0"/>
          <w:bCs w:val="0"/>
          <w:color w:val="auto"/>
          <w:kern w:val="0"/>
          <w:sz w:val="24"/>
          <w:szCs w:val="24"/>
          <w:highlight w:val="none"/>
          <w:lang w:val="zh-CN" w:eastAsia="zh-CN" w:bidi="ar"/>
        </w:rPr>
        <w:t>供货响应承诺、售后服务、</w:t>
      </w:r>
      <w:r>
        <w:rPr>
          <w:rFonts w:hint="eastAsia" w:ascii="宋体" w:hAnsi="宋体" w:cs="宋体"/>
          <w:b w:val="0"/>
          <w:bCs w:val="0"/>
          <w:color w:val="auto"/>
          <w:kern w:val="0"/>
          <w:sz w:val="24"/>
          <w:szCs w:val="24"/>
          <w:highlight w:val="none"/>
          <w:lang w:val="en-US" w:eastAsia="zh-CN" w:bidi="ar"/>
        </w:rPr>
        <w:t>供货质量保证措施、</w:t>
      </w:r>
      <w:r>
        <w:rPr>
          <w:rFonts w:hint="eastAsia" w:ascii="宋体" w:hAnsi="宋体" w:eastAsia="宋体" w:cs="宋体"/>
          <w:b w:val="0"/>
          <w:bCs w:val="0"/>
          <w:color w:val="auto"/>
          <w:kern w:val="0"/>
          <w:sz w:val="24"/>
          <w:szCs w:val="24"/>
          <w:highlight w:val="none"/>
          <w:lang w:val="zh-CN" w:eastAsia="zh-CN" w:bidi="ar"/>
        </w:rPr>
        <w:t>产品质保承诺）等。</w:t>
      </w:r>
    </w:p>
    <w:p>
      <w:pPr>
        <w:pStyle w:val="2"/>
        <w:ind w:left="0" w:leftChars="0" w:firstLine="480" w:firstLineChars="200"/>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3.13 通用备件及消耗品采购清单</w:t>
      </w:r>
      <w:r>
        <w:rPr>
          <w:rFonts w:hint="eastAsia" w:ascii="宋体" w:hAnsi="宋体" w:cs="宋体"/>
          <w:b w:val="0"/>
          <w:bCs w:val="0"/>
          <w:color w:val="auto"/>
          <w:kern w:val="0"/>
          <w:sz w:val="24"/>
          <w:szCs w:val="24"/>
          <w:highlight w:val="none"/>
          <w:lang w:val="en-US" w:eastAsia="zh-CN" w:bidi="ar"/>
        </w:rPr>
        <w:t>（填入报价）。</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报价文件一式三份</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一正二副</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bidi="ar"/>
        </w:rPr>
        <w:t>，所有资料复印件均须加盖公章，所有报价文件均需密封并加盖骑缝章。</w:t>
      </w:r>
    </w:p>
    <w:p>
      <w:pPr>
        <w:jc w:val="left"/>
        <w:outlineLvl w:val="0"/>
        <w:rPr>
          <w:b/>
          <w:color w:val="auto"/>
          <w:sz w:val="28"/>
          <w:szCs w:val="28"/>
          <w:highlight w:val="none"/>
        </w:rPr>
      </w:pPr>
      <w:r>
        <w:rPr>
          <w:rFonts w:hint="eastAsia"/>
          <w:b/>
          <w:color w:val="auto"/>
          <w:sz w:val="28"/>
          <w:szCs w:val="28"/>
          <w:highlight w:val="none"/>
        </w:rPr>
        <w:t>四、报价文件提交时间及地点</w:t>
      </w:r>
    </w:p>
    <w:p>
      <w:pPr>
        <w:widowControl/>
        <w:spacing w:before="150" w:after="150" w:line="312" w:lineRule="auto"/>
        <w:ind w:firstLine="56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请有意向的供应商按照上述要求编写报价文件，密封后于2022年</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val="en-US" w:eastAsia="zh-CN" w:bidi="ar"/>
        </w:rPr>
        <w:t>日</w:t>
      </w:r>
      <w:r>
        <w:rPr>
          <w:rFonts w:hint="eastAsia" w:ascii="宋体" w:hAnsi="宋体" w:cs="宋体"/>
          <w:color w:val="auto"/>
          <w:kern w:val="0"/>
          <w:sz w:val="24"/>
          <w:szCs w:val="24"/>
          <w:highlight w:val="none"/>
          <w:lang w:val="en-US" w:eastAsia="zh-CN" w:bidi="ar"/>
        </w:rPr>
        <w:t>10:00</w:t>
      </w:r>
      <w:r>
        <w:rPr>
          <w:rFonts w:hint="eastAsia" w:ascii="宋体" w:hAnsi="宋体" w:eastAsia="宋体" w:cs="宋体"/>
          <w:color w:val="auto"/>
          <w:kern w:val="0"/>
          <w:sz w:val="24"/>
          <w:szCs w:val="24"/>
          <w:highlight w:val="none"/>
          <w:lang w:val="en-US" w:eastAsia="zh-CN" w:bidi="ar"/>
        </w:rPr>
        <w:t xml:space="preserve"> 前将报价文件提交給本公司相关人员。</w:t>
      </w:r>
      <w:bookmarkStart w:id="59" w:name="_GoBack"/>
      <w:bookmarkEnd w:id="59"/>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提交地址：广州市花都区白云机场T1航站楼C3030房。</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联系人：陈先生</w:t>
      </w:r>
    </w:p>
    <w:p>
      <w:pPr>
        <w:widowControl/>
        <w:spacing w:before="150" w:after="150" w:line="312" w:lineRule="auto"/>
        <w:ind w:firstLine="56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联系电话：36069038</w:t>
      </w:r>
      <w:r>
        <w:rPr>
          <w:rFonts w:hint="eastAsia" w:ascii="宋体" w:hAnsi="宋体" w:cs="宋体"/>
          <w:color w:val="auto"/>
          <w:kern w:val="0"/>
          <w:sz w:val="24"/>
          <w:szCs w:val="24"/>
          <w:highlight w:val="none"/>
          <w:lang w:val="en-US" w:eastAsia="zh-CN" w:bidi="ar"/>
        </w:rPr>
        <w:t>，13450294418</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电子邮件地址：81000399@gdairport.com</w:t>
      </w:r>
    </w:p>
    <w:p>
      <w:pPr>
        <w:jc w:val="left"/>
        <w:outlineLvl w:val="0"/>
        <w:rPr>
          <w:b/>
          <w:color w:val="auto"/>
          <w:sz w:val="28"/>
          <w:szCs w:val="28"/>
          <w:highlight w:val="none"/>
        </w:rPr>
      </w:pPr>
      <w:r>
        <w:rPr>
          <w:rFonts w:hint="eastAsia"/>
          <w:b/>
          <w:color w:val="auto"/>
          <w:sz w:val="28"/>
          <w:szCs w:val="28"/>
          <w:highlight w:val="none"/>
        </w:rPr>
        <w:t>五、项目供应商的确定</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bookmarkStart w:id="1" w:name="_Toc127839445"/>
      <w:bookmarkStart w:id="2" w:name="_Toc263841032"/>
      <w:bookmarkStart w:id="3" w:name="_Toc163553880"/>
      <w:bookmarkStart w:id="4" w:name="_Toc156183817"/>
      <w:bookmarkStart w:id="5" w:name="_Toc261334352"/>
      <w:bookmarkStart w:id="6" w:name="_Toc212018660"/>
      <w:bookmarkStart w:id="7" w:name="_Toc326826376"/>
      <w:bookmarkStart w:id="8" w:name="_Toc163553693"/>
      <w:bookmarkStart w:id="9" w:name="_Toc196189724"/>
      <w:bookmarkStart w:id="10" w:name="_Toc156183892"/>
      <w:bookmarkStart w:id="11" w:name="_Toc203621060"/>
      <w:bookmarkStart w:id="12" w:name="_Toc261335356"/>
      <w:bookmarkStart w:id="13" w:name="_Toc263841708"/>
      <w:r>
        <w:rPr>
          <w:rFonts w:hint="eastAsia" w:ascii="宋体" w:hAnsi="宋体" w:eastAsia="宋体" w:cs="宋体"/>
          <w:color w:val="auto"/>
          <w:kern w:val="0"/>
          <w:sz w:val="24"/>
          <w:szCs w:val="24"/>
          <w:highlight w:val="none"/>
          <w:lang w:val="en-US" w:eastAsia="zh-CN" w:bidi="ar"/>
        </w:rPr>
        <w:t>本次综合评审采购采用综合评分法。评分按价格、技术商务分别打分的方式进行(每部分得分计算以四舍五入的方式保留到小数点后两位)。综合得分满分为100分，其构成及权重为商务</w:t>
      </w:r>
      <w:r>
        <w:rPr>
          <w:rFonts w:hint="eastAsia" w:ascii="宋体" w:hAnsi="宋体" w:cs="宋体"/>
          <w:color w:val="auto"/>
          <w:kern w:val="0"/>
          <w:sz w:val="24"/>
          <w:szCs w:val="24"/>
          <w:highlight w:val="none"/>
          <w:lang w:val="en-US" w:eastAsia="zh-CN" w:bidi="ar"/>
        </w:rPr>
        <w:t>技术</w:t>
      </w:r>
      <w:r>
        <w:rPr>
          <w:rFonts w:hint="eastAsia" w:ascii="宋体" w:hAnsi="宋体" w:eastAsia="宋体" w:cs="宋体"/>
          <w:color w:val="auto"/>
          <w:kern w:val="0"/>
          <w:sz w:val="24"/>
          <w:szCs w:val="24"/>
          <w:highlight w:val="none"/>
          <w:lang w:val="en-US" w:eastAsia="zh-CN" w:bidi="ar"/>
        </w:rPr>
        <w:t>得分占</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0％、价格得分占40％。</w:t>
      </w:r>
    </w:p>
    <w:p>
      <w:pPr>
        <w:widowControl/>
        <w:spacing w:before="150" w:after="150" w:line="312" w:lineRule="auto"/>
        <w:ind w:firstLine="560"/>
        <w:jc w:val="left"/>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5.1评审步骤</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第一阶段：评审小组根据报价人资质条件对报价文件进行符合性审查，通过符合性审查的报价文件进入第二阶段评审。</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第二阶段：评审小组对通过符合性审查的报价文件进行价格核准确定其报价价格。</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第三阶段：评审小组根据以上价格评审结果计算出各入围供应商的综合得分，并以此进行排序，推荐中标候选人。</w:t>
      </w:r>
    </w:p>
    <w:p>
      <w:pPr>
        <w:widowControl/>
        <w:spacing w:before="150" w:after="150" w:line="312" w:lineRule="auto"/>
        <w:ind w:firstLine="56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5.2评分细则</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5.2.1价格评审</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价格评审为客观计算得分，总分为40分。价格得分计算方法如下：</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以所有有效投标人的评标价的算术平均值作为评标基准价。评标基准价记为A,将其与各投标人报价（记为B）比较，满分40分。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①投标人评标价B等于评标基准价A，即B＝A 时,计为满分40分；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评标价不等于评标基准价的投标人价格得分以下列公式计算得出（即每高于评标基准价1%扣1分，每低于评标基准价1%扣0.5分，其余采用内插法计算，扣至0分为止，得分四舍五入保留两位小数）；</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②当评标价B高于评标基准价A时，投标报价得分=40-100×1×|B-A|/A；</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③当评标价B低于评标基准价A时，投标报价得分=40-100×0.5×|B-A|/A。</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（4）各供应商的综合总得分由以下三部分组成(每部分得分计算以四舍五入的方式保留到小数点后两位):</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1 \* GB3</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①</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技术得分：取全体评委技术评分（各技术细项评分总和）的算术平均值；</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2 \* GB3</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②</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商务得分：取全体评委商务评分（各商务细项评分总和）的算术平均值；</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3 \* GB3</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③</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价格得分：为价格评审的客观计算得分。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投标人综合总得分＝技术得分＋商务得分＋价格得分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5.2.2</w:t>
      </w:r>
      <w:r>
        <w:rPr>
          <w:rFonts w:hint="eastAsia" w:ascii="宋体" w:hAnsi="宋体" w:cs="宋体"/>
          <w:color w:val="auto"/>
          <w:kern w:val="0"/>
          <w:sz w:val="24"/>
          <w:szCs w:val="24"/>
          <w:highlight w:val="none"/>
          <w:lang w:val="en-US" w:eastAsia="zh-CN" w:bidi="ar"/>
        </w:rPr>
        <w:t>商务技术</w:t>
      </w:r>
      <w:r>
        <w:rPr>
          <w:rFonts w:hint="eastAsia" w:ascii="宋体" w:hAnsi="宋体" w:eastAsia="宋体" w:cs="宋体"/>
          <w:color w:val="auto"/>
          <w:kern w:val="0"/>
          <w:sz w:val="24"/>
          <w:szCs w:val="24"/>
          <w:highlight w:val="none"/>
          <w:lang w:val="en-US" w:eastAsia="zh-CN" w:bidi="ar"/>
        </w:rPr>
        <w:t>评分细则</w:t>
      </w:r>
    </w:p>
    <w:p>
      <w:pPr>
        <w:rPr>
          <w:rFonts w:hint="eastAsia" w:ascii="宋体" w:hAnsi="宋体" w:eastAsia="宋体" w:cs="宋体"/>
          <w:color w:val="auto"/>
          <w:kern w:val="0"/>
          <w:sz w:val="24"/>
          <w:szCs w:val="24"/>
          <w:highlight w:val="none"/>
          <w:lang w:val="en-US" w:eastAsia="zh-CN" w:bidi="ar"/>
        </w:rPr>
      </w:pPr>
    </w:p>
    <w:p>
      <w:pPr>
        <w:rPr>
          <w:rFonts w:hint="eastAsia"/>
          <w:color w:val="auto"/>
          <w:highlight w:val="none"/>
          <w:lang w:val="en-US" w:eastAsia="zh-CN"/>
        </w:rPr>
      </w:pPr>
    </w:p>
    <w:tbl>
      <w:tblPr>
        <w:tblStyle w:val="14"/>
        <w:tblW w:w="10137" w:type="dxa"/>
        <w:jc w:val="center"/>
        <w:tblLayout w:type="fixed"/>
        <w:tblCellMar>
          <w:top w:w="0" w:type="dxa"/>
          <w:left w:w="108" w:type="dxa"/>
          <w:bottom w:w="0" w:type="dxa"/>
          <w:right w:w="108" w:type="dxa"/>
        </w:tblCellMar>
      </w:tblPr>
      <w:tblGrid>
        <w:gridCol w:w="675"/>
        <w:gridCol w:w="2295"/>
        <w:gridCol w:w="966"/>
        <w:gridCol w:w="6201"/>
      </w:tblGrid>
      <w:tr>
        <w:tblPrEx>
          <w:tblCellMar>
            <w:top w:w="0" w:type="dxa"/>
            <w:left w:w="108" w:type="dxa"/>
            <w:bottom w:w="0" w:type="dxa"/>
            <w:right w:w="108" w:type="dxa"/>
          </w:tblCellMar>
        </w:tblPrEx>
        <w:trPr>
          <w:trHeight w:val="1229" w:hRule="atLeast"/>
          <w:jc w:val="center"/>
        </w:trPr>
        <w:tc>
          <w:tcPr>
            <w:tcW w:w="675" w:type="dxa"/>
            <w:tcBorders>
              <w:top w:val="single" w:color="auto" w:sz="8" w:space="0"/>
              <w:left w:val="single" w:color="auto" w:sz="8" w:space="0"/>
              <w:right w:val="single" w:color="auto" w:sz="8" w:space="0"/>
            </w:tcBorders>
            <w:noWrap w:val="0"/>
            <w:vAlign w:val="center"/>
          </w:tcPr>
          <w:p>
            <w:pPr>
              <w:spacing w:line="276" w:lineRule="auto"/>
              <w:jc w:val="center"/>
              <w:rPr>
                <w:rFonts w:hint="eastAsia" w:ascii="宋体" w:hAnsi="宋体"/>
                <w:color w:val="auto"/>
                <w:sz w:val="18"/>
                <w:szCs w:val="18"/>
                <w:highlight w:val="none"/>
              </w:rPr>
            </w:pPr>
            <w:r>
              <w:rPr>
                <w:rFonts w:hint="eastAsia" w:ascii="宋体" w:hAnsi="宋体"/>
                <w:color w:val="auto"/>
                <w:sz w:val="18"/>
                <w:szCs w:val="18"/>
                <w:highlight w:val="none"/>
              </w:rPr>
              <w:t>序号</w:t>
            </w:r>
          </w:p>
        </w:tc>
        <w:tc>
          <w:tcPr>
            <w:tcW w:w="2295" w:type="dxa"/>
            <w:tcBorders>
              <w:top w:val="single" w:color="auto" w:sz="8" w:space="0"/>
              <w:left w:val="nil"/>
              <w:right w:val="single" w:color="auto" w:sz="8" w:space="0"/>
            </w:tcBorders>
            <w:noWrap w:val="0"/>
            <w:vAlign w:val="center"/>
          </w:tcPr>
          <w:p>
            <w:pPr>
              <w:spacing w:line="276" w:lineRule="auto"/>
              <w:jc w:val="center"/>
              <w:rPr>
                <w:rFonts w:hint="eastAsia" w:ascii="宋体" w:hAnsi="宋体"/>
                <w:color w:val="auto"/>
                <w:sz w:val="18"/>
                <w:szCs w:val="18"/>
                <w:highlight w:val="none"/>
              </w:rPr>
            </w:pPr>
            <w:r>
              <w:rPr>
                <w:rFonts w:hint="eastAsia" w:ascii="宋体" w:hAnsi="宋体"/>
                <w:color w:val="auto"/>
                <w:sz w:val="18"/>
                <w:szCs w:val="18"/>
                <w:highlight w:val="none"/>
              </w:rPr>
              <w:t>评审项目</w:t>
            </w:r>
          </w:p>
        </w:tc>
        <w:tc>
          <w:tcPr>
            <w:tcW w:w="966" w:type="dxa"/>
            <w:tcBorders>
              <w:top w:val="single" w:color="auto" w:sz="8" w:space="0"/>
              <w:left w:val="nil"/>
              <w:right w:val="single" w:color="auto" w:sz="8" w:space="0"/>
            </w:tcBorders>
            <w:noWrap w:val="0"/>
            <w:vAlign w:val="center"/>
          </w:tcPr>
          <w:p>
            <w:pPr>
              <w:spacing w:line="276" w:lineRule="auto"/>
              <w:jc w:val="center"/>
              <w:rPr>
                <w:rFonts w:hint="eastAsia" w:ascii="宋体" w:hAnsi="宋体"/>
                <w:color w:val="auto"/>
                <w:sz w:val="18"/>
                <w:szCs w:val="18"/>
                <w:highlight w:val="none"/>
              </w:rPr>
            </w:pPr>
            <w:r>
              <w:rPr>
                <w:rFonts w:hint="eastAsia" w:ascii="宋体" w:hAnsi="宋体"/>
                <w:color w:val="auto"/>
                <w:sz w:val="18"/>
                <w:szCs w:val="18"/>
                <w:highlight w:val="none"/>
              </w:rPr>
              <w:t>单项得分</w:t>
            </w:r>
          </w:p>
        </w:tc>
        <w:tc>
          <w:tcPr>
            <w:tcW w:w="6201" w:type="dxa"/>
            <w:tcBorders>
              <w:top w:val="single" w:color="auto" w:sz="8" w:space="0"/>
              <w:left w:val="nil"/>
              <w:right w:val="single" w:color="auto" w:sz="8" w:space="0"/>
            </w:tcBorders>
            <w:noWrap w:val="0"/>
            <w:vAlign w:val="center"/>
          </w:tcPr>
          <w:p>
            <w:pPr>
              <w:spacing w:line="276" w:lineRule="auto"/>
              <w:jc w:val="center"/>
              <w:rPr>
                <w:rFonts w:hint="eastAsia" w:ascii="宋体" w:hAnsi="宋体"/>
                <w:color w:val="auto"/>
                <w:sz w:val="18"/>
                <w:szCs w:val="18"/>
                <w:highlight w:val="none"/>
              </w:rPr>
            </w:pPr>
            <w:r>
              <w:rPr>
                <w:rFonts w:hint="eastAsia" w:ascii="宋体" w:hAnsi="宋体"/>
                <w:color w:val="auto"/>
                <w:sz w:val="18"/>
                <w:szCs w:val="18"/>
                <w:highlight w:val="none"/>
              </w:rPr>
              <w:t>评审内容</w:t>
            </w:r>
          </w:p>
        </w:tc>
      </w:tr>
      <w:tr>
        <w:tblPrEx>
          <w:tblCellMar>
            <w:top w:w="0" w:type="dxa"/>
            <w:left w:w="108" w:type="dxa"/>
            <w:bottom w:w="0" w:type="dxa"/>
            <w:right w:w="108" w:type="dxa"/>
          </w:tblCellMar>
        </w:tblPrEx>
        <w:trPr>
          <w:trHeight w:val="1229" w:hRule="atLeast"/>
          <w:jc w:val="center"/>
        </w:trPr>
        <w:tc>
          <w:tcPr>
            <w:tcW w:w="675" w:type="dxa"/>
            <w:tcBorders>
              <w:top w:val="single" w:color="auto" w:sz="8" w:space="0"/>
              <w:left w:val="single" w:color="auto" w:sz="8" w:space="0"/>
              <w:right w:val="single" w:color="auto" w:sz="8" w:space="0"/>
            </w:tcBorders>
            <w:noWrap w:val="0"/>
            <w:vAlign w:val="center"/>
          </w:tcPr>
          <w:p>
            <w:pPr>
              <w:spacing w:line="276" w:lineRule="auto"/>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w:t>
            </w:r>
          </w:p>
        </w:tc>
        <w:tc>
          <w:tcPr>
            <w:tcW w:w="2295" w:type="dxa"/>
            <w:tcBorders>
              <w:top w:val="single" w:color="auto" w:sz="8" w:space="0"/>
              <w:left w:val="nil"/>
              <w:right w:val="single" w:color="auto" w:sz="8" w:space="0"/>
            </w:tcBorders>
            <w:noWrap w:val="0"/>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0"/>
                <w:highlight w:val="none"/>
              </w:rPr>
              <w:t>投标文件整体情况</w:t>
            </w:r>
          </w:p>
        </w:tc>
        <w:tc>
          <w:tcPr>
            <w:tcW w:w="966" w:type="dxa"/>
            <w:tcBorders>
              <w:top w:val="single" w:color="auto" w:sz="8" w:space="0"/>
              <w:left w:val="nil"/>
              <w:right w:val="single" w:color="auto" w:sz="8" w:space="0"/>
            </w:tcBorders>
            <w:noWrap w:val="0"/>
            <w:vAlign w:val="center"/>
          </w:tcPr>
          <w:p>
            <w:pPr>
              <w:jc w:val="center"/>
              <w:rPr>
                <w:rFonts w:hint="eastAsia"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2</w:t>
            </w:r>
          </w:p>
        </w:tc>
        <w:tc>
          <w:tcPr>
            <w:tcW w:w="6201" w:type="dxa"/>
            <w:tcBorders>
              <w:top w:val="single" w:color="auto" w:sz="8" w:space="0"/>
              <w:left w:val="nil"/>
              <w:right w:val="single" w:color="auto" w:sz="8" w:space="0"/>
            </w:tcBorders>
            <w:noWrap w:val="0"/>
            <w:vAlign w:val="center"/>
          </w:tcPr>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1.投标文件内容齐全工整、清晰有序，得2分；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2.投标文件内容基本齐全工整，得1分；</w:t>
            </w:r>
          </w:p>
          <w:p>
            <w:pPr>
              <w:spacing w:line="276" w:lineRule="auto"/>
              <w:jc w:val="left"/>
              <w:rPr>
                <w:rFonts w:hint="eastAsia" w:ascii="宋体" w:hAnsi="宋体" w:eastAsia="宋体" w:cs="宋体"/>
                <w:color w:val="auto"/>
                <w:kern w:val="0"/>
                <w:sz w:val="18"/>
                <w:szCs w:val="18"/>
                <w:highlight w:val="none"/>
                <w:lang w:val="en-US" w:eastAsia="zh-CN" w:bidi="ar-SA"/>
              </w:rPr>
            </w:pPr>
            <w:r>
              <w:rPr>
                <w:rFonts w:hint="eastAsia" w:ascii="宋体" w:hAnsi="宋体"/>
                <w:color w:val="auto"/>
                <w:sz w:val="18"/>
                <w:szCs w:val="18"/>
                <w:highlight w:val="none"/>
                <w:lang w:val="en-US" w:eastAsia="zh-CN"/>
              </w:rPr>
              <w:t>3.投标文件内容不完整、不清晰，得0分；</w:t>
            </w:r>
          </w:p>
        </w:tc>
      </w:tr>
      <w:tr>
        <w:tblPrEx>
          <w:tblCellMar>
            <w:top w:w="0" w:type="dxa"/>
            <w:left w:w="108" w:type="dxa"/>
            <w:bottom w:w="0" w:type="dxa"/>
            <w:right w:w="108" w:type="dxa"/>
          </w:tblCellMar>
        </w:tblPrEx>
        <w:trPr>
          <w:trHeight w:val="892"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体系认证</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ISO9001质量管理体系认证、ISO14001环境管理体系认证、OHSAS18001或GB/T28001职业健康安全管理体系认证。</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以上认证每符合一项得1分，最多得3分。</w:t>
            </w:r>
          </w:p>
        </w:tc>
      </w:tr>
      <w:tr>
        <w:tblPrEx>
          <w:tblCellMar>
            <w:top w:w="0" w:type="dxa"/>
            <w:left w:w="108" w:type="dxa"/>
            <w:bottom w:w="0" w:type="dxa"/>
            <w:right w:w="108" w:type="dxa"/>
          </w:tblCellMar>
        </w:tblPrEx>
        <w:trPr>
          <w:trHeight w:val="1247"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企业荣誉</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3</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投标人2019年至2021年度获得工商行政管理部门颁发的“守合同重信用”荣誉，每得1次得1分。最高得3分。</w:t>
            </w:r>
          </w:p>
        </w:tc>
      </w:tr>
      <w:tr>
        <w:tblPrEx>
          <w:tblCellMar>
            <w:top w:w="0" w:type="dxa"/>
            <w:left w:w="108" w:type="dxa"/>
            <w:bottom w:w="0" w:type="dxa"/>
            <w:right w:w="108" w:type="dxa"/>
          </w:tblCellMar>
        </w:tblPrEx>
        <w:trPr>
          <w:trHeight w:val="90"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4</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color w:val="auto"/>
                <w:sz w:val="18"/>
                <w:szCs w:val="18"/>
                <w:highlight w:val="none"/>
              </w:rPr>
            </w:pPr>
            <w:r>
              <w:rPr>
                <w:rFonts w:hint="eastAsia" w:ascii="宋体" w:hAnsi="宋体"/>
                <w:color w:val="auto"/>
                <w:sz w:val="18"/>
                <w:szCs w:val="18"/>
                <w:highlight w:val="none"/>
              </w:rPr>
              <w:t>财务状况</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1、速动比率</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（1）1≤速动比率，得1分；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（2）0.7≤速动比率＜1，得0.5分；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（3）速动比率＜0.7，不得分。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速动比率=速动资产合计/流动负债合计</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2、资产负债率。</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（1）资产负债率≤65%，得1分；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（2）75%≤资产负债率≤85%，得0.5分；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（3）85%＜资产负债率，不得分。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资产负债率=（负债总额/资产总额）×100%</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3、净资产收益率</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（1）15%＜净资产收益率，得1分；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（2）5%＜净资产收益率≤15%，得0.5分；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（3）净资产收益率≤5%，不得分。</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净资产收益率=净利润/净资产×100%</w:t>
            </w:r>
          </w:p>
          <w:p>
            <w:pPr>
              <w:spacing w:line="276" w:lineRule="auto"/>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（以2021年经审计的财务报表为准，不提供或财务报表数据不完全、不清晰的不得分）</w:t>
            </w:r>
          </w:p>
        </w:tc>
      </w:tr>
      <w:tr>
        <w:tblPrEx>
          <w:tblCellMar>
            <w:top w:w="0" w:type="dxa"/>
            <w:left w:w="108" w:type="dxa"/>
            <w:bottom w:w="0" w:type="dxa"/>
            <w:right w:w="108" w:type="dxa"/>
          </w:tblCellMar>
        </w:tblPrEx>
        <w:trPr>
          <w:trHeight w:val="892"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5</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综合业绩</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8</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2019年5月至今通用备件及消耗品销售业绩。横向对比投标人的销售业绩，排名第一得8分，排名第二得6分，排名第三得4分，排名第四至第六得2份，其余不得分。（须提供合同及供货清单复印件）</w:t>
            </w:r>
          </w:p>
        </w:tc>
      </w:tr>
      <w:tr>
        <w:tblPrEx>
          <w:tblCellMar>
            <w:top w:w="0" w:type="dxa"/>
            <w:left w:w="108" w:type="dxa"/>
            <w:bottom w:w="0" w:type="dxa"/>
            <w:right w:w="108" w:type="dxa"/>
          </w:tblCellMar>
        </w:tblPrEx>
        <w:trPr>
          <w:trHeight w:val="892"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6</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供货质量保证措施</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3</w:t>
            </w:r>
          </w:p>
        </w:tc>
        <w:tc>
          <w:tcPr>
            <w:tcW w:w="6201" w:type="dxa"/>
            <w:tcBorders>
              <w:top w:val="single" w:color="auto" w:sz="8" w:space="0"/>
              <w:left w:val="nil"/>
              <w:bottom w:val="single" w:color="auto" w:sz="8" w:space="0"/>
              <w:right w:val="single" w:color="auto" w:sz="8" w:space="0"/>
            </w:tcBorders>
            <w:noWrap w:val="0"/>
            <w:vAlign w:val="center"/>
          </w:tcPr>
          <w:p>
            <w:pPr>
              <w:numPr>
                <w:ilvl w:val="0"/>
                <w:numId w:val="0"/>
              </w:numPr>
              <w:spacing w:line="276" w:lineRule="auto"/>
              <w:jc w:val="left"/>
              <w:rPr>
                <w:rFonts w:hint="eastAsia"/>
                <w:color w:val="auto"/>
                <w:sz w:val="18"/>
                <w:szCs w:val="18"/>
                <w:highlight w:val="none"/>
                <w:lang w:val="en-US" w:eastAsia="zh-CN"/>
              </w:rPr>
            </w:pPr>
            <w:r>
              <w:rPr>
                <w:rFonts w:hint="eastAsia"/>
                <w:color w:val="auto"/>
                <w:sz w:val="18"/>
                <w:szCs w:val="18"/>
                <w:highlight w:val="none"/>
                <w:lang w:val="en-US" w:eastAsia="zh-CN"/>
              </w:rPr>
              <w:t>1.供货质量保证措施完善，货源易追溯，得3分；</w:t>
            </w:r>
          </w:p>
          <w:p>
            <w:pPr>
              <w:pStyle w:val="2"/>
              <w:numPr>
                <w:ilvl w:val="0"/>
                <w:numId w:val="0"/>
              </w:numPr>
              <w:jc w:val="left"/>
              <w:rPr>
                <w:rFonts w:hint="default"/>
                <w:color w:val="auto"/>
                <w:sz w:val="18"/>
                <w:szCs w:val="18"/>
                <w:highlight w:val="none"/>
                <w:lang w:val="en-US" w:eastAsia="zh-CN"/>
              </w:rPr>
            </w:pPr>
            <w:r>
              <w:rPr>
                <w:rFonts w:hint="eastAsia"/>
                <w:color w:val="auto"/>
                <w:sz w:val="18"/>
                <w:szCs w:val="18"/>
                <w:highlight w:val="none"/>
                <w:lang w:val="en-US" w:eastAsia="zh-CN"/>
              </w:rPr>
              <w:t>2.供货质量保证措施一般，货源不易追溯，得1分；</w:t>
            </w:r>
          </w:p>
          <w:p>
            <w:pPr>
              <w:jc w:val="left"/>
              <w:rPr>
                <w:rFonts w:hint="eastAsia" w:ascii="Calibri" w:hAnsi="Calibri"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3.供货质量保证措施有缺陷，货源不可追溯，得0分。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7</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仓储物流</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7</w:t>
            </w:r>
          </w:p>
        </w:tc>
        <w:tc>
          <w:tcPr>
            <w:tcW w:w="6201" w:type="dxa"/>
            <w:tcBorders>
              <w:top w:val="single" w:color="auto" w:sz="8" w:space="0"/>
              <w:left w:val="nil"/>
              <w:bottom w:val="single" w:color="auto" w:sz="8" w:space="0"/>
              <w:right w:val="single" w:color="auto" w:sz="8" w:space="0"/>
            </w:tcBorders>
            <w:noWrap w:val="0"/>
            <w:vAlign w:val="center"/>
          </w:tcPr>
          <w:p>
            <w:pPr>
              <w:numPr>
                <w:ilvl w:val="0"/>
                <w:numId w:val="0"/>
              </w:numPr>
              <w:spacing w:line="276" w:lineRule="auto"/>
              <w:jc w:val="left"/>
              <w:rPr>
                <w:rFonts w:hint="eastAsia"/>
                <w:color w:val="auto"/>
                <w:sz w:val="20"/>
                <w:szCs w:val="21"/>
                <w:highlight w:val="none"/>
                <w:lang w:val="en-US" w:eastAsia="zh-CN"/>
              </w:rPr>
            </w:pPr>
            <w:r>
              <w:rPr>
                <w:rFonts w:hint="eastAsia"/>
                <w:color w:val="auto"/>
                <w:sz w:val="20"/>
                <w:szCs w:val="21"/>
                <w:highlight w:val="none"/>
                <w:lang w:val="en-US" w:eastAsia="zh-CN"/>
              </w:rPr>
              <w:t>1.离白云机场车程40公里（含）有仓库得3分。</w:t>
            </w:r>
          </w:p>
          <w:p>
            <w:pPr>
              <w:numPr>
                <w:ilvl w:val="0"/>
                <w:numId w:val="0"/>
              </w:numPr>
              <w:spacing w:line="276" w:lineRule="auto"/>
              <w:jc w:val="left"/>
              <w:rPr>
                <w:rFonts w:hint="eastAsia"/>
                <w:color w:val="auto"/>
                <w:sz w:val="20"/>
                <w:szCs w:val="21"/>
                <w:highlight w:val="none"/>
                <w:lang w:val="en-US" w:eastAsia="zh-CN"/>
              </w:rPr>
            </w:pPr>
            <w:r>
              <w:rPr>
                <w:rFonts w:hint="eastAsia"/>
                <w:color w:val="auto"/>
                <w:sz w:val="20"/>
                <w:szCs w:val="21"/>
                <w:highlight w:val="none"/>
                <w:lang w:val="en-US" w:eastAsia="zh-CN"/>
              </w:rPr>
              <w:t>2.离白云机场车程40公里（不含）至50公里（含）有仓库得2分。</w:t>
            </w:r>
          </w:p>
          <w:p>
            <w:pPr>
              <w:numPr>
                <w:ilvl w:val="0"/>
                <w:numId w:val="0"/>
              </w:numPr>
              <w:spacing w:line="276" w:lineRule="auto"/>
              <w:jc w:val="left"/>
              <w:rPr>
                <w:rFonts w:hint="eastAsia"/>
                <w:color w:val="auto"/>
                <w:sz w:val="20"/>
                <w:szCs w:val="21"/>
                <w:highlight w:val="none"/>
                <w:lang w:val="en-US" w:eastAsia="zh-CN"/>
              </w:rPr>
            </w:pPr>
            <w:r>
              <w:rPr>
                <w:rFonts w:hint="eastAsia"/>
                <w:color w:val="auto"/>
                <w:sz w:val="20"/>
                <w:szCs w:val="21"/>
                <w:highlight w:val="none"/>
                <w:lang w:val="en-US" w:eastAsia="zh-CN"/>
              </w:rPr>
              <w:t>3.离白云机场车程50公里（不含）以上有仓库得1分。</w:t>
            </w:r>
          </w:p>
          <w:p>
            <w:pPr>
              <w:numPr>
                <w:ilvl w:val="0"/>
                <w:numId w:val="0"/>
              </w:numPr>
              <w:spacing w:line="276" w:lineRule="auto"/>
              <w:jc w:val="left"/>
              <w:rPr>
                <w:rFonts w:hint="eastAsia"/>
                <w:color w:val="auto"/>
                <w:sz w:val="20"/>
                <w:szCs w:val="21"/>
                <w:highlight w:val="none"/>
                <w:lang w:val="en-US" w:eastAsia="zh-CN"/>
              </w:rPr>
            </w:pPr>
            <w:r>
              <w:rPr>
                <w:rFonts w:hint="eastAsia"/>
                <w:color w:val="auto"/>
                <w:sz w:val="20"/>
                <w:szCs w:val="21"/>
                <w:highlight w:val="none"/>
                <w:lang w:val="en-US" w:eastAsia="zh-CN"/>
              </w:rPr>
              <w:t>4.仓库面积91-110平方米得3分。</w:t>
            </w:r>
          </w:p>
          <w:p>
            <w:pPr>
              <w:numPr>
                <w:ilvl w:val="0"/>
                <w:numId w:val="0"/>
              </w:numPr>
              <w:spacing w:line="276" w:lineRule="auto"/>
              <w:jc w:val="left"/>
              <w:rPr>
                <w:rFonts w:hint="eastAsia"/>
                <w:color w:val="auto"/>
                <w:sz w:val="20"/>
                <w:szCs w:val="21"/>
                <w:highlight w:val="none"/>
                <w:lang w:val="en-US" w:eastAsia="zh-CN"/>
              </w:rPr>
            </w:pPr>
            <w:r>
              <w:rPr>
                <w:rFonts w:hint="eastAsia"/>
                <w:color w:val="auto"/>
                <w:sz w:val="20"/>
                <w:szCs w:val="21"/>
                <w:highlight w:val="none"/>
                <w:lang w:val="en-US" w:eastAsia="zh-CN"/>
              </w:rPr>
              <w:t>5.仓库面积71-90平方米得2分。</w:t>
            </w:r>
          </w:p>
          <w:p>
            <w:pPr>
              <w:numPr>
                <w:ilvl w:val="0"/>
                <w:numId w:val="0"/>
              </w:numPr>
              <w:spacing w:line="276" w:lineRule="auto"/>
              <w:jc w:val="left"/>
              <w:rPr>
                <w:rFonts w:hint="default"/>
                <w:color w:val="auto"/>
                <w:sz w:val="20"/>
                <w:szCs w:val="21"/>
                <w:highlight w:val="none"/>
                <w:lang w:val="en-US" w:eastAsia="zh-CN"/>
              </w:rPr>
            </w:pPr>
            <w:r>
              <w:rPr>
                <w:rFonts w:hint="eastAsia"/>
                <w:color w:val="auto"/>
                <w:sz w:val="20"/>
                <w:szCs w:val="21"/>
                <w:highlight w:val="none"/>
                <w:lang w:val="en-US" w:eastAsia="zh-CN"/>
              </w:rPr>
              <w:t>6.仓库面积50-70平方米得1分。</w:t>
            </w:r>
          </w:p>
          <w:p>
            <w:pPr>
              <w:numPr>
                <w:ilvl w:val="0"/>
                <w:numId w:val="0"/>
              </w:numPr>
              <w:spacing w:line="276" w:lineRule="auto"/>
              <w:jc w:val="left"/>
              <w:rPr>
                <w:rFonts w:hint="eastAsia"/>
                <w:color w:val="auto"/>
                <w:sz w:val="20"/>
                <w:szCs w:val="21"/>
                <w:highlight w:val="none"/>
                <w:lang w:val="en-US" w:eastAsia="zh-CN"/>
              </w:rPr>
            </w:pPr>
            <w:r>
              <w:rPr>
                <w:rFonts w:hint="eastAsia"/>
                <w:color w:val="auto"/>
                <w:sz w:val="20"/>
                <w:szCs w:val="21"/>
                <w:highlight w:val="none"/>
                <w:lang w:val="en-US" w:eastAsia="zh-CN"/>
              </w:rPr>
              <w:t>7.没仓库或面积小于50平方米（不含）得0分。</w:t>
            </w:r>
          </w:p>
          <w:p>
            <w:pPr>
              <w:numPr>
                <w:ilvl w:val="0"/>
                <w:numId w:val="0"/>
              </w:numPr>
              <w:spacing w:line="276" w:lineRule="auto"/>
              <w:jc w:val="left"/>
              <w:rPr>
                <w:rFonts w:hint="eastAsia"/>
                <w:color w:val="auto"/>
                <w:sz w:val="20"/>
                <w:szCs w:val="21"/>
                <w:highlight w:val="none"/>
                <w:lang w:val="en-US" w:eastAsia="zh-CN"/>
              </w:rPr>
            </w:pPr>
            <w:r>
              <w:rPr>
                <w:rFonts w:hint="eastAsia"/>
                <w:color w:val="auto"/>
                <w:sz w:val="20"/>
                <w:szCs w:val="21"/>
                <w:highlight w:val="none"/>
                <w:lang w:val="en-US" w:eastAsia="zh-CN"/>
              </w:rPr>
              <w:t>8.有自有送货车辆得1分。</w:t>
            </w:r>
          </w:p>
          <w:p>
            <w:pPr>
              <w:pStyle w:val="2"/>
              <w:ind w:left="0" w:leftChars="0" w:firstLine="0" w:firstLineChars="0"/>
              <w:rPr>
                <w:rFonts w:hint="default"/>
                <w:color w:val="auto"/>
                <w:highlight w:val="none"/>
                <w:lang w:val="en-US" w:eastAsia="zh-CN"/>
              </w:rPr>
            </w:pPr>
            <w:r>
              <w:rPr>
                <w:rFonts w:hint="eastAsia" w:ascii="Calibri" w:hAnsi="Calibri" w:eastAsia="宋体" w:cs="Times New Roman"/>
                <w:color w:val="auto"/>
                <w:kern w:val="2"/>
                <w:sz w:val="20"/>
                <w:szCs w:val="21"/>
                <w:highlight w:val="none"/>
                <w:lang w:val="en-US" w:eastAsia="zh-CN" w:bidi="ar-SA"/>
              </w:rPr>
              <w:t>需提供地图导航截图（导航至白云机场T1航站楼）、仓库产权证明或租赁合同、车辆权属证明。</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8</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eastAsia="zh-CN"/>
              </w:rPr>
              <w:t>服务响应时间</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9</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投标人承诺的服务要求响应时间：</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1.报价响应时间</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1天内响应得2分；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超过1天至3天内响应得1分；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超过3天后响应得0分。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2.技术支持响应时间</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1天内响应得2分；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超过1天至3天内响应得1分；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超过3天后响应得0分。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3.送货及退换货响应时间</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2天内响应得5分；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超过2天至5天内响应得4分；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超过5天至10天内响应得2分；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4</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超过10天至15天内响应得1分；</w:t>
            </w:r>
          </w:p>
          <w:p>
            <w:pPr>
              <w:spacing w:line="276" w:lineRule="auto"/>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超过15天响应得0分；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9</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售后服务承诺</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6</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color w:val="auto"/>
                <w:sz w:val="18"/>
                <w:szCs w:val="18"/>
                <w:highlight w:val="none"/>
              </w:rPr>
            </w:pP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有详细的售后服务承诺</w:t>
            </w:r>
            <w:r>
              <w:rPr>
                <w:rFonts w:hint="eastAsia" w:ascii="宋体" w:hAnsi="宋体"/>
                <w:color w:val="auto"/>
                <w:sz w:val="18"/>
                <w:szCs w:val="18"/>
                <w:highlight w:val="none"/>
                <w:lang w:eastAsia="zh-CN"/>
              </w:rPr>
              <w:t>，并</w:t>
            </w:r>
            <w:r>
              <w:rPr>
                <w:rFonts w:hint="eastAsia" w:ascii="宋体" w:hAnsi="宋体"/>
                <w:color w:val="auto"/>
                <w:sz w:val="18"/>
                <w:szCs w:val="18"/>
                <w:highlight w:val="none"/>
              </w:rPr>
              <w:t>有增值服务承诺：</w:t>
            </w:r>
            <w:r>
              <w:rPr>
                <w:rFonts w:hint="eastAsia" w:ascii="宋体" w:hAnsi="宋体"/>
                <w:color w:val="auto"/>
                <w:sz w:val="18"/>
                <w:szCs w:val="18"/>
                <w:highlight w:val="none"/>
                <w:lang w:val="en-US" w:eastAsia="zh-CN"/>
              </w:rPr>
              <w:t>4-6</w:t>
            </w:r>
            <w:r>
              <w:rPr>
                <w:rFonts w:hint="eastAsia" w:ascii="宋体" w:hAnsi="宋体"/>
                <w:color w:val="auto"/>
                <w:sz w:val="18"/>
                <w:szCs w:val="18"/>
                <w:highlight w:val="none"/>
              </w:rPr>
              <w:t>分</w:t>
            </w:r>
          </w:p>
          <w:p>
            <w:pPr>
              <w:spacing w:line="276" w:lineRule="auto"/>
              <w:jc w:val="left"/>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由专家评委横向对比投标人的增值服务承诺，排名第一得6分，排名第二得5分，排名第三得4分。</w:t>
            </w:r>
            <w:r>
              <w:rPr>
                <w:rFonts w:hint="eastAsia" w:ascii="宋体" w:hAnsi="宋体"/>
                <w:color w:val="auto"/>
                <w:sz w:val="18"/>
                <w:szCs w:val="18"/>
                <w:highlight w:val="none"/>
                <w:lang w:eastAsia="zh-CN"/>
              </w:rPr>
              <w:t>）</w:t>
            </w:r>
          </w:p>
          <w:p>
            <w:pPr>
              <w:spacing w:line="276" w:lineRule="auto"/>
              <w:jc w:val="left"/>
              <w:rPr>
                <w:rFonts w:hint="eastAsia"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有详细的售后服务承诺：</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分</w:t>
            </w:r>
          </w:p>
          <w:p>
            <w:pPr>
              <w:spacing w:line="276" w:lineRule="auto"/>
              <w:jc w:val="left"/>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售后服务承诺一般：</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分</w:t>
            </w:r>
          </w:p>
          <w:p>
            <w:pPr>
              <w:spacing w:line="276" w:lineRule="auto"/>
              <w:jc w:val="left"/>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售后服务承诺差：</w:t>
            </w:r>
            <w:r>
              <w:rPr>
                <w:rFonts w:hint="eastAsia" w:ascii="宋体" w:hAnsi="宋体"/>
                <w:color w:val="auto"/>
                <w:sz w:val="18"/>
                <w:szCs w:val="18"/>
                <w:highlight w:val="none"/>
                <w:lang w:val="en-US" w:eastAsia="zh-CN"/>
              </w:rPr>
              <w:t>0</w:t>
            </w:r>
            <w:r>
              <w:rPr>
                <w:rFonts w:hint="eastAsia" w:ascii="宋体" w:hAnsi="宋体"/>
                <w:color w:val="auto"/>
                <w:sz w:val="18"/>
                <w:szCs w:val="18"/>
                <w:highlight w:val="none"/>
              </w:rPr>
              <w:t>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10</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授权经销</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8</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通用配件及消耗品清单中的产品，能提供一项产品销售授权书的得1分，最多得8分。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（授权必须包含以下品牌：ABB、丹佛斯、施耐德、西门子、欧姆龙、博世、世达工具、联塑、东洋克斯、高岘、海康威视）</w:t>
            </w:r>
          </w:p>
          <w:p>
            <w:pPr>
              <w:spacing w:line="276" w:lineRule="auto"/>
              <w:rPr>
                <w:rFonts w:hint="eastAsia" w:ascii="Calibri" w:hAnsi="Calibri"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注：授权的形式包含制造厂授权经销商、制造厂项目授权经销、产品原厂证明授权。</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11</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质保期时间</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8</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1.质保期12个月得1分；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2.质保期15个月得2分；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3.质保期18个月得3分；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4.质保期21个月得4分；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5.质保期24个月得6分；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6.质保期26个月（含）以上得8分；</w:t>
            </w:r>
          </w:p>
          <w:p>
            <w:pPr>
              <w:spacing w:line="276" w:lineRule="auto"/>
              <w:rPr>
                <w:rFonts w:hint="eastAsia" w:ascii="Calibri" w:hAnsi="Calibri"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7.质保期小于12个月得0分。</w:t>
            </w:r>
          </w:p>
        </w:tc>
      </w:tr>
    </w:tbl>
    <w:p>
      <w:pPr>
        <w:widowControl/>
        <w:tabs>
          <w:tab w:val="left" w:pos="567"/>
        </w:tabs>
        <w:autoSpaceDE w:val="0"/>
        <w:autoSpaceDN w:val="0"/>
        <w:adjustRightInd w:val="0"/>
        <w:snapToGrid w:val="0"/>
        <w:spacing w:line="360" w:lineRule="auto"/>
        <w:jc w:val="left"/>
        <w:textAlignment w:val="bottom"/>
        <w:outlineLvl w:val="3"/>
        <w:rPr>
          <w:rFonts w:hint="eastAsia" w:ascii="宋体" w:hAnsi="宋体"/>
          <w:b/>
          <w:color w:val="auto"/>
          <w:sz w:val="24"/>
          <w:szCs w:val="24"/>
          <w:highlight w:val="none"/>
          <w:lang w:val="en-US" w:eastAsia="zh-CN"/>
        </w:rPr>
      </w:pPr>
    </w:p>
    <w:p>
      <w:pPr>
        <w:widowControl/>
        <w:tabs>
          <w:tab w:val="left" w:pos="567"/>
        </w:tabs>
        <w:autoSpaceDE w:val="0"/>
        <w:autoSpaceDN w:val="0"/>
        <w:adjustRightInd w:val="0"/>
        <w:snapToGrid w:val="0"/>
        <w:spacing w:line="360" w:lineRule="auto"/>
        <w:jc w:val="left"/>
        <w:textAlignment w:val="bottom"/>
        <w:outlineLvl w:val="3"/>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 xml:space="preserve">5.2.3 </w:t>
      </w:r>
      <w:r>
        <w:rPr>
          <w:rFonts w:hint="eastAsia" w:ascii="宋体" w:hAnsi="宋体"/>
          <w:b/>
          <w:color w:val="auto"/>
          <w:sz w:val="24"/>
          <w:szCs w:val="24"/>
          <w:highlight w:val="none"/>
        </w:rPr>
        <w:t>中标候选人</w:t>
      </w:r>
      <w:bookmarkEnd w:id="1"/>
      <w:bookmarkEnd w:id="2"/>
      <w:bookmarkEnd w:id="3"/>
      <w:bookmarkEnd w:id="4"/>
      <w:bookmarkEnd w:id="5"/>
      <w:bookmarkEnd w:id="6"/>
      <w:bookmarkEnd w:id="7"/>
      <w:bookmarkEnd w:id="8"/>
      <w:bookmarkEnd w:id="9"/>
      <w:bookmarkEnd w:id="10"/>
      <w:bookmarkEnd w:id="11"/>
      <w:bookmarkEnd w:id="12"/>
      <w:bookmarkEnd w:id="13"/>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评标专家根据上述评标步骤和细则进行评审。评标专家根据最终评审的结果，推荐综合得分最高的前三名</w:t>
      </w:r>
      <w:r>
        <w:rPr>
          <w:rFonts w:hint="eastAsia" w:ascii="宋体" w:hAnsi="宋体" w:cs="宋体"/>
          <w:color w:val="auto"/>
          <w:kern w:val="0"/>
          <w:sz w:val="24"/>
          <w:szCs w:val="24"/>
          <w:highlight w:val="none"/>
          <w:lang w:val="en-US" w:eastAsia="zh-CN" w:bidi="ar"/>
        </w:rPr>
        <w:t>作为入库供应商</w:t>
      </w:r>
      <w:r>
        <w:rPr>
          <w:rFonts w:hint="eastAsia" w:ascii="宋体" w:hAnsi="宋体" w:eastAsia="宋体" w:cs="宋体"/>
          <w:color w:val="auto"/>
          <w:kern w:val="0"/>
          <w:sz w:val="24"/>
          <w:szCs w:val="24"/>
          <w:highlight w:val="none"/>
          <w:lang w:val="en-US" w:eastAsia="zh-CN" w:bidi="ar"/>
        </w:rPr>
        <w:t>。如出现两名投标人的综合得分相同时推荐两者中评标价低者为排名靠前的中标候选人；</w:t>
      </w: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审查评标专家递交的评标报告，最终审定</w:t>
      </w:r>
      <w:r>
        <w:rPr>
          <w:rFonts w:hint="eastAsia" w:ascii="宋体" w:hAnsi="宋体" w:cs="宋体"/>
          <w:color w:val="auto"/>
          <w:kern w:val="0"/>
          <w:sz w:val="24"/>
          <w:szCs w:val="24"/>
          <w:highlight w:val="none"/>
          <w:lang w:val="en-US" w:eastAsia="zh-CN" w:bidi="ar"/>
        </w:rPr>
        <w:t>入库供应商</w:t>
      </w:r>
      <w:r>
        <w:rPr>
          <w:rFonts w:hint="eastAsia" w:ascii="宋体" w:hAnsi="宋体" w:eastAsia="宋体" w:cs="宋体"/>
          <w:color w:val="auto"/>
          <w:kern w:val="0"/>
          <w:sz w:val="24"/>
          <w:szCs w:val="24"/>
          <w:highlight w:val="none"/>
          <w:lang w:val="en-US" w:eastAsia="zh-CN" w:bidi="ar"/>
        </w:rPr>
        <w:t>。</w:t>
      </w:r>
    </w:p>
    <w:p>
      <w:pPr>
        <w:rPr>
          <w:rFonts w:hint="eastAsia"/>
          <w:color w:val="auto"/>
          <w:highlight w:val="none"/>
        </w:rPr>
      </w:pPr>
    </w:p>
    <w:p>
      <w:pPr>
        <w:numPr>
          <w:ilvl w:val="0"/>
          <w:numId w:val="3"/>
        </w:numPr>
        <w:jc w:val="left"/>
        <w:outlineLvl w:val="0"/>
        <w:rPr>
          <w:rFonts w:hint="eastAsia"/>
          <w:b/>
          <w:color w:val="auto"/>
          <w:sz w:val="28"/>
          <w:szCs w:val="28"/>
          <w:highlight w:val="none"/>
          <w:lang w:val="en-US" w:eastAsia="zh-CN"/>
        </w:rPr>
      </w:pPr>
      <w:r>
        <w:rPr>
          <w:rFonts w:hint="eastAsia"/>
          <w:b/>
          <w:color w:val="auto"/>
          <w:sz w:val="28"/>
          <w:szCs w:val="28"/>
          <w:highlight w:val="none"/>
          <w:lang w:val="en-US" w:eastAsia="zh-CN"/>
        </w:rPr>
        <w:t>文件格式</w:t>
      </w:r>
    </w:p>
    <w:p>
      <w:pPr>
        <w:pStyle w:val="2"/>
        <w:numPr>
          <w:ilvl w:val="0"/>
          <w:numId w:val="0"/>
        </w:numPr>
        <w:rPr>
          <w:rFonts w:hint="default"/>
          <w:color w:val="auto"/>
          <w:highlight w:val="none"/>
          <w:lang w:val="en-US" w:eastAsia="zh-CN"/>
        </w:rPr>
      </w:pPr>
    </w:p>
    <w:p>
      <w:pPr>
        <w:jc w:val="lef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附录1：营业执照复印、一般纳税人资格证明文件</w:t>
      </w:r>
      <w:r>
        <w:rPr>
          <w:rFonts w:hint="eastAsia" w:ascii="仿宋_GB2312" w:eastAsia="仿宋_GB2312"/>
          <w:b/>
          <w:color w:val="auto"/>
          <w:sz w:val="28"/>
          <w:szCs w:val="28"/>
          <w:highlight w:val="none"/>
          <w:lang w:eastAsia="zh-CN"/>
        </w:rPr>
        <w:t>（</w:t>
      </w:r>
      <w:r>
        <w:rPr>
          <w:rFonts w:hint="eastAsia" w:ascii="仿宋_GB2312" w:eastAsia="仿宋_GB2312"/>
          <w:b/>
          <w:color w:val="auto"/>
          <w:sz w:val="28"/>
          <w:szCs w:val="28"/>
          <w:highlight w:val="none"/>
          <w:lang w:val="en-US" w:eastAsia="zh-CN"/>
        </w:rPr>
        <w:t>自拟</w:t>
      </w:r>
      <w:r>
        <w:rPr>
          <w:rFonts w:hint="eastAsia" w:ascii="仿宋_GB2312" w:eastAsia="仿宋_GB2312"/>
          <w:b/>
          <w:color w:val="auto"/>
          <w:sz w:val="28"/>
          <w:szCs w:val="28"/>
          <w:highlight w:val="none"/>
          <w:lang w:eastAsia="zh-CN"/>
        </w:rPr>
        <w:t>）</w:t>
      </w:r>
    </w:p>
    <w:p>
      <w:pPr>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br w:type="page"/>
      </w:r>
      <w:r>
        <w:rPr>
          <w:rFonts w:hint="eastAsia" w:ascii="仿宋_GB2312" w:eastAsia="仿宋_GB2312"/>
          <w:b/>
          <w:color w:val="auto"/>
          <w:sz w:val="28"/>
          <w:szCs w:val="28"/>
          <w:highlight w:val="none"/>
        </w:rPr>
        <w:t>附录2</w:t>
      </w:r>
      <w:r>
        <w:rPr>
          <w:rFonts w:hint="eastAsia" w:ascii="仿宋_GB2312" w:eastAsia="仿宋_GB2312"/>
          <w:b/>
          <w:color w:val="auto"/>
          <w:sz w:val="28"/>
          <w:szCs w:val="28"/>
          <w:highlight w:val="none"/>
          <w:lang w:eastAsia="zh-CN"/>
        </w:rPr>
        <w:t>：</w:t>
      </w:r>
    </w:p>
    <w:p>
      <w:pPr>
        <w:jc w:val="center"/>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（如报价文件签署人是法人代表）</w:t>
      </w:r>
    </w:p>
    <w:p>
      <w:pPr>
        <w:spacing w:line="360" w:lineRule="auto"/>
        <w:rPr>
          <w:rFonts w:ascii="仿宋_GB2312" w:hAnsi="宋体" w:eastAsia="仿宋_GB2312"/>
          <w:color w:val="auto"/>
          <w:sz w:val="28"/>
          <w:szCs w:val="28"/>
          <w:highlight w:val="none"/>
        </w:rPr>
      </w:pPr>
    </w:p>
    <w:p>
      <w:pPr>
        <w:spacing w:line="360" w:lineRule="auto"/>
        <w:rPr>
          <w:rFonts w:ascii="仿宋_GB2312" w:hAnsi="宋体" w:eastAsia="仿宋_GB2312"/>
          <w:color w:val="auto"/>
          <w:sz w:val="28"/>
          <w:szCs w:val="28"/>
          <w:highlight w:val="none"/>
        </w:rPr>
      </w:pPr>
      <w:r>
        <w:rPr>
          <w:rFonts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先生</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女士，现我单位</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职务，为法定代表人，特此证明。</w:t>
      </w:r>
    </w:p>
    <w:p>
      <w:pPr>
        <w:spacing w:line="360" w:lineRule="auto"/>
        <w:rPr>
          <w:rFonts w:ascii="仿宋_GB2312" w:hAnsi="宋体" w:eastAsia="仿宋_GB2312"/>
          <w:color w:val="auto"/>
          <w:sz w:val="28"/>
          <w:szCs w:val="28"/>
          <w:highlight w:val="none"/>
        </w:rPr>
      </w:pPr>
    </w:p>
    <w:p>
      <w:pPr>
        <w:spacing w:line="360" w:lineRule="auto"/>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本证明书有效日期：</w:t>
      </w:r>
      <w:r>
        <w:rPr>
          <w:rFonts w:ascii="仿宋_GB2312" w:hAnsi="宋体" w:eastAsia="仿宋_GB2312"/>
          <w:color w:val="auto"/>
          <w:sz w:val="28"/>
          <w:szCs w:val="28"/>
          <w:highlight w:val="none"/>
          <w:u w:val="single"/>
        </w:rPr>
        <w:t xml:space="preserve">                  </w:t>
      </w:r>
    </w:p>
    <w:p>
      <w:pPr>
        <w:spacing w:line="360" w:lineRule="auto"/>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签发日期：</w:t>
      </w:r>
      <w:r>
        <w:rPr>
          <w:rFonts w:ascii="仿宋_GB2312" w:hAnsi="宋体" w:eastAsia="仿宋_GB2312"/>
          <w:color w:val="auto"/>
          <w:sz w:val="28"/>
          <w:szCs w:val="28"/>
          <w:highlight w:val="none"/>
          <w:u w:val="single"/>
        </w:rPr>
        <w:t xml:space="preserve">                      </w:t>
      </w:r>
    </w:p>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360" w:lineRule="auto"/>
        <w:rPr>
          <w:rFonts w:ascii="仿宋_GB2312" w:hAnsi="宋体" w:eastAsia="仿宋_GB2312"/>
          <w:color w:val="auto"/>
          <w:sz w:val="28"/>
          <w:szCs w:val="28"/>
          <w:highlight w:val="none"/>
        </w:rPr>
      </w:pPr>
    </w:p>
    <w:p>
      <w:pPr>
        <w:spacing w:line="360" w:lineRule="auto"/>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附件：法定代表人身份证或其他有效身份证明（注：报价人必须在上述附件上加盖公章）</w:t>
      </w:r>
    </w:p>
    <w:p>
      <w:pPr>
        <w:rPr>
          <w:rFonts w:ascii="仿宋_GB2312" w:eastAsia="仿宋_GB2312"/>
          <w:b/>
          <w:color w:val="auto"/>
          <w:sz w:val="28"/>
          <w:szCs w:val="28"/>
          <w:highlight w:val="none"/>
        </w:rPr>
      </w:pPr>
    </w:p>
    <w:p>
      <w:pPr>
        <w:rPr>
          <w:rFonts w:ascii="仿宋_GB2312" w:eastAsia="仿宋_GB2312"/>
          <w:b/>
          <w:color w:val="auto"/>
          <w:sz w:val="28"/>
          <w:szCs w:val="28"/>
          <w:highlight w:val="none"/>
        </w:rPr>
      </w:pPr>
    </w:p>
    <w:p>
      <w:pPr>
        <w:rPr>
          <w:rFonts w:ascii="仿宋_GB2312" w:eastAsia="仿宋_GB2312"/>
          <w:b/>
          <w:color w:val="auto"/>
          <w:sz w:val="28"/>
          <w:szCs w:val="28"/>
          <w:highlight w:val="none"/>
        </w:rPr>
      </w:pPr>
      <w:r>
        <w:rPr>
          <w:rFonts w:ascii="仿宋_GB2312" w:eastAsia="仿宋_GB2312"/>
          <w:b/>
          <w:color w:val="auto"/>
          <w:sz w:val="28"/>
          <w:szCs w:val="28"/>
          <w:highlight w:val="none"/>
        </w:rPr>
        <w:br w:type="page"/>
      </w:r>
      <w:r>
        <w:rPr>
          <w:rFonts w:hint="eastAsia" w:ascii="仿宋_GB2312" w:eastAsia="仿宋_GB2312"/>
          <w:b/>
          <w:color w:val="auto"/>
          <w:sz w:val="28"/>
          <w:szCs w:val="28"/>
          <w:highlight w:val="none"/>
        </w:rPr>
        <w:t>附录3：</w:t>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（如报价文件签署人不是法定代表人）</w:t>
      </w:r>
    </w:p>
    <w:p>
      <w:pPr>
        <w:pStyle w:val="6"/>
        <w:ind w:firstLine="560"/>
        <w:rPr>
          <w:rFonts w:ascii="仿宋_GB2312" w:eastAsia="仿宋_GB2312"/>
          <w:color w:val="auto"/>
          <w:sz w:val="28"/>
          <w:szCs w:val="28"/>
          <w:highlight w:val="none"/>
        </w:rPr>
      </w:pPr>
    </w:p>
    <w:p>
      <w:pPr>
        <w:tabs>
          <w:tab w:val="left" w:pos="8364"/>
        </w:tabs>
        <w:snapToGrid w:val="0"/>
        <w:spacing w:line="480" w:lineRule="auto"/>
        <w:ind w:left="176" w:leftChars="84"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本授权书声明：注册于</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（国家或地区）的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（报价人名称）在下面签字的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（法定代表人姓名、职务）代表本公司授权</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（单位名称）的在下面签字的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（被授权人的姓名、职务）为本公司的合法代理人，就报价文件编号为</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的</w:t>
      </w:r>
      <w:r>
        <w:rPr>
          <w:rFonts w:ascii="仿宋_GB2312" w:eastAsia="仿宋_GB2312"/>
          <w:color w:val="auto"/>
          <w:sz w:val="24"/>
          <w:szCs w:val="24"/>
          <w:highlight w:val="none"/>
        </w:rPr>
        <w:t xml:space="preserve">  </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项目的服务的应邀和合同执行，作为应邀人代表以本公司的名义处理一切与之有关的事宜。</w:t>
      </w:r>
    </w:p>
    <w:p>
      <w:pPr>
        <w:tabs>
          <w:tab w:val="left" w:pos="8364"/>
        </w:tabs>
        <w:snapToGrid w:val="0"/>
        <w:spacing w:line="480" w:lineRule="auto"/>
        <w:ind w:left="176" w:leftChars="84"/>
        <w:rPr>
          <w:rFonts w:ascii="仿宋_GB2312" w:eastAsia="仿宋_GB2312"/>
          <w:color w:val="auto"/>
          <w:sz w:val="24"/>
          <w:szCs w:val="24"/>
          <w:highlight w:val="none"/>
        </w:rPr>
      </w:pPr>
      <w:r>
        <w:rPr>
          <w:rFonts w:hint="eastAsia" w:ascii="仿宋_GB2312" w:eastAsia="仿宋_GB2312"/>
          <w:color w:val="auto"/>
          <w:sz w:val="24"/>
          <w:szCs w:val="24"/>
          <w:highlight w:val="none"/>
        </w:rPr>
        <w:t>本授权书于</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日签字生效，特此声明。</w:t>
      </w:r>
    </w:p>
    <w:p>
      <w:pPr>
        <w:tabs>
          <w:tab w:val="left" w:pos="8364"/>
        </w:tabs>
        <w:snapToGrid w:val="0"/>
        <w:spacing w:line="480" w:lineRule="auto"/>
        <w:rPr>
          <w:rFonts w:ascii="仿宋_GB2312" w:eastAsia="仿宋_GB2312"/>
          <w:color w:val="auto"/>
          <w:sz w:val="24"/>
          <w:szCs w:val="28"/>
          <w:highlight w:val="none"/>
        </w:rPr>
      </w:pP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报价人法定代表人签字（盖章）：</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rPr>
      </w:pPr>
      <w:r>
        <w:rPr>
          <w:rFonts w:hint="eastAsia" w:ascii="仿宋_GB2312" w:eastAsia="仿宋_GB2312"/>
          <w:color w:val="auto"/>
          <w:sz w:val="24"/>
          <w:szCs w:val="28"/>
          <w:highlight w:val="none"/>
        </w:rPr>
        <w:t>职务：</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单位名称：</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地址：</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rPr>
      </w:pPr>
      <w:r>
        <w:rPr>
          <w:rFonts w:ascii="仿宋_GB2312" w:eastAsia="仿宋_GB2312"/>
          <w:color w:val="auto"/>
          <w:sz w:val="24"/>
          <w:szCs w:val="28"/>
          <w:highlight w:val="none"/>
        </w:rPr>
        <w:t xml:space="preserve">   </w:t>
      </w: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报价人代表（被授权人）签字（盖章）：</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rPr>
      </w:pPr>
      <w:r>
        <w:rPr>
          <w:rFonts w:hint="eastAsia" w:ascii="仿宋_GB2312" w:eastAsia="仿宋_GB2312"/>
          <w:color w:val="auto"/>
          <w:sz w:val="24"/>
          <w:szCs w:val="28"/>
          <w:highlight w:val="none"/>
        </w:rPr>
        <w:t>职务：</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rPr>
      </w:pPr>
      <w:r>
        <w:rPr>
          <w:rFonts w:hint="eastAsia" w:ascii="仿宋_GB2312" w:eastAsia="仿宋_GB2312"/>
          <w:color w:val="auto"/>
          <w:sz w:val="24"/>
          <w:szCs w:val="28"/>
          <w:highlight w:val="none"/>
        </w:rPr>
        <w:t>单位名称：</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地址：</w:t>
      </w:r>
      <w:r>
        <w:rPr>
          <w:rFonts w:ascii="仿宋_GB2312" w:eastAsia="仿宋_GB2312"/>
          <w:color w:val="auto"/>
          <w:sz w:val="24"/>
          <w:szCs w:val="28"/>
          <w:highlight w:val="none"/>
          <w:u w:val="single"/>
        </w:rPr>
        <w:t xml:space="preserve">                                           </w:t>
      </w:r>
    </w:p>
    <w:p>
      <w:pPr>
        <w:tabs>
          <w:tab w:val="left" w:pos="8364"/>
        </w:tabs>
        <w:snapToGrid w:val="0"/>
        <w:spacing w:line="240" w:lineRule="atLeast"/>
        <w:ind w:left="176" w:leftChars="84"/>
        <w:rPr>
          <w:rFonts w:ascii="仿宋_GB2312" w:eastAsia="仿宋_GB2312"/>
          <w:color w:val="auto"/>
          <w:sz w:val="28"/>
          <w:szCs w:val="28"/>
          <w:highlight w:val="none"/>
        </w:rPr>
      </w:pPr>
    </w:p>
    <w:p>
      <w:pPr>
        <w:rPr>
          <w:rFonts w:ascii="仿宋_GB2312" w:eastAsia="仿宋_GB2312"/>
          <w:color w:val="auto"/>
          <w:sz w:val="28"/>
          <w:szCs w:val="28"/>
          <w:highlight w:val="none"/>
        </w:rPr>
      </w:pPr>
    </w:p>
    <w:p>
      <w:pPr>
        <w:rPr>
          <w:rFonts w:ascii="仿宋_GB2312" w:eastAsia="仿宋_GB2312"/>
          <w:color w:val="auto"/>
          <w:sz w:val="28"/>
          <w:szCs w:val="28"/>
          <w:highlight w:val="none"/>
        </w:rPr>
      </w:pPr>
    </w:p>
    <w:p>
      <w:pPr>
        <w:rPr>
          <w:rFonts w:ascii="仿宋_GB2312" w:eastAsia="仿宋_GB2312"/>
          <w:b/>
          <w:color w:val="auto"/>
          <w:sz w:val="28"/>
          <w:szCs w:val="28"/>
          <w:highlight w:val="none"/>
        </w:rPr>
      </w:pPr>
      <w:r>
        <w:rPr>
          <w:rFonts w:hint="eastAsia" w:ascii="仿宋_GB2312" w:eastAsia="仿宋_GB2312"/>
          <w:b/>
          <w:color w:val="auto"/>
          <w:sz w:val="28"/>
          <w:szCs w:val="28"/>
          <w:highlight w:val="none"/>
        </w:rPr>
        <w:t>附录4：</w:t>
      </w: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网上竞价项目采购文件响应承诺书</w:t>
      </w:r>
    </w:p>
    <w:p>
      <w:pPr>
        <w:ind w:firstLine="883" w:firstLineChars="200"/>
        <w:rPr>
          <w:rFonts w:ascii="宋体" w:hAnsi="宋体" w:cs="宋体"/>
          <w:b/>
          <w:bCs/>
          <w:color w:val="auto"/>
          <w:sz w:val="44"/>
          <w:szCs w:val="44"/>
          <w:highlight w:val="none"/>
        </w:rPr>
      </w:pPr>
    </w:p>
    <w:p>
      <w:pPr>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广州白云</w:t>
      </w:r>
      <w:r>
        <w:rPr>
          <w:rFonts w:hint="eastAsia" w:ascii="宋体" w:hAnsi="宋体" w:cs="宋体"/>
          <w:color w:val="auto"/>
          <w:szCs w:val="21"/>
          <w:highlight w:val="none"/>
          <w:u w:val="single"/>
          <w:lang w:val="en-US" w:eastAsia="zh-CN"/>
        </w:rPr>
        <w:t>空港设备技术发展</w:t>
      </w:r>
      <w:r>
        <w:rPr>
          <w:rFonts w:hint="eastAsia" w:ascii="宋体" w:hAnsi="宋体" w:cs="宋体"/>
          <w:color w:val="auto"/>
          <w:szCs w:val="21"/>
          <w:highlight w:val="none"/>
          <w:u w:val="single"/>
        </w:rPr>
        <w:t>有限公司</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我司</w:t>
      </w:r>
      <w:r>
        <w:rPr>
          <w:rFonts w:hint="eastAsia" w:ascii="宋体" w:hAnsi="宋体" w:cs="宋体"/>
          <w:color w:val="auto"/>
          <w:szCs w:val="21"/>
          <w:highlight w:val="none"/>
          <w:u w:val="single"/>
        </w:rPr>
        <w:t xml:space="preserve">  （合作商名称） </w:t>
      </w:r>
      <w:r>
        <w:rPr>
          <w:rFonts w:hint="eastAsia" w:ascii="宋体" w:hAnsi="宋体" w:cs="宋体"/>
          <w:color w:val="auto"/>
          <w:szCs w:val="21"/>
          <w:highlight w:val="none"/>
        </w:rPr>
        <w:t>保证提交的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报价文件所有内容与贵司的采购文件要求完全响应，无任何偏差，特此承诺！</w:t>
      </w:r>
    </w:p>
    <w:p>
      <w:pPr>
        <w:spacing w:line="480" w:lineRule="auto"/>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合作商名称（公章）：</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合作商授权代表姓名、职务（印刷体）：</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合作商授权代表签字：</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p>
    <w:p>
      <w:pPr>
        <w:rPr>
          <w:rFonts w:hint="eastAsia" w:ascii="仿宋_GB2312" w:eastAsia="仿宋_GB2312"/>
          <w:b/>
          <w:color w:val="auto"/>
          <w:sz w:val="28"/>
          <w:szCs w:val="28"/>
          <w:highlight w:val="none"/>
        </w:rPr>
      </w:pPr>
      <w:r>
        <w:rPr>
          <w:rFonts w:ascii="仿宋_GB2312" w:hAnsi="宋体" w:eastAsia="仿宋_GB2312"/>
          <w:color w:val="auto"/>
          <w:sz w:val="28"/>
          <w:szCs w:val="28"/>
          <w:highlight w:val="none"/>
        </w:rPr>
        <w:br w:type="page"/>
      </w:r>
      <w:r>
        <w:rPr>
          <w:rFonts w:hint="eastAsia" w:ascii="仿宋_GB2312" w:eastAsia="仿宋_GB2312"/>
          <w:b/>
          <w:color w:val="auto"/>
          <w:sz w:val="28"/>
          <w:szCs w:val="28"/>
          <w:highlight w:val="none"/>
        </w:rPr>
        <w:t>附录5</w:t>
      </w:r>
    </w:p>
    <w:p>
      <w:pPr>
        <w:snapToGrid w:val="0"/>
        <w:spacing w:line="312"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诚信承诺函</w:t>
      </w:r>
    </w:p>
    <w:p>
      <w:pPr>
        <w:snapToGrid w:val="0"/>
        <w:spacing w:line="312" w:lineRule="auto"/>
        <w:jc w:val="center"/>
        <w:rPr>
          <w:rFonts w:hint="eastAsia" w:ascii="宋体" w:hAnsi="宋体" w:cs="宋体"/>
          <w:b/>
          <w:bCs/>
          <w:color w:val="auto"/>
          <w:sz w:val="40"/>
          <w:szCs w:val="44"/>
          <w:highlight w:val="none"/>
        </w:rPr>
      </w:pPr>
    </w:p>
    <w:p>
      <w:pPr>
        <w:snapToGrid w:val="0"/>
        <w:spacing w:line="312" w:lineRule="auto"/>
        <w:jc w:val="left"/>
        <w:rPr>
          <w:rFonts w:hint="eastAsia" w:ascii="宋体" w:hAnsi="宋体" w:cs="华文仿宋"/>
          <w:color w:val="auto"/>
          <w:szCs w:val="21"/>
          <w:highlight w:val="none"/>
        </w:rPr>
      </w:pPr>
      <w:r>
        <w:rPr>
          <w:rFonts w:hint="eastAsia" w:ascii="宋体" w:hAnsi="宋体" w:cs="华文仿宋"/>
          <w:color w:val="auto"/>
          <w:szCs w:val="21"/>
          <w:highlight w:val="none"/>
        </w:rPr>
        <w:t>致：</w:t>
      </w:r>
      <w:r>
        <w:rPr>
          <w:rFonts w:hint="eastAsia" w:ascii="宋体" w:hAnsi="宋体" w:cs="宋体"/>
          <w:color w:val="auto"/>
          <w:szCs w:val="21"/>
          <w:highlight w:val="none"/>
          <w:u w:val="single"/>
        </w:rPr>
        <w:t>广州白云</w:t>
      </w:r>
      <w:r>
        <w:rPr>
          <w:rFonts w:hint="eastAsia" w:ascii="宋体" w:hAnsi="宋体" w:cs="宋体"/>
          <w:color w:val="auto"/>
          <w:szCs w:val="21"/>
          <w:highlight w:val="none"/>
          <w:u w:val="single"/>
          <w:lang w:val="en-US" w:eastAsia="zh-CN"/>
        </w:rPr>
        <w:t>空港设备技术发展</w:t>
      </w:r>
      <w:r>
        <w:rPr>
          <w:rFonts w:hint="eastAsia" w:ascii="宋体" w:hAnsi="宋体" w:cs="宋体"/>
          <w:color w:val="auto"/>
          <w:szCs w:val="21"/>
          <w:highlight w:val="none"/>
          <w:u w:val="single"/>
        </w:rPr>
        <w:t>有限公司</w:t>
      </w:r>
    </w:p>
    <w:p>
      <w:pPr>
        <w:snapToGrid w:val="0"/>
        <w:spacing w:line="312" w:lineRule="auto"/>
        <w:ind w:firstLine="420" w:firstLineChars="200"/>
        <w:jc w:val="left"/>
        <w:rPr>
          <w:rFonts w:ascii="宋体" w:hAnsi="宋体" w:cs="华文仿宋"/>
          <w:color w:val="auto"/>
          <w:szCs w:val="21"/>
          <w:highlight w:val="none"/>
        </w:rPr>
      </w:pPr>
      <w:bookmarkStart w:id="14" w:name="_Hlk22712520"/>
      <w:r>
        <w:rPr>
          <w:rFonts w:hint="eastAsia" w:ascii="宋体" w:hAnsi="宋体" w:cs="华文仿宋"/>
          <w:color w:val="auto"/>
          <w:szCs w:val="21"/>
          <w:highlight w:val="none"/>
        </w:rPr>
        <w:t>在研究并完全理解了</w:t>
      </w:r>
      <w:r>
        <w:rPr>
          <w:rFonts w:hint="eastAsia" w:ascii="宋体" w:hAnsi="宋体" w:cs="宋体"/>
          <w:color w:val="auto"/>
          <w:szCs w:val="21"/>
          <w:highlight w:val="none"/>
          <w:u w:val="single"/>
        </w:rPr>
        <w:t>广州白云</w:t>
      </w:r>
      <w:r>
        <w:rPr>
          <w:rFonts w:hint="eastAsia" w:ascii="宋体" w:hAnsi="宋体" w:cs="宋体"/>
          <w:color w:val="auto"/>
          <w:szCs w:val="21"/>
          <w:highlight w:val="none"/>
          <w:u w:val="single"/>
          <w:lang w:val="en-US" w:eastAsia="zh-CN"/>
        </w:rPr>
        <w:t>空港设备技术发展</w:t>
      </w:r>
      <w:r>
        <w:rPr>
          <w:rFonts w:hint="eastAsia" w:ascii="宋体" w:hAnsi="宋体" w:cs="宋体"/>
          <w:color w:val="auto"/>
          <w:szCs w:val="21"/>
          <w:highlight w:val="none"/>
          <w:u w:val="single"/>
        </w:rPr>
        <w:t>有限公司</w:t>
      </w:r>
      <w:r>
        <w:rPr>
          <w:rFonts w:hint="eastAsia" w:ascii="宋体" w:hAnsi="宋体" w:cs="华文仿宋"/>
          <w:color w:val="auto"/>
          <w:szCs w:val="21"/>
          <w:highlight w:val="none"/>
        </w:rPr>
        <w:t>XXX采购项目竞价公告后，我司</w:t>
      </w:r>
      <w:r>
        <w:rPr>
          <w:rFonts w:hint="eastAsia" w:ascii="宋体" w:hAnsi="宋体" w:cs="华文仿宋"/>
          <w:color w:val="auto"/>
          <w:szCs w:val="21"/>
          <w:highlight w:val="none"/>
          <w:u w:val="single"/>
        </w:rPr>
        <w:t xml:space="preserve">（合作商名称） </w:t>
      </w:r>
      <w:r>
        <w:rPr>
          <w:rFonts w:ascii="宋体" w:hAnsi="宋体" w:cs="华文仿宋"/>
          <w:color w:val="auto"/>
          <w:szCs w:val="21"/>
          <w:highlight w:val="none"/>
          <w:u w:val="single"/>
        </w:rPr>
        <w:t xml:space="preserve"> </w:t>
      </w:r>
      <w:r>
        <w:rPr>
          <w:rFonts w:hint="eastAsia" w:ascii="宋体" w:hAnsi="宋体" w:cs="华文仿宋"/>
          <w:color w:val="auto"/>
          <w:szCs w:val="21"/>
          <w:highlight w:val="none"/>
        </w:rPr>
        <w:t>完全同意并接受项目竞价公告的所有内容，同时向贵司承诺：</w:t>
      </w:r>
    </w:p>
    <w:p>
      <w:pPr>
        <w:snapToGrid w:val="0"/>
        <w:spacing w:line="312" w:lineRule="auto"/>
        <w:ind w:firstLine="420" w:firstLineChars="200"/>
        <w:jc w:val="left"/>
        <w:rPr>
          <w:rFonts w:ascii="宋体" w:hAnsi="宋体" w:cs="华文仿宋"/>
          <w:color w:val="auto"/>
          <w:szCs w:val="21"/>
          <w:highlight w:val="none"/>
        </w:rPr>
      </w:pPr>
      <w:r>
        <w:rPr>
          <w:rFonts w:ascii="宋体" w:hAnsi="宋体" w:cs="华文仿宋"/>
          <w:color w:val="auto"/>
          <w:szCs w:val="21"/>
          <w:highlight w:val="none"/>
        </w:rPr>
        <w:t>1</w:t>
      </w:r>
      <w:r>
        <w:rPr>
          <w:rFonts w:hint="eastAsia" w:ascii="宋体" w:hAnsi="宋体" w:cs="华文仿宋"/>
          <w:color w:val="auto"/>
          <w:szCs w:val="21"/>
          <w:highlight w:val="none"/>
        </w:rPr>
        <w:t>.</w:t>
      </w:r>
      <w:r>
        <w:rPr>
          <w:rFonts w:hint="eastAsia" w:ascii="宋体" w:hAnsi="宋体" w:cs="华文仿宋"/>
          <w:color w:val="auto"/>
          <w:szCs w:val="21"/>
          <w:highlight w:val="none"/>
          <w:lang w:val="en-US" w:eastAsia="zh-CN"/>
        </w:rPr>
        <w:t>**</w:t>
      </w:r>
      <w:r>
        <w:rPr>
          <w:rFonts w:hint="eastAsia" w:ascii="宋体" w:hAnsi="宋体" w:cs="华文仿宋"/>
          <w:color w:val="auto"/>
          <w:szCs w:val="21"/>
          <w:highlight w:val="none"/>
        </w:rPr>
        <w:t>年</w:t>
      </w:r>
      <w:r>
        <w:rPr>
          <w:rFonts w:hint="eastAsia" w:ascii="宋体" w:hAnsi="宋体" w:cs="华文仿宋"/>
          <w:color w:val="auto"/>
          <w:szCs w:val="21"/>
          <w:highlight w:val="none"/>
          <w:lang w:val="en-US" w:eastAsia="zh-CN"/>
        </w:rPr>
        <w:t>**</w:t>
      </w:r>
      <w:r>
        <w:rPr>
          <w:rFonts w:hint="eastAsia" w:ascii="宋体" w:hAnsi="宋体" w:cs="华文仿宋"/>
          <w:color w:val="auto"/>
          <w:szCs w:val="21"/>
          <w:highlight w:val="none"/>
        </w:rPr>
        <w:t>月</w:t>
      </w:r>
      <w:r>
        <w:rPr>
          <w:rFonts w:hint="eastAsia" w:ascii="宋体" w:hAnsi="宋体" w:cs="华文仿宋"/>
          <w:color w:val="auto"/>
          <w:szCs w:val="21"/>
          <w:highlight w:val="none"/>
          <w:lang w:val="en-US" w:eastAsia="zh-CN"/>
        </w:rPr>
        <w:t>**</w:t>
      </w:r>
      <w:r>
        <w:rPr>
          <w:rFonts w:hint="eastAsia" w:ascii="宋体" w:hAnsi="宋体" w:cs="华文仿宋"/>
          <w:color w:val="auto"/>
          <w:szCs w:val="21"/>
          <w:highlight w:val="none"/>
        </w:rPr>
        <w:t>日至今，我司没有因腐败或欺诈行为而被政府或业主宣布取消投标资格；</w:t>
      </w:r>
    </w:p>
    <w:p>
      <w:pPr>
        <w:snapToGrid w:val="0"/>
        <w:spacing w:line="312" w:lineRule="auto"/>
        <w:ind w:firstLine="420" w:firstLineChars="200"/>
        <w:jc w:val="left"/>
        <w:rPr>
          <w:rFonts w:hint="eastAsia" w:ascii="宋体" w:hAnsi="宋体" w:cs="华文仿宋"/>
          <w:color w:val="auto"/>
          <w:szCs w:val="21"/>
          <w:highlight w:val="none"/>
        </w:rPr>
      </w:pPr>
      <w:r>
        <w:rPr>
          <w:rFonts w:ascii="宋体" w:hAnsi="宋体" w:cs="华文仿宋"/>
          <w:color w:val="auto"/>
          <w:szCs w:val="21"/>
          <w:highlight w:val="none"/>
        </w:rPr>
        <w:t>2</w:t>
      </w:r>
      <w:r>
        <w:rPr>
          <w:rFonts w:hint="eastAsia" w:ascii="宋体" w:hAnsi="宋体" w:cs="华文仿宋"/>
          <w:color w:val="auto"/>
          <w:szCs w:val="21"/>
          <w:highlight w:val="none"/>
        </w:rPr>
        <w:t>.</w:t>
      </w:r>
      <w:r>
        <w:rPr>
          <w:rFonts w:hint="eastAsia" w:ascii="宋体" w:hAnsi="宋体" w:cs="华文仿宋"/>
          <w:color w:val="auto"/>
          <w:szCs w:val="21"/>
          <w:highlight w:val="none"/>
          <w:lang w:val="en-US" w:eastAsia="zh-CN"/>
        </w:rPr>
        <w:t>**</w:t>
      </w:r>
      <w:r>
        <w:rPr>
          <w:rFonts w:hint="eastAsia" w:ascii="宋体" w:hAnsi="宋体" w:cs="华文仿宋"/>
          <w:color w:val="auto"/>
          <w:szCs w:val="21"/>
          <w:highlight w:val="none"/>
        </w:rPr>
        <w:t>年</w:t>
      </w:r>
      <w:r>
        <w:rPr>
          <w:rFonts w:hint="eastAsia" w:ascii="宋体" w:hAnsi="宋体" w:cs="华文仿宋"/>
          <w:color w:val="auto"/>
          <w:szCs w:val="21"/>
          <w:highlight w:val="none"/>
          <w:lang w:val="en-US" w:eastAsia="zh-CN"/>
        </w:rPr>
        <w:t>**</w:t>
      </w:r>
      <w:r>
        <w:rPr>
          <w:rFonts w:hint="eastAsia" w:ascii="宋体" w:hAnsi="宋体" w:cs="华文仿宋"/>
          <w:color w:val="auto"/>
          <w:szCs w:val="21"/>
          <w:highlight w:val="none"/>
        </w:rPr>
        <w:t>月</w:t>
      </w:r>
      <w:r>
        <w:rPr>
          <w:rFonts w:hint="eastAsia" w:ascii="宋体" w:hAnsi="宋体" w:cs="华文仿宋"/>
          <w:color w:val="auto"/>
          <w:szCs w:val="21"/>
          <w:highlight w:val="none"/>
          <w:lang w:val="en-US" w:eastAsia="zh-CN"/>
        </w:rPr>
        <w:t>**</w:t>
      </w:r>
      <w:r>
        <w:rPr>
          <w:rFonts w:hint="eastAsia" w:ascii="宋体" w:hAnsi="宋体" w:cs="华文仿宋"/>
          <w:color w:val="auto"/>
          <w:szCs w:val="21"/>
          <w:highlight w:val="none"/>
        </w:rPr>
        <w:t>日至今，我司</w:t>
      </w:r>
      <w:r>
        <w:rPr>
          <w:rFonts w:hint="eastAsia" w:ascii="宋体" w:hAnsi="宋体"/>
          <w:color w:val="auto"/>
          <w:szCs w:val="21"/>
          <w:highlight w:val="none"/>
        </w:rPr>
        <w:t>（包括独立法人及关联公司和自然人）</w:t>
      </w:r>
      <w:r>
        <w:rPr>
          <w:rFonts w:hint="eastAsia" w:ascii="宋体" w:hAnsi="宋体" w:cs="华文仿宋"/>
          <w:color w:val="auto"/>
          <w:szCs w:val="21"/>
          <w:highlight w:val="none"/>
        </w:rPr>
        <w:t>未与广东省机场管理集团有限公司其下属的全资、控股公司、非法人实体单位发生各种诉讼和仲裁，</w:t>
      </w:r>
      <w:bookmarkStart w:id="15" w:name="_Hlk22712855"/>
      <w:r>
        <w:rPr>
          <w:rFonts w:hint="eastAsia" w:ascii="宋体" w:hAnsi="宋体" w:cs="华文仿宋"/>
          <w:color w:val="auto"/>
          <w:szCs w:val="21"/>
          <w:highlight w:val="none"/>
        </w:rPr>
        <w:t>不存在拒不履行法院或仲裁机构生效判决或裁定的情形；</w:t>
      </w:r>
      <w:bookmarkEnd w:id="15"/>
    </w:p>
    <w:p>
      <w:pPr>
        <w:snapToGrid w:val="0"/>
        <w:spacing w:line="312" w:lineRule="auto"/>
        <w:ind w:firstLine="420" w:firstLineChars="200"/>
        <w:jc w:val="left"/>
        <w:rPr>
          <w:rFonts w:hint="eastAsia" w:ascii="宋体" w:hAnsi="宋体" w:cs="华文仿宋"/>
          <w:color w:val="auto"/>
          <w:szCs w:val="21"/>
          <w:highlight w:val="none"/>
        </w:rPr>
      </w:pPr>
      <w:r>
        <w:rPr>
          <w:rFonts w:hint="eastAsia" w:ascii="宋体" w:hAnsi="宋体" w:cs="华文仿宋"/>
          <w:color w:val="auto"/>
          <w:szCs w:val="21"/>
          <w:highlight w:val="none"/>
        </w:rPr>
        <w:t>3.我司不存在被广州白云国际机场股份有限公司认定为发生不良行为合作商，且仍在处置期内的情形；</w:t>
      </w:r>
    </w:p>
    <w:p>
      <w:pPr>
        <w:snapToGrid w:val="0"/>
        <w:spacing w:line="312" w:lineRule="auto"/>
        <w:ind w:firstLine="420" w:firstLineChars="200"/>
        <w:jc w:val="left"/>
        <w:rPr>
          <w:rFonts w:hint="eastAsia" w:ascii="宋体" w:hAnsi="宋体" w:cs="华文仿宋"/>
          <w:color w:val="auto"/>
          <w:szCs w:val="21"/>
          <w:highlight w:val="none"/>
        </w:rPr>
      </w:pPr>
      <w:r>
        <w:rPr>
          <w:rFonts w:hint="eastAsia" w:ascii="宋体" w:hAnsi="宋体" w:cs="华文仿宋"/>
          <w:color w:val="auto"/>
          <w:szCs w:val="21"/>
          <w:highlight w:val="none"/>
        </w:rPr>
        <w:t>4.我司未被列入国家企业信用信息公示系统（http://www.gsxt.gov.cn/）的经营异常名录或严重违法失信企业名单；</w:t>
      </w:r>
    </w:p>
    <w:p>
      <w:pPr>
        <w:snapToGrid w:val="0"/>
        <w:spacing w:line="312" w:lineRule="auto"/>
        <w:ind w:firstLine="420" w:firstLineChars="200"/>
        <w:jc w:val="left"/>
        <w:rPr>
          <w:rFonts w:hint="eastAsia" w:ascii="宋体" w:hAnsi="宋体" w:cs="华文仿宋"/>
          <w:color w:val="auto"/>
          <w:szCs w:val="21"/>
          <w:highlight w:val="none"/>
        </w:rPr>
      </w:pPr>
      <w:r>
        <w:rPr>
          <w:rFonts w:hint="eastAsia" w:ascii="宋体" w:hAnsi="宋体" w:cs="华文仿宋"/>
          <w:color w:val="auto"/>
          <w:szCs w:val="21"/>
          <w:highlight w:val="none"/>
        </w:rPr>
        <w:t>5.我司未被列入信用中国（http://www.creditchina.gov.cn/）的失信被执行人或企业经营异常名录；</w:t>
      </w:r>
    </w:p>
    <w:p>
      <w:pPr>
        <w:snapToGrid w:val="0"/>
        <w:spacing w:line="312" w:lineRule="auto"/>
        <w:ind w:firstLine="420" w:firstLineChars="200"/>
        <w:jc w:val="left"/>
        <w:rPr>
          <w:rFonts w:hint="eastAsia" w:ascii="宋体" w:hAnsi="宋体" w:cs="华文仿宋"/>
          <w:color w:val="auto"/>
          <w:szCs w:val="21"/>
          <w:highlight w:val="none"/>
        </w:rPr>
      </w:pPr>
      <w:r>
        <w:rPr>
          <w:rFonts w:hint="eastAsia" w:ascii="宋体" w:hAnsi="宋体" w:cs="华文仿宋"/>
          <w:color w:val="auto"/>
          <w:szCs w:val="21"/>
          <w:highlight w:val="none"/>
        </w:rPr>
        <w:t>6.我司未被列入中国执行信息公开网（http://zxgk.court.gov.cn/）的全国法院失信被执行人名单。</w:t>
      </w:r>
    </w:p>
    <w:p>
      <w:pPr>
        <w:snapToGrid w:val="0"/>
        <w:spacing w:line="312" w:lineRule="auto"/>
        <w:ind w:firstLine="420" w:firstLineChars="200"/>
        <w:jc w:val="left"/>
        <w:rPr>
          <w:rFonts w:hint="default" w:ascii="宋体" w:hAnsi="宋体" w:cs="华文仿宋"/>
          <w:color w:val="auto"/>
          <w:szCs w:val="21"/>
          <w:highlight w:val="none"/>
          <w:lang w:val="en-US" w:eastAsia="zh-CN"/>
        </w:rPr>
      </w:pPr>
      <w:r>
        <w:rPr>
          <w:rFonts w:hint="eastAsia" w:ascii="宋体" w:hAnsi="宋体" w:cs="华文仿宋"/>
          <w:color w:val="auto"/>
          <w:szCs w:val="21"/>
          <w:highlight w:val="none"/>
          <w:lang w:val="en-US" w:eastAsia="zh-CN"/>
        </w:rPr>
        <w:t>7.我司保证在采购人组织的二次报价工作中遵守诚信原则，不与其他报价人串通报价。</w:t>
      </w:r>
    </w:p>
    <w:bookmarkEnd w:id="14"/>
    <w:p>
      <w:pPr>
        <w:snapToGrid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如有造假行为，我公司愿意无条件接受采购人的以下处理：</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1.取消本项目报价、成交资格，并在相关网站公示；</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2.由采购人没收合同履约保证金；</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3.三年至六年内停止或禁止参加广州白云国际机场股份有限公司及其下属单位的所有非招标采购项目采购活动；</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4.对不良行为予以纪录，并进行公告；</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5.报广东省机场管理集团有限公司备案；</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6.其他行政处理决定。</w:t>
      </w:r>
    </w:p>
    <w:p>
      <w:pPr>
        <w:snapToGrid w:val="0"/>
        <w:spacing w:line="312" w:lineRule="auto"/>
        <w:ind w:firstLine="420" w:firstLineChars="200"/>
        <w:rPr>
          <w:rFonts w:hint="eastAsia" w:ascii="宋体" w:hAnsi="宋体"/>
          <w:color w:val="auto"/>
          <w:szCs w:val="21"/>
          <w:highlight w:val="none"/>
        </w:rPr>
      </w:pPr>
    </w:p>
    <w:p>
      <w:pPr>
        <w:widowControl/>
        <w:tabs>
          <w:tab w:val="left" w:pos="142"/>
        </w:tabs>
        <w:autoSpaceDE w:val="0"/>
        <w:autoSpaceDN w:val="0"/>
        <w:snapToGrid w:val="0"/>
        <w:spacing w:line="312" w:lineRule="auto"/>
        <w:ind w:firstLine="420" w:firstLineChars="200"/>
        <w:textAlignment w:val="bottom"/>
        <w:rPr>
          <w:rFonts w:hint="eastAsia"/>
          <w:color w:val="auto"/>
          <w:highlight w:val="none"/>
        </w:rPr>
      </w:pPr>
      <w:r>
        <w:rPr>
          <w:rFonts w:hint="eastAsia"/>
          <w:color w:val="auto"/>
          <w:highlight w:val="none"/>
        </w:rPr>
        <w:t xml:space="preserve">合作商名称：（公章）  </w:t>
      </w:r>
      <w:r>
        <w:rPr>
          <w:rFonts w:hint="eastAsia"/>
          <w:color w:val="auto"/>
          <w:highlight w:val="non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napToGrid w:val="0"/>
        <w:spacing w:line="312" w:lineRule="auto"/>
        <w:ind w:firstLine="420" w:firstLineChars="200"/>
        <w:textAlignment w:val="bottom"/>
        <w:rPr>
          <w:color w:val="auto"/>
          <w:highlight w:val="none"/>
        </w:rPr>
      </w:pPr>
    </w:p>
    <w:p>
      <w:pPr>
        <w:widowControl/>
        <w:tabs>
          <w:tab w:val="left" w:pos="142"/>
        </w:tabs>
        <w:autoSpaceDE w:val="0"/>
        <w:autoSpaceDN w:val="0"/>
        <w:snapToGrid w:val="0"/>
        <w:spacing w:line="312" w:lineRule="auto"/>
        <w:ind w:firstLine="420" w:firstLineChars="200"/>
        <w:textAlignment w:val="bottom"/>
        <w:rPr>
          <w:rFonts w:hint="eastAsia"/>
          <w:color w:val="auto"/>
          <w:highlight w:val="none"/>
          <w:u w:val="single"/>
        </w:rPr>
      </w:pPr>
      <w:r>
        <w:rPr>
          <w:rFonts w:hint="eastAsia"/>
          <w:color w:val="auto"/>
          <w:highlight w:val="none"/>
        </w:rPr>
        <w:t>授权代表姓名、职务（印刷体）：</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napToGrid w:val="0"/>
        <w:spacing w:line="312" w:lineRule="auto"/>
        <w:ind w:firstLine="420" w:firstLineChars="200"/>
        <w:textAlignment w:val="bottom"/>
        <w:rPr>
          <w:color w:val="auto"/>
          <w:highlight w:val="none"/>
        </w:rPr>
      </w:pPr>
    </w:p>
    <w:p>
      <w:pPr>
        <w:widowControl/>
        <w:tabs>
          <w:tab w:val="left" w:pos="142"/>
        </w:tabs>
        <w:autoSpaceDE w:val="0"/>
        <w:autoSpaceDN w:val="0"/>
        <w:snapToGrid w:val="0"/>
        <w:spacing w:line="312" w:lineRule="auto"/>
        <w:ind w:firstLine="420" w:firstLineChars="200"/>
        <w:textAlignment w:val="bottom"/>
        <w:rPr>
          <w:rFonts w:hint="eastAsia"/>
          <w:color w:val="auto"/>
          <w:highlight w:val="none"/>
        </w:rPr>
      </w:pPr>
      <w:r>
        <w:rPr>
          <w:rFonts w:hint="eastAsia"/>
          <w:color w:val="auto"/>
          <w:highlight w:val="none"/>
        </w:rPr>
        <w:t>法定代表人或授权代表签名：</w:t>
      </w:r>
      <w:r>
        <w:rPr>
          <w:color w:val="auto"/>
          <w:highlight w:val="non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napToGrid w:val="0"/>
        <w:spacing w:line="312" w:lineRule="auto"/>
        <w:ind w:firstLine="420" w:firstLineChars="200"/>
        <w:textAlignment w:val="bottom"/>
        <w:rPr>
          <w:rFonts w:hint="eastAsia"/>
          <w:color w:val="auto"/>
          <w:highlight w:val="none"/>
        </w:rPr>
      </w:pPr>
    </w:p>
    <w:p>
      <w:pPr>
        <w:widowControl/>
        <w:tabs>
          <w:tab w:val="left" w:pos="142"/>
        </w:tabs>
        <w:autoSpaceDE w:val="0"/>
        <w:autoSpaceDN w:val="0"/>
        <w:snapToGrid w:val="0"/>
        <w:spacing w:line="312" w:lineRule="auto"/>
        <w:ind w:firstLine="420" w:firstLineChars="200"/>
        <w:textAlignment w:val="bottom"/>
        <w:rPr>
          <w:rFonts w:hint="eastAsia"/>
          <w:color w:val="auto"/>
          <w:highlight w:val="none"/>
        </w:rPr>
      </w:pPr>
      <w:r>
        <w:rPr>
          <w:rFonts w:hint="eastAsia"/>
          <w:color w:val="auto"/>
          <w:highlight w:val="none"/>
        </w:rPr>
        <w:t>日期：</w:t>
      </w:r>
      <w:r>
        <w:rPr>
          <w:color w:val="auto"/>
          <w:highlight w:val="non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snapToGrid w:val="0"/>
        <w:rPr>
          <w:rFonts w:ascii="仿宋_GB2312" w:hAnsi="宋体" w:eastAsia="仿宋_GB2312"/>
          <w:b/>
          <w:bCs/>
          <w:color w:val="auto"/>
          <w:sz w:val="28"/>
          <w:szCs w:val="28"/>
          <w:highlight w:val="none"/>
        </w:rPr>
      </w:pPr>
      <w:r>
        <w:rPr>
          <w:rFonts w:hint="eastAsia" w:ascii="宋体" w:hAnsi="宋体"/>
          <w:snapToGrid w:val="0"/>
          <w:color w:val="auto"/>
          <w:kern w:val="0"/>
          <w:szCs w:val="21"/>
          <w:highlight w:val="none"/>
        </w:rPr>
        <w:br w:type="page"/>
      </w:r>
      <w:r>
        <w:rPr>
          <w:rFonts w:hint="eastAsia" w:ascii="仿宋_GB2312" w:hAnsi="宋体" w:eastAsia="仿宋_GB2312"/>
          <w:b/>
          <w:bCs/>
          <w:color w:val="auto"/>
          <w:sz w:val="28"/>
          <w:szCs w:val="28"/>
          <w:highlight w:val="none"/>
        </w:rPr>
        <w:t>附录6</w:t>
      </w:r>
    </w:p>
    <w:p>
      <w:pPr>
        <w:snapToGrid w:val="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企业声明</w:t>
      </w:r>
    </w:p>
    <w:p>
      <w:pPr>
        <w:snapToGrid w:val="0"/>
        <w:ind w:firstLine="883" w:firstLineChars="200"/>
        <w:rPr>
          <w:rFonts w:hint="eastAsia" w:ascii="宋体" w:hAnsi="宋体" w:cs="宋体"/>
          <w:b/>
          <w:bCs/>
          <w:color w:val="auto"/>
          <w:sz w:val="44"/>
          <w:szCs w:val="44"/>
          <w:highlight w:val="none"/>
        </w:rPr>
      </w:pPr>
    </w:p>
    <w:p>
      <w:pPr>
        <w:snapToGrid w:val="0"/>
        <w:spacing w:line="360" w:lineRule="auto"/>
        <w:jc w:val="left"/>
        <w:rPr>
          <w:rFonts w:hint="eastAsia" w:ascii="宋体" w:hAnsi="宋体" w:cs="华文仿宋"/>
          <w:color w:val="auto"/>
          <w:szCs w:val="21"/>
          <w:highlight w:val="none"/>
        </w:rPr>
      </w:pPr>
      <w:r>
        <w:rPr>
          <w:rFonts w:hint="eastAsia" w:ascii="宋体" w:hAnsi="宋体" w:cs="华文仿宋"/>
          <w:color w:val="auto"/>
          <w:szCs w:val="21"/>
          <w:highlight w:val="none"/>
        </w:rPr>
        <w:t>致：</w:t>
      </w:r>
      <w:r>
        <w:rPr>
          <w:rFonts w:hint="eastAsia" w:ascii="宋体" w:hAnsi="宋体" w:cs="宋体"/>
          <w:color w:val="auto"/>
          <w:szCs w:val="21"/>
          <w:highlight w:val="none"/>
          <w:u w:val="single"/>
        </w:rPr>
        <w:t>广州白云</w:t>
      </w:r>
      <w:r>
        <w:rPr>
          <w:rFonts w:hint="eastAsia" w:ascii="宋体" w:hAnsi="宋体" w:cs="宋体"/>
          <w:color w:val="auto"/>
          <w:szCs w:val="21"/>
          <w:highlight w:val="none"/>
          <w:u w:val="single"/>
          <w:lang w:val="en-US" w:eastAsia="zh-CN"/>
        </w:rPr>
        <w:t>空港设备技术发展</w:t>
      </w:r>
      <w:r>
        <w:rPr>
          <w:rFonts w:hint="eastAsia" w:ascii="宋体" w:hAnsi="宋体" w:cs="宋体"/>
          <w:color w:val="auto"/>
          <w:szCs w:val="21"/>
          <w:highlight w:val="none"/>
          <w:u w:val="single"/>
        </w:rPr>
        <w:t>有限公司</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我公司就参加</w:t>
      </w:r>
      <w:r>
        <w:rPr>
          <w:rFonts w:hint="eastAsia" w:ascii="宋体" w:hAnsi="宋体" w:cs="华文仿宋"/>
          <w:color w:val="auto"/>
          <w:szCs w:val="21"/>
          <w:highlight w:val="none"/>
          <w:u w:val="single"/>
        </w:rPr>
        <w:t xml:space="preserve"> XXXX项目</w:t>
      </w:r>
      <w:r>
        <w:rPr>
          <w:rFonts w:hint="eastAsia" w:ascii="宋体" w:hAnsi="宋体"/>
          <w:color w:val="auto"/>
          <w:szCs w:val="21"/>
          <w:highlight w:val="none"/>
        </w:rPr>
        <w:t>，作出郑重声明：</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在项目采购、实施、运行过程中严格遵守白云机场相关管理规定。承诺如违反，将自愿接受：通报批评，记录不良行为，列入黑名单，停止广州白云国际机场股份有限公司及其下属单位的所有非招标采购项目采购活动。</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特此声明！</w:t>
      </w:r>
    </w:p>
    <w:p>
      <w:pPr>
        <w:widowControl/>
        <w:snapToGrid w:val="0"/>
        <w:ind w:firstLine="640" w:firstLineChars="200"/>
        <w:jc w:val="left"/>
        <w:rPr>
          <w:rFonts w:hint="eastAsia" w:ascii="仿宋_GB2312" w:hAnsi="宋体" w:eastAsia="仿宋_GB2312"/>
          <w:color w:val="auto"/>
          <w:sz w:val="32"/>
          <w:szCs w:val="18"/>
          <w:highlight w:val="none"/>
        </w:rPr>
      </w:pPr>
    </w:p>
    <w:p>
      <w:pPr>
        <w:widowControl/>
        <w:tabs>
          <w:tab w:val="left" w:pos="142"/>
        </w:tabs>
        <w:autoSpaceDE w:val="0"/>
        <w:autoSpaceDN w:val="0"/>
        <w:spacing w:line="288" w:lineRule="auto"/>
        <w:ind w:firstLine="424" w:firstLineChars="202"/>
        <w:textAlignment w:val="bottom"/>
        <w:rPr>
          <w:rFonts w:hint="eastAsia"/>
          <w:color w:val="auto"/>
          <w:highlight w:val="none"/>
        </w:rPr>
      </w:pPr>
      <w:r>
        <w:rPr>
          <w:rFonts w:hint="eastAsia"/>
          <w:color w:val="auto"/>
          <w:highlight w:val="none"/>
        </w:rPr>
        <w:t xml:space="preserve">合作商名称：（公章）  </w:t>
      </w:r>
      <w:r>
        <w:rPr>
          <w:rFonts w:hint="eastAsia"/>
          <w:color w:val="auto"/>
          <w:highlight w:val="non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pacing w:line="288" w:lineRule="auto"/>
        <w:ind w:firstLine="424" w:firstLineChars="202"/>
        <w:textAlignment w:val="bottom"/>
        <w:rPr>
          <w:color w:val="auto"/>
          <w:highlight w:val="none"/>
        </w:rPr>
      </w:pPr>
    </w:p>
    <w:p>
      <w:pPr>
        <w:widowControl/>
        <w:tabs>
          <w:tab w:val="left" w:pos="142"/>
        </w:tabs>
        <w:autoSpaceDE w:val="0"/>
        <w:autoSpaceDN w:val="0"/>
        <w:spacing w:line="288" w:lineRule="auto"/>
        <w:ind w:firstLine="424" w:firstLineChars="202"/>
        <w:textAlignment w:val="bottom"/>
        <w:rPr>
          <w:rFonts w:hint="eastAsia"/>
          <w:color w:val="auto"/>
          <w:highlight w:val="none"/>
          <w:u w:val="single"/>
        </w:rPr>
      </w:pPr>
      <w:r>
        <w:rPr>
          <w:rFonts w:hint="eastAsia"/>
          <w:color w:val="auto"/>
          <w:highlight w:val="none"/>
        </w:rPr>
        <w:t>授权代表姓名、职务（印刷体）：</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pacing w:line="288" w:lineRule="auto"/>
        <w:ind w:firstLine="424" w:firstLineChars="202"/>
        <w:textAlignment w:val="bottom"/>
        <w:rPr>
          <w:color w:val="auto"/>
          <w:highlight w:val="none"/>
        </w:rPr>
      </w:pPr>
    </w:p>
    <w:p>
      <w:pPr>
        <w:widowControl/>
        <w:tabs>
          <w:tab w:val="left" w:pos="142"/>
        </w:tabs>
        <w:autoSpaceDE w:val="0"/>
        <w:autoSpaceDN w:val="0"/>
        <w:spacing w:line="288" w:lineRule="auto"/>
        <w:ind w:firstLine="424" w:firstLineChars="202"/>
        <w:textAlignment w:val="bottom"/>
        <w:rPr>
          <w:rFonts w:hint="eastAsia"/>
          <w:color w:val="auto"/>
          <w:highlight w:val="none"/>
        </w:rPr>
      </w:pPr>
      <w:r>
        <w:rPr>
          <w:rFonts w:hint="eastAsia"/>
          <w:color w:val="auto"/>
          <w:highlight w:val="none"/>
        </w:rPr>
        <w:t>法定代表人或授权代表签名：</w:t>
      </w:r>
      <w:r>
        <w:rPr>
          <w:color w:val="auto"/>
          <w:highlight w:val="non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pacing w:line="288" w:lineRule="auto"/>
        <w:ind w:firstLine="424" w:firstLineChars="202"/>
        <w:textAlignment w:val="bottom"/>
        <w:rPr>
          <w:color w:val="auto"/>
          <w:highlight w:val="none"/>
        </w:rPr>
      </w:pPr>
    </w:p>
    <w:p>
      <w:pPr>
        <w:widowControl/>
        <w:tabs>
          <w:tab w:val="left" w:pos="142"/>
        </w:tabs>
        <w:autoSpaceDE w:val="0"/>
        <w:autoSpaceDN w:val="0"/>
        <w:spacing w:line="288" w:lineRule="auto"/>
        <w:ind w:firstLine="424" w:firstLineChars="202"/>
        <w:textAlignment w:val="bottom"/>
        <w:rPr>
          <w:rFonts w:hint="eastAsia" w:ascii="黑体" w:hAnsi="黑体" w:eastAsia="黑体"/>
          <w:color w:val="auto"/>
          <w:sz w:val="32"/>
          <w:szCs w:val="18"/>
          <w:highlight w:val="none"/>
        </w:rPr>
      </w:pPr>
      <w:r>
        <w:rPr>
          <w:rFonts w:hint="eastAsia"/>
          <w:color w:val="auto"/>
          <w:highlight w:val="none"/>
        </w:rPr>
        <w:t>日期：</w:t>
      </w:r>
      <w:r>
        <w:rPr>
          <w:color w:val="auto"/>
          <w:highlight w:val="non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pStyle w:val="9"/>
        <w:spacing w:line="360" w:lineRule="auto"/>
        <w:rPr>
          <w:rFonts w:hint="eastAsia" w:hAnsi="宋体"/>
          <w:b/>
          <w:bCs/>
          <w:color w:val="auto"/>
          <w:kern w:val="44"/>
          <w:sz w:val="28"/>
          <w:szCs w:val="44"/>
          <w:highlight w:val="none"/>
        </w:rPr>
      </w:pPr>
    </w:p>
    <w:p>
      <w:pPr>
        <w:jc w:val="center"/>
        <w:rPr>
          <w:rFonts w:hint="eastAsia"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hint="eastAsia" w:ascii="仿宋_GB2312" w:eastAsia="仿宋_GB2312"/>
          <w:color w:val="auto"/>
          <w:sz w:val="28"/>
          <w:szCs w:val="28"/>
          <w:highlight w:val="none"/>
        </w:rPr>
      </w:pPr>
    </w:p>
    <w:p>
      <w:pPr>
        <w:snapToGrid w:val="0"/>
        <w:rPr>
          <w:rFonts w:hint="eastAsia" w:ascii="仿宋_GB2312" w:hAnsi="宋体" w:eastAsia="仿宋_GB2312"/>
          <w:b/>
          <w:bCs/>
          <w:color w:val="auto"/>
          <w:sz w:val="28"/>
          <w:szCs w:val="28"/>
          <w:highlight w:val="none"/>
        </w:rPr>
      </w:pPr>
      <w:r>
        <w:rPr>
          <w:rFonts w:ascii="宋体" w:hAnsi="宋体"/>
          <w:b/>
          <w:color w:val="auto"/>
          <w:szCs w:val="32"/>
          <w:highlight w:val="none"/>
        </w:rPr>
        <w:br w:type="page"/>
      </w:r>
      <w:bookmarkStart w:id="16" w:name="_Hlk22040962"/>
      <w:r>
        <w:rPr>
          <w:rFonts w:hint="eastAsia" w:ascii="仿宋_GB2312" w:hAnsi="宋体" w:eastAsia="仿宋_GB2312"/>
          <w:b/>
          <w:bCs/>
          <w:color w:val="auto"/>
          <w:sz w:val="28"/>
          <w:szCs w:val="28"/>
          <w:highlight w:val="none"/>
        </w:rPr>
        <w:t>附录7：</w:t>
      </w:r>
    </w:p>
    <w:p>
      <w:pPr>
        <w:pStyle w:val="4"/>
        <w:numPr>
          <w:ilvl w:val="0"/>
          <w:numId w:val="0"/>
        </w:numPr>
        <w:spacing w:before="120" w:after="120"/>
        <w:ind w:left="425"/>
        <w:jc w:val="center"/>
        <w:rPr>
          <w:rFonts w:ascii="宋体" w:hAnsi="宋体" w:eastAsia="宋体"/>
          <w:b/>
          <w:bCs/>
          <w:color w:val="auto"/>
          <w:sz w:val="28"/>
          <w:szCs w:val="18"/>
          <w:highlight w:val="none"/>
        </w:rPr>
      </w:pPr>
      <w:r>
        <w:rPr>
          <w:rFonts w:hint="eastAsia" w:ascii="宋体" w:hAnsi="宋体" w:eastAsia="宋体"/>
          <w:b/>
          <w:bCs/>
          <w:color w:val="auto"/>
          <w:sz w:val="28"/>
          <w:szCs w:val="18"/>
          <w:highlight w:val="none"/>
        </w:rPr>
        <w:t>国家企业信用信息</w:t>
      </w:r>
      <w:r>
        <w:rPr>
          <w:rFonts w:hint="eastAsia" w:ascii="宋体" w:hAnsi="宋体" w:eastAsia="宋体"/>
          <w:b/>
          <w:bCs/>
          <w:color w:val="auto"/>
          <w:sz w:val="28"/>
          <w:szCs w:val="18"/>
          <w:highlight w:val="none"/>
          <w:lang w:val="en-US" w:eastAsia="zh-CN"/>
        </w:rPr>
        <w:t>公示</w:t>
      </w:r>
      <w:r>
        <w:rPr>
          <w:rFonts w:hint="eastAsia" w:ascii="宋体" w:hAnsi="宋体" w:eastAsia="宋体"/>
          <w:b/>
          <w:bCs/>
          <w:color w:val="auto"/>
          <w:sz w:val="28"/>
          <w:szCs w:val="18"/>
          <w:highlight w:val="none"/>
        </w:rPr>
        <w:t>系统网站（www.gsxt.gov.cn）截图</w:t>
      </w:r>
      <w:bookmarkEnd w:id="16"/>
      <w:r>
        <w:rPr>
          <w:rFonts w:hint="eastAsia" w:ascii="宋体" w:hAnsi="宋体" w:eastAsia="宋体"/>
          <w:b/>
          <w:bCs/>
          <w:color w:val="auto"/>
          <w:sz w:val="28"/>
          <w:szCs w:val="18"/>
          <w:highlight w:val="none"/>
        </w:rPr>
        <w:t>格式</w:t>
      </w:r>
    </w:p>
    <w:p>
      <w:pPr>
        <w:jc w:val="center"/>
        <w:rPr>
          <w:color w:val="auto"/>
          <w:highlight w:val="none"/>
        </w:rPr>
      </w:pPr>
      <w:bookmarkStart w:id="17" w:name="_Hlk22716233"/>
      <w:r>
        <w:rPr>
          <w:color w:val="auto"/>
          <w:highlight w:val="none"/>
        </w:rPr>
        <w:pict>
          <v:shape id="_x0000_i1025" o:spt="75" alt="885963608967404215" type="#_x0000_t75" style="height:324.8pt;width:428.65pt;" filled="f" o:preferrelative="t" stroked="f" coordsize="21600,21600">
            <v:path/>
            <v:fill on="f" focussize="0,0"/>
            <v:stroke on="f"/>
            <v:imagedata r:id="rId5" cropleft="7540f" croptop="8593f" cropright="4221f" cropbottom="11698f" o:title="885963608967404215"/>
            <o:lock v:ext="edit" aspectratio="t"/>
            <w10:wrap type="none"/>
            <w10:anchorlock/>
          </v:shape>
        </w:pict>
      </w:r>
      <w:bookmarkEnd w:id="17"/>
    </w:p>
    <w:p>
      <w:pPr>
        <w:rPr>
          <w:rFonts w:hint="eastAsia" w:ascii="宋体" w:hAnsi="宋体"/>
          <w:b/>
          <w:color w:val="auto"/>
          <w:sz w:val="18"/>
          <w:szCs w:val="18"/>
          <w:highlight w:val="none"/>
        </w:rPr>
      </w:pPr>
      <w:r>
        <w:rPr>
          <w:rFonts w:hint="eastAsia" w:ascii="宋体" w:hAnsi="宋体"/>
          <w:color w:val="auto"/>
          <w:szCs w:val="21"/>
          <w:highlight w:val="none"/>
        </w:rPr>
        <w:t>注：报价人须按上述格式要求截图并加盖公章，截图清晰显示报价人单位名称及列入严重违法失信企业名单（黑名单）信息，</w:t>
      </w:r>
      <w:r>
        <w:rPr>
          <w:rFonts w:hint="eastAsia" w:ascii="宋体" w:hAnsi="宋体"/>
          <w:b/>
          <w:color w:val="auto"/>
          <w:sz w:val="18"/>
          <w:szCs w:val="18"/>
          <w:highlight w:val="none"/>
        </w:rPr>
        <w:t xml:space="preserve"> </w:t>
      </w:r>
    </w:p>
    <w:p>
      <w:pPr>
        <w:snapToGrid w:val="0"/>
        <w:rPr>
          <w:rFonts w:ascii="仿宋_GB2312" w:hAnsi="宋体" w:eastAsia="仿宋_GB2312"/>
          <w:b/>
          <w:bCs/>
          <w:color w:val="auto"/>
          <w:sz w:val="28"/>
          <w:szCs w:val="28"/>
          <w:highlight w:val="none"/>
        </w:rPr>
      </w:pPr>
      <w:r>
        <w:rPr>
          <w:rFonts w:ascii="宋体" w:hAnsi="宋体"/>
          <w:b/>
          <w:color w:val="auto"/>
          <w:sz w:val="32"/>
          <w:szCs w:val="32"/>
          <w:highlight w:val="none"/>
        </w:rPr>
        <w:br w:type="page"/>
      </w:r>
      <w:r>
        <w:rPr>
          <w:rFonts w:hint="eastAsia" w:ascii="仿宋_GB2312" w:hAnsi="宋体" w:eastAsia="仿宋_GB2312"/>
          <w:b/>
          <w:bCs/>
          <w:color w:val="auto"/>
          <w:sz w:val="28"/>
          <w:szCs w:val="28"/>
          <w:highlight w:val="none"/>
        </w:rPr>
        <w:t>附录</w:t>
      </w:r>
      <w:r>
        <w:rPr>
          <w:rFonts w:ascii="仿宋_GB2312" w:hAnsi="宋体" w:eastAsia="仿宋_GB2312"/>
          <w:b/>
          <w:bCs/>
          <w:color w:val="auto"/>
          <w:sz w:val="28"/>
          <w:szCs w:val="28"/>
          <w:highlight w:val="none"/>
        </w:rPr>
        <w:t>8</w:t>
      </w:r>
      <w:r>
        <w:rPr>
          <w:rFonts w:hint="eastAsia" w:ascii="仿宋_GB2312" w:hAnsi="宋体" w:eastAsia="仿宋_GB2312"/>
          <w:b/>
          <w:bCs/>
          <w:color w:val="auto"/>
          <w:sz w:val="28"/>
          <w:szCs w:val="28"/>
          <w:highlight w:val="none"/>
        </w:rPr>
        <w:t>：</w:t>
      </w:r>
    </w:p>
    <w:p>
      <w:pPr>
        <w:jc w:val="center"/>
        <w:rPr>
          <w:rFonts w:ascii="宋体" w:hAnsi="宋体"/>
          <w:b/>
          <w:color w:val="auto"/>
          <w:sz w:val="18"/>
          <w:szCs w:val="18"/>
          <w:highlight w:val="none"/>
        </w:rPr>
      </w:pPr>
      <w:r>
        <w:rPr>
          <w:rFonts w:hint="eastAsia" w:ascii="宋体" w:hAnsi="宋体"/>
          <w:b/>
          <w:color w:val="auto"/>
          <w:sz w:val="32"/>
          <w:szCs w:val="32"/>
          <w:highlight w:val="none"/>
        </w:rPr>
        <w:t>“信用中国”网站（www.creditchina.gov.cn）截图格式</w:t>
      </w:r>
    </w:p>
    <w:p>
      <w:pPr>
        <w:rPr>
          <w:rFonts w:hint="eastAsia"/>
          <w:color w:val="auto"/>
          <w:highlight w:val="none"/>
        </w:rPr>
      </w:pPr>
      <w:r>
        <w:rPr>
          <w:rFonts w:hint="eastAsia"/>
          <w:color w:val="auto"/>
          <w:highlight w:val="none"/>
        </w:rPr>
        <w:pict>
          <v:shape id="_x0000_i1026" o:spt="75" alt="1555307063(1)" type="#_x0000_t75" style="height:374.7pt;width:418.2pt;" filled="f" o:preferrelative="t" stroked="f" coordsize="21600,21600">
            <v:path/>
            <v:fill on="f" focussize="0,0"/>
            <v:stroke on="f"/>
            <v:imagedata r:id="rId6" o:title="1555307063(1)"/>
            <o:lock v:ext="edit" aspectratio="t"/>
            <w10:wrap type="none"/>
            <w10:anchorlock/>
          </v:shape>
        </w:pict>
      </w:r>
    </w:p>
    <w:p>
      <w:pPr>
        <w:rPr>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注：报价人须按上述格式要求截图并加盖公章，截图清晰显示报价人单位名称及列入黑名单信息。</w:t>
      </w: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snapToGrid w:val="0"/>
        <w:rPr>
          <w:rFonts w:ascii="仿宋_GB2312" w:hAnsi="宋体" w:eastAsia="仿宋_GB2312"/>
          <w:b/>
          <w:bCs/>
          <w:color w:val="auto"/>
          <w:sz w:val="28"/>
          <w:szCs w:val="28"/>
          <w:highlight w:val="none"/>
        </w:rPr>
      </w:pPr>
      <w:r>
        <w:rPr>
          <w:rFonts w:ascii="宋体" w:hAnsi="宋体"/>
          <w:b/>
          <w:color w:val="auto"/>
          <w:sz w:val="32"/>
          <w:szCs w:val="32"/>
          <w:highlight w:val="none"/>
        </w:rPr>
        <w:br w:type="page"/>
      </w:r>
      <w:bookmarkStart w:id="18" w:name="_Hlk22068929"/>
      <w:r>
        <w:rPr>
          <w:rFonts w:hint="eastAsia" w:ascii="仿宋_GB2312" w:hAnsi="宋体" w:eastAsia="仿宋_GB2312"/>
          <w:b/>
          <w:bCs/>
          <w:color w:val="auto"/>
          <w:sz w:val="28"/>
          <w:szCs w:val="28"/>
          <w:highlight w:val="none"/>
        </w:rPr>
        <w:t>附录9：</w:t>
      </w: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“中国执行信息公开网”</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http://zxgk.court.gov.cn/</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截图</w:t>
      </w:r>
    </w:p>
    <w:p>
      <w:pPr>
        <w:spacing w:line="312" w:lineRule="auto"/>
        <w:jc w:val="left"/>
        <w:rPr>
          <w:rFonts w:ascii="仿宋_GB2312" w:hAnsi="宋体" w:eastAsia="仿宋_GB2312"/>
          <w:color w:val="auto"/>
          <w:sz w:val="28"/>
          <w:szCs w:val="28"/>
          <w:highlight w:val="none"/>
        </w:rPr>
      </w:pPr>
      <w:r>
        <w:rPr>
          <w:color w:val="auto"/>
          <w:highlight w:val="none"/>
        </w:rPr>
        <w:pict>
          <v:shape id="_x0000_i1027" o:spt="75" type="#_x0000_t75" style="height:318.7pt;width:415.25pt;" filled="f" stroked="f" coordsize="21600,21600">
            <v:path/>
            <v:fill on="f" focussize="0,0"/>
            <v:stroke on="f"/>
            <v:imagedata r:id="rId7" o:title=""/>
            <o:lock v:ext="edit" grouping="f" aspectratio="t"/>
            <w10:wrap type="none"/>
            <w10:anchorlock/>
          </v:shape>
        </w:pict>
      </w:r>
    </w:p>
    <w:p>
      <w:pPr>
        <w:rPr>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注：报价人须按上述格式要求截图并加盖公章，截图清晰显示报价人单位名称及查询结果。</w:t>
      </w:r>
      <w:bookmarkEnd w:id="18"/>
    </w:p>
    <w:p>
      <w:pPr>
        <w:rPr>
          <w:rFonts w:hint="eastAsia" w:ascii="宋体" w:hAnsi="宋体"/>
          <w:color w:val="auto"/>
          <w:szCs w:val="21"/>
          <w:highlight w:val="none"/>
        </w:rPr>
      </w:pPr>
    </w:p>
    <w:p>
      <w:pPr>
        <w:rPr>
          <w:rFonts w:hint="eastAsia" w:ascii="宋体" w:hAnsi="宋体"/>
          <w:color w:val="auto"/>
          <w:szCs w:val="21"/>
          <w:highlight w:val="none"/>
        </w:rPr>
      </w:pPr>
    </w:p>
    <w:p>
      <w:pPr>
        <w:snapToGrid w:val="0"/>
        <w:spacing w:line="312" w:lineRule="auto"/>
        <w:ind w:firstLine="420" w:firstLineChars="200"/>
        <w:rPr>
          <w:rFonts w:hint="eastAsia" w:ascii="宋体" w:hAnsi="宋体"/>
          <w:color w:val="auto"/>
          <w:szCs w:val="21"/>
          <w:highlight w:val="none"/>
        </w:rPr>
      </w:pPr>
    </w:p>
    <w:p>
      <w:pPr>
        <w:snapToGrid w:val="0"/>
        <w:spacing w:line="312" w:lineRule="auto"/>
        <w:ind w:firstLine="420" w:firstLineChars="200"/>
        <w:rPr>
          <w:rFonts w:hint="eastAsia" w:ascii="宋体" w:hAnsi="宋体"/>
          <w:color w:val="auto"/>
          <w:szCs w:val="21"/>
          <w:highlight w:val="none"/>
        </w:rPr>
      </w:pPr>
    </w:p>
    <w:p>
      <w:pPr>
        <w:snapToGrid w:val="0"/>
        <w:spacing w:line="312" w:lineRule="auto"/>
        <w:ind w:firstLine="420" w:firstLineChars="200"/>
        <w:rPr>
          <w:rFonts w:hint="eastAsia" w:ascii="宋体" w:hAnsi="宋体"/>
          <w:color w:val="auto"/>
          <w:szCs w:val="21"/>
          <w:highlight w:val="none"/>
        </w:rPr>
      </w:pPr>
    </w:p>
    <w:p>
      <w:pPr>
        <w:snapToGrid w:val="0"/>
        <w:rPr>
          <w:rFonts w:hint="eastAsia"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lang w:val="en-US" w:eastAsia="zh-CN"/>
        </w:rPr>
        <w:t>注意：</w:t>
      </w:r>
    </w:p>
    <w:p>
      <w:pPr>
        <w:snapToGrid w:val="0"/>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lang w:val="en-US" w:eastAsia="zh-CN"/>
        </w:rPr>
        <w:t>1.所有文件和证明材料需加盖公章。否则采购人有权否决报价人的报价资格。</w:t>
      </w:r>
    </w:p>
    <w:p>
      <w:pPr>
        <w:rPr>
          <w:rFonts w:hint="default"/>
          <w:color w:val="auto"/>
          <w:highlight w:val="none"/>
          <w:lang w:val="en-US" w:eastAsia="zh-CN"/>
        </w:rPr>
      </w:pPr>
    </w:p>
    <w:p>
      <w:pPr>
        <w:pStyle w:val="2"/>
        <w:rPr>
          <w:rFonts w:hint="default"/>
          <w:color w:val="auto"/>
          <w:highlight w:val="none"/>
          <w:lang w:val="en-US" w:eastAsia="zh-CN"/>
        </w:rPr>
      </w:pPr>
    </w:p>
    <w:p>
      <w:pPr>
        <w:rPr>
          <w:rFonts w:hint="eastAsia"/>
          <w:b/>
          <w:color w:val="auto"/>
          <w:sz w:val="28"/>
          <w:szCs w:val="28"/>
          <w:highlight w:val="none"/>
        </w:rPr>
      </w:pPr>
      <w:r>
        <w:rPr>
          <w:rFonts w:hint="default"/>
          <w:color w:val="auto"/>
          <w:highlight w:val="none"/>
          <w:lang w:val="en-US" w:eastAsia="zh-CN"/>
        </w:rPr>
        <w:br w:type="page"/>
      </w:r>
      <w:r>
        <w:rPr>
          <w:rFonts w:hint="eastAsia"/>
          <w:b/>
          <w:color w:val="auto"/>
          <w:sz w:val="28"/>
          <w:szCs w:val="28"/>
          <w:highlight w:val="none"/>
          <w:lang w:val="en-US" w:eastAsia="zh-CN"/>
        </w:rPr>
        <w:t>七、</w:t>
      </w:r>
      <w:r>
        <w:rPr>
          <w:rFonts w:hint="eastAsia"/>
          <w:b/>
          <w:color w:val="auto"/>
          <w:sz w:val="28"/>
          <w:szCs w:val="28"/>
          <w:highlight w:val="none"/>
        </w:rPr>
        <w:t>合同样板</w:t>
      </w:r>
    </w:p>
    <w:p>
      <w:pPr>
        <w:spacing w:line="312" w:lineRule="auto"/>
        <w:jc w:val="center"/>
        <w:rPr>
          <w:rFonts w:hint="eastAsia" w:ascii="宋体" w:hAnsi="宋体" w:eastAsia="宋体" w:cs="宋体"/>
          <w:b w:val="0"/>
          <w:bCs w:val="0"/>
          <w:color w:val="auto"/>
          <w:sz w:val="44"/>
          <w:szCs w:val="22"/>
          <w:highlight w:val="none"/>
        </w:rPr>
      </w:pPr>
    </w:p>
    <w:p>
      <w:pPr>
        <w:widowControl/>
        <w:tabs>
          <w:tab w:val="left" w:pos="567"/>
        </w:tabs>
        <w:autoSpaceDE w:val="0"/>
        <w:autoSpaceDN w:val="0"/>
        <w:adjustRightInd w:val="0"/>
        <w:spacing w:before="156" w:after="156" w:line="360" w:lineRule="auto"/>
        <w:jc w:val="left"/>
        <w:textAlignment w:val="bottom"/>
        <w:rPr>
          <w:rFonts w:ascii="宋体" w:hAnsi="宋体"/>
          <w:b/>
          <w:bCs/>
          <w:color w:val="auto"/>
          <w:szCs w:val="21"/>
          <w:highlight w:val="none"/>
          <w:u w:val="single"/>
        </w:rPr>
      </w:pPr>
      <w:r>
        <w:rPr>
          <w:rFonts w:ascii="宋体" w:hAnsi="宋体" w:eastAsia="宋体" w:cs="宋体"/>
          <w:color w:val="auto"/>
          <w:sz w:val="24"/>
          <w:szCs w:val="24"/>
          <w:highlight w:val="none"/>
        </w:rPr>
        <w:pict>
          <v:shape id="_x0000_i1028" o:spt="75" alt="IMG_256" type="#_x0000_t75" style="height:135pt;width:135pt;" filled="f" o:preferrelative="t" stroked="f" coordsize="21600,21600">
            <v:path/>
            <v:fill on="f" focussize="0,0"/>
            <v:stroke on="f"/>
            <v:imagedata r:id="rId8" o:title="IMG_256"/>
            <o:lock v:ext="edit" aspectratio="t"/>
            <w10:wrap type="none"/>
            <w10:anchorlock/>
          </v:shape>
        </w:pict>
      </w:r>
    </w:p>
    <w:p>
      <w:pPr>
        <w:widowControl/>
        <w:tabs>
          <w:tab w:val="left" w:pos="567"/>
        </w:tabs>
        <w:autoSpaceDE w:val="0"/>
        <w:autoSpaceDN w:val="0"/>
        <w:adjustRightInd w:val="0"/>
        <w:spacing w:before="156" w:after="156" w:line="360" w:lineRule="auto"/>
        <w:jc w:val="left"/>
        <w:textAlignment w:val="bottom"/>
        <w:rPr>
          <w:rFonts w:ascii="宋体" w:hAnsi="宋体"/>
          <w:b/>
          <w:bCs/>
          <w:color w:val="auto"/>
          <w:szCs w:val="21"/>
          <w:highlight w:val="none"/>
          <w:u w:val="single"/>
        </w:rPr>
      </w:pPr>
    </w:p>
    <w:p>
      <w:pPr>
        <w:pStyle w:val="2"/>
        <w:rPr>
          <w:color w:val="auto"/>
          <w:highlight w:val="none"/>
        </w:rPr>
      </w:pPr>
    </w:p>
    <w:p>
      <w:pPr>
        <w:widowControl/>
        <w:tabs>
          <w:tab w:val="left" w:pos="567"/>
        </w:tabs>
        <w:autoSpaceDE w:val="0"/>
        <w:autoSpaceDN w:val="0"/>
        <w:adjustRightInd w:val="0"/>
        <w:spacing w:before="156" w:after="156" w:line="360" w:lineRule="auto"/>
        <w:jc w:val="left"/>
        <w:textAlignment w:val="bottom"/>
        <w:rPr>
          <w:rFonts w:ascii="宋体" w:hAnsi="宋体"/>
          <w:b/>
          <w:bCs/>
          <w:color w:val="auto"/>
          <w:szCs w:val="21"/>
          <w:highlight w:val="none"/>
          <w:u w:val="single"/>
        </w:rPr>
      </w:pPr>
    </w:p>
    <w:p>
      <w:pPr>
        <w:pStyle w:val="2"/>
        <w:rPr>
          <w:rFonts w:ascii="宋体" w:hAnsi="宋体"/>
          <w:b/>
          <w:bCs/>
          <w:color w:val="auto"/>
          <w:szCs w:val="21"/>
          <w:highlight w:val="none"/>
          <w:u w:val="single"/>
        </w:rPr>
      </w:pPr>
    </w:p>
    <w:p>
      <w:pPr>
        <w:pStyle w:val="2"/>
        <w:jc w:val="center"/>
        <w:rPr>
          <w:rFonts w:hint="eastAsia" w:ascii="宋体" w:hAnsi="宋体" w:eastAsia="宋体" w:cs="宋体"/>
          <w:b/>
          <w:bCs/>
          <w:color w:val="auto"/>
          <w:sz w:val="44"/>
          <w:szCs w:val="44"/>
          <w:highlight w:val="none"/>
          <w:u w:val="none"/>
          <w:lang w:val="en-US" w:eastAsia="zh-CN"/>
        </w:rPr>
      </w:pPr>
      <w:r>
        <w:rPr>
          <w:rFonts w:hint="eastAsia" w:ascii="宋体" w:hAnsi="宋体" w:eastAsia="宋体" w:cs="宋体"/>
          <w:b/>
          <w:bCs/>
          <w:color w:val="auto"/>
          <w:sz w:val="44"/>
          <w:szCs w:val="44"/>
          <w:highlight w:val="none"/>
          <w:u w:val="none"/>
          <w:lang w:val="en-US" w:eastAsia="zh-CN"/>
        </w:rPr>
        <w:t>广州白云空港设备技术发展有限公司</w:t>
      </w:r>
    </w:p>
    <w:p>
      <w:pPr>
        <w:rPr>
          <w:rFonts w:hint="eastAsia" w:ascii="宋体" w:hAnsi="宋体" w:eastAsia="宋体" w:cs="宋体"/>
          <w:color w:val="auto"/>
          <w:sz w:val="44"/>
          <w:szCs w:val="44"/>
          <w:highlight w:val="none"/>
        </w:rPr>
      </w:pPr>
    </w:p>
    <w:p>
      <w:pPr>
        <w:widowControl/>
        <w:tabs>
          <w:tab w:val="left" w:pos="567"/>
        </w:tabs>
        <w:autoSpaceDE w:val="0"/>
        <w:autoSpaceDN w:val="0"/>
        <w:adjustRightInd w:val="0"/>
        <w:spacing w:before="156" w:after="156" w:line="360" w:lineRule="auto"/>
        <w:jc w:val="center"/>
        <w:textAlignment w:val="bottom"/>
        <w:rPr>
          <w:rFonts w:hint="eastAsia" w:ascii="宋体" w:hAnsi="宋体" w:eastAsia="宋体" w:cs="宋体"/>
          <w:b/>
          <w:color w:val="auto"/>
          <w:sz w:val="44"/>
          <w:szCs w:val="44"/>
          <w:highlight w:val="none"/>
          <w:u w:val="none"/>
          <w:lang w:eastAsia="zh-CN"/>
        </w:rPr>
      </w:pPr>
      <w:r>
        <w:rPr>
          <w:rFonts w:hint="eastAsia" w:ascii="宋体" w:hAnsi="宋体" w:cs="宋体"/>
          <w:b/>
          <w:bCs/>
          <w:color w:val="auto"/>
          <w:sz w:val="44"/>
          <w:szCs w:val="44"/>
          <w:highlight w:val="none"/>
          <w:u w:val="none"/>
          <w:lang w:val="en-US" w:eastAsia="zh-CN"/>
        </w:rPr>
        <w:t>物料</w:t>
      </w:r>
      <w:r>
        <w:rPr>
          <w:rFonts w:hint="eastAsia" w:ascii="宋体" w:hAnsi="宋体" w:eastAsia="宋体" w:cs="宋体"/>
          <w:b/>
          <w:color w:val="auto"/>
          <w:sz w:val="44"/>
          <w:szCs w:val="44"/>
          <w:highlight w:val="none"/>
          <w:u w:val="none"/>
        </w:rPr>
        <w:t>采购合同</w:t>
      </w:r>
      <w:r>
        <w:rPr>
          <w:rFonts w:hint="eastAsia" w:ascii="宋体" w:hAnsi="宋体" w:cs="宋体"/>
          <w:b/>
          <w:color w:val="auto"/>
          <w:sz w:val="44"/>
          <w:szCs w:val="44"/>
          <w:highlight w:val="none"/>
          <w:u w:val="none"/>
          <w:lang w:eastAsia="zh-CN"/>
        </w:rPr>
        <w:t>（</w:t>
      </w:r>
      <w:r>
        <w:rPr>
          <w:rFonts w:hint="eastAsia" w:ascii="宋体" w:hAnsi="宋体" w:cs="宋体"/>
          <w:b/>
          <w:color w:val="auto"/>
          <w:sz w:val="44"/>
          <w:szCs w:val="44"/>
          <w:highlight w:val="none"/>
          <w:u w:val="single"/>
          <w:lang w:val="en-US" w:eastAsia="zh-CN"/>
        </w:rPr>
        <w:t xml:space="preserve">  </w:t>
      </w:r>
      <w:r>
        <w:rPr>
          <w:rFonts w:hint="eastAsia" w:ascii="宋体" w:hAnsi="宋体" w:cs="宋体"/>
          <w:b/>
          <w:color w:val="auto"/>
          <w:sz w:val="44"/>
          <w:szCs w:val="44"/>
          <w:highlight w:val="none"/>
          <w:u w:val="none"/>
          <w:lang w:eastAsia="zh-CN"/>
        </w:rPr>
        <w:t>）</w:t>
      </w:r>
    </w:p>
    <w:p>
      <w:pPr>
        <w:widowControl/>
        <w:tabs>
          <w:tab w:val="left" w:pos="567"/>
        </w:tabs>
        <w:autoSpaceDE w:val="0"/>
        <w:autoSpaceDN w:val="0"/>
        <w:adjustRightInd w:val="0"/>
        <w:spacing w:before="156" w:after="156" w:line="360" w:lineRule="auto"/>
        <w:jc w:val="center"/>
        <w:textAlignment w:val="bottom"/>
        <w:rPr>
          <w:rFonts w:hint="eastAsia" w:ascii="宋体" w:hAnsi="宋体" w:cs="宋体"/>
          <w:b/>
          <w:color w:val="auto"/>
          <w:sz w:val="44"/>
          <w:szCs w:val="44"/>
          <w:highlight w:val="none"/>
          <w:u w:val="single"/>
          <w:lang w:eastAsia="zh-CN"/>
        </w:rPr>
      </w:pPr>
    </w:p>
    <w:p>
      <w:pPr>
        <w:widowControl/>
        <w:tabs>
          <w:tab w:val="left" w:pos="567"/>
        </w:tabs>
        <w:autoSpaceDE w:val="0"/>
        <w:autoSpaceDN w:val="0"/>
        <w:adjustRightInd w:val="0"/>
        <w:spacing w:before="156" w:after="156" w:line="360" w:lineRule="auto"/>
        <w:ind w:firstLine="1205" w:firstLineChars="300"/>
        <w:textAlignment w:val="bottom"/>
        <w:rPr>
          <w:color w:val="auto"/>
          <w:highlight w:val="none"/>
        </w:rPr>
      </w:pPr>
      <w:r>
        <w:rPr>
          <w:rFonts w:hint="eastAsia" w:ascii="宋体" w:hAnsi="宋体" w:cs="宋体"/>
          <w:b/>
          <w:bCs w:val="0"/>
          <w:color w:val="auto"/>
          <w:sz w:val="40"/>
          <w:szCs w:val="40"/>
          <w:highlight w:val="none"/>
          <w:u w:val="none"/>
          <w:lang w:val="en-US" w:eastAsia="zh-CN"/>
        </w:rPr>
        <w:tab/>
      </w:r>
      <w:r>
        <w:rPr>
          <w:rFonts w:hint="eastAsia" w:ascii="宋体" w:hAnsi="宋体" w:cs="宋体"/>
          <w:b/>
          <w:bCs w:val="0"/>
          <w:color w:val="auto"/>
          <w:sz w:val="40"/>
          <w:szCs w:val="40"/>
          <w:highlight w:val="none"/>
          <w:u w:val="none"/>
          <w:lang w:eastAsia="zh-CN"/>
        </w:rPr>
        <w:tab/>
      </w:r>
      <w:r>
        <w:rPr>
          <w:rFonts w:hint="eastAsia" w:ascii="宋体" w:hAnsi="宋体" w:cs="宋体"/>
          <w:b/>
          <w:bCs w:val="0"/>
          <w:color w:val="auto"/>
          <w:sz w:val="40"/>
          <w:szCs w:val="40"/>
          <w:highlight w:val="none"/>
          <w:u w:val="none"/>
          <w:lang w:eastAsia="zh-CN"/>
        </w:rPr>
        <w:tab/>
      </w: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pStyle w:val="2"/>
        <w:rPr>
          <w:color w:val="auto"/>
          <w:highlight w:val="none"/>
        </w:rPr>
      </w:pPr>
    </w:p>
    <w:p>
      <w:pPr>
        <w:rPr>
          <w:color w:val="auto"/>
          <w:highlight w:val="none"/>
        </w:rPr>
      </w:pPr>
    </w:p>
    <w:tbl>
      <w:tblPr>
        <w:tblStyle w:val="14"/>
        <w:tblpPr w:leftFromText="180" w:rightFromText="180" w:vertAnchor="text" w:horzAnchor="page" w:tblpX="1904" w:tblpY="456"/>
        <w:tblOverlap w:val="never"/>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甲  方（买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广州白云空港设备技术发展有限公司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广州市白云区新白云国际机场空港南横四路地勤大楼2-3层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丘裕坚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陈桂波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020-36069038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23" w:type="dxa"/>
            <w:gridSpan w:val="2"/>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乙  方</w:t>
            </w:r>
            <w:r>
              <w:rPr>
                <w:rFonts w:hint="eastAsia" w:ascii="宋体" w:hAnsi="宋体" w:cs="宋体"/>
                <w:color w:val="auto"/>
                <w:kern w:val="2"/>
                <w:sz w:val="24"/>
                <w:szCs w:val="24"/>
                <w:highlight w:val="none"/>
                <w:lang w:val="en-US" w:eastAsia="zh-CN"/>
              </w:rPr>
              <w:t xml:space="preserve"> 一</w:t>
            </w:r>
            <w:r>
              <w:rPr>
                <w:rFonts w:hint="eastAsia" w:ascii="宋体" w:hAnsi="宋体" w:eastAsia="宋体" w:cs="宋体"/>
                <w:color w:val="auto"/>
                <w:kern w:val="2"/>
                <w:sz w:val="24"/>
                <w:szCs w:val="24"/>
                <w:highlight w:val="none"/>
                <w:lang w:val="en-US" w:eastAsia="zh-CN"/>
              </w:rPr>
              <w:t>（卖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bl>
    <w:tbl>
      <w:tblPr>
        <w:tblStyle w:val="14"/>
        <w:tblpPr w:leftFromText="180" w:rightFromText="180" w:vertAnchor="text" w:horzAnchor="page" w:tblpX="1960" w:tblpY="384"/>
        <w:tblOverlap w:val="never"/>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乙  方</w:t>
            </w:r>
            <w:r>
              <w:rPr>
                <w:rFonts w:hint="eastAsia" w:ascii="宋体" w:hAnsi="宋体" w:cs="宋体"/>
                <w:color w:val="auto"/>
                <w:kern w:val="2"/>
                <w:sz w:val="24"/>
                <w:szCs w:val="24"/>
                <w:highlight w:val="none"/>
                <w:lang w:val="en-US" w:eastAsia="zh-CN"/>
              </w:rPr>
              <w:t xml:space="preserve"> 二</w:t>
            </w:r>
            <w:r>
              <w:rPr>
                <w:rFonts w:hint="eastAsia" w:ascii="宋体" w:hAnsi="宋体" w:eastAsia="宋体" w:cs="宋体"/>
                <w:color w:val="auto"/>
                <w:kern w:val="2"/>
                <w:sz w:val="24"/>
                <w:szCs w:val="24"/>
                <w:highlight w:val="none"/>
                <w:lang w:val="en-US" w:eastAsia="zh-CN"/>
              </w:rPr>
              <w:t>（卖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bl>
    <w:tbl>
      <w:tblPr>
        <w:tblStyle w:val="14"/>
        <w:tblpPr w:leftFromText="180" w:rightFromText="180" w:vertAnchor="text" w:horzAnchor="page" w:tblpX="1904" w:tblpY="456"/>
        <w:tblOverlap w:val="never"/>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乙  方</w:t>
            </w:r>
            <w:r>
              <w:rPr>
                <w:rFonts w:hint="eastAsia" w:ascii="宋体" w:hAnsi="宋体" w:cs="宋体"/>
                <w:color w:val="auto"/>
                <w:kern w:val="2"/>
                <w:sz w:val="24"/>
                <w:szCs w:val="24"/>
                <w:highlight w:val="none"/>
                <w:lang w:val="en-US" w:eastAsia="zh-CN"/>
              </w:rPr>
              <w:t xml:space="preserve"> 三</w:t>
            </w:r>
            <w:r>
              <w:rPr>
                <w:rFonts w:hint="eastAsia" w:ascii="宋体" w:hAnsi="宋体" w:eastAsia="宋体" w:cs="宋体"/>
                <w:color w:val="auto"/>
                <w:kern w:val="2"/>
                <w:sz w:val="24"/>
                <w:szCs w:val="24"/>
                <w:highlight w:val="none"/>
                <w:lang w:val="en-US" w:eastAsia="zh-CN"/>
              </w:rPr>
              <w:t>（卖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bl>
    <w:p>
      <w:pPr>
        <w:adjustRightInd/>
        <w:spacing w:line="360" w:lineRule="auto"/>
        <w:jc w:val="center"/>
        <w:textAlignment w:val="auto"/>
        <w:outlineLvl w:val="0"/>
        <w:rPr>
          <w:rFonts w:hint="eastAsia" w:hAnsi="宋体" w:cs="宋体"/>
          <w:b/>
          <w:bCs/>
          <w:color w:val="auto"/>
          <w:kern w:val="2"/>
          <w:sz w:val="28"/>
          <w:szCs w:val="28"/>
          <w:highlight w:val="none"/>
        </w:rPr>
      </w:pPr>
    </w:p>
    <w:p>
      <w:pPr>
        <w:adjustRightInd/>
        <w:spacing w:line="360" w:lineRule="auto"/>
        <w:jc w:val="center"/>
        <w:textAlignment w:val="auto"/>
        <w:outlineLvl w:val="0"/>
        <w:rPr>
          <w:rFonts w:hint="eastAsia" w:hAnsi="宋体" w:cs="宋体"/>
          <w:b/>
          <w:bCs/>
          <w:color w:val="auto"/>
          <w:kern w:val="2"/>
          <w:sz w:val="28"/>
          <w:szCs w:val="28"/>
          <w:highlight w:val="none"/>
        </w:rPr>
      </w:pPr>
    </w:p>
    <w:p>
      <w:pPr>
        <w:pStyle w:val="2"/>
        <w:rPr>
          <w:rFonts w:hint="eastAsia" w:hAnsi="宋体" w:cs="宋体"/>
          <w:b/>
          <w:bCs/>
          <w:color w:val="auto"/>
          <w:kern w:val="2"/>
          <w:sz w:val="28"/>
          <w:szCs w:val="28"/>
          <w:highlight w:val="none"/>
        </w:rPr>
      </w:pPr>
    </w:p>
    <w:p>
      <w:pPr>
        <w:adjustRightInd/>
        <w:spacing w:line="360" w:lineRule="auto"/>
        <w:jc w:val="center"/>
        <w:textAlignment w:val="auto"/>
        <w:outlineLvl w:val="0"/>
        <w:rPr>
          <w:rFonts w:hint="eastAsia" w:ascii="宋体" w:hAnsi="宋体" w:eastAsia="宋体" w:cs="宋体"/>
          <w:color w:val="auto"/>
          <w:sz w:val="28"/>
          <w:szCs w:val="28"/>
          <w:highlight w:val="none"/>
          <w:u w:val="single"/>
        </w:rPr>
      </w:pPr>
      <w:r>
        <w:rPr>
          <w:rFonts w:hint="eastAsia" w:hAnsi="宋体" w:cs="宋体"/>
          <w:b/>
          <w:bCs/>
          <w:color w:val="auto"/>
          <w:kern w:val="2"/>
          <w:sz w:val="28"/>
          <w:szCs w:val="28"/>
          <w:highlight w:val="none"/>
        </w:rPr>
        <w:t>第一部分</w:t>
      </w:r>
      <w:r>
        <w:rPr>
          <w:rFonts w:hAnsi="宋体" w:cs="宋体"/>
          <w:b/>
          <w:bCs/>
          <w:color w:val="auto"/>
          <w:kern w:val="2"/>
          <w:sz w:val="28"/>
          <w:szCs w:val="28"/>
          <w:highlight w:val="none"/>
        </w:rPr>
        <w:t xml:space="preserve">  </w:t>
      </w:r>
      <w:r>
        <w:rPr>
          <w:rFonts w:hint="eastAsia" w:hAnsi="宋体" w:cs="宋体"/>
          <w:b/>
          <w:bCs/>
          <w:color w:val="auto"/>
          <w:kern w:val="2"/>
          <w:sz w:val="28"/>
          <w:szCs w:val="28"/>
          <w:highlight w:val="none"/>
        </w:rPr>
        <w:t>合同通用条款</w:t>
      </w:r>
    </w:p>
    <w:p>
      <w:pPr>
        <w:widowControl/>
        <w:tabs>
          <w:tab w:val="left" w:pos="567"/>
        </w:tabs>
        <w:autoSpaceDE w:val="0"/>
        <w:autoSpaceDN w:val="0"/>
        <w:adjustRightInd w:val="0"/>
        <w:spacing w:before="156" w:after="156" w:line="360" w:lineRule="auto"/>
        <w:ind w:firstLine="720" w:firstLineChars="300"/>
        <w:textAlignment w:val="bottom"/>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广州白云空港设备技术发展有限公司</w:t>
      </w:r>
      <w:r>
        <w:rPr>
          <w:rFonts w:hint="eastAsia" w:ascii="宋体" w:hAnsi="宋体" w:eastAsia="宋体" w:cs="宋体"/>
          <w:color w:val="auto"/>
          <w:sz w:val="24"/>
          <w:szCs w:val="24"/>
          <w:highlight w:val="none"/>
        </w:rPr>
        <w:t>（以下简称甲方）与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lang w:val="en-US" w:eastAsia="zh-CN"/>
        </w:rPr>
        <w:t>（公司名称）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val="en-US" w:eastAsia="zh-CN"/>
        </w:rPr>
        <w:t>合并称</w:t>
      </w:r>
      <w:r>
        <w:rPr>
          <w:rFonts w:hint="eastAsia" w:ascii="宋体" w:hAnsi="宋体" w:eastAsia="宋体" w:cs="宋体"/>
          <w:color w:val="auto"/>
          <w:sz w:val="24"/>
          <w:szCs w:val="24"/>
          <w:highlight w:val="none"/>
        </w:rPr>
        <w:t>乙方）就乙方向甲方提供货物供应及相关服务，经买卖双方协商一致，签订本合同，共同遵守如下条款：</w:t>
      </w:r>
    </w:p>
    <w:p>
      <w:pPr>
        <w:pStyle w:val="5"/>
        <w:keepNext w:val="0"/>
        <w:keepLines w:val="0"/>
        <w:pageBreakBefore w:val="0"/>
        <w:numPr>
          <w:ilvl w:val="0"/>
          <w:numId w:val="4"/>
        </w:numPr>
        <w:tabs>
          <w:tab w:val="left" w:pos="420"/>
          <w:tab w:val="left" w:pos="824"/>
        </w:tabs>
        <w:kinsoku/>
        <w:wordWrap/>
        <w:overflowPunct/>
        <w:topLinePunct w:val="0"/>
        <w:bidi w:val="0"/>
        <w:snapToGrid/>
        <w:spacing w:before="0" w:after="0" w:line="360" w:lineRule="auto"/>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 xml:space="preserve">   定义</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在本合同中（包括附件），如有下列名词及术语，除另有明确说明或上下文另有要求，均应具有本款所赋予的含义。</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“合同”是指买卖双方签署的、载明买卖双方约定权利义务的协议，包括所有的附件、上述文件所提到的构成合同的所有文件以及日后对原合同做出的任何书面更改。</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“合同价格”是指在乙方完全和适当地履行其合同义务后，甲方根据合同规定应支付给乙方的价款。</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1.4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“生效日期”是指本合同</w:t>
      </w:r>
      <w:r>
        <w:rPr>
          <w:rFonts w:hint="eastAsia" w:ascii="宋体" w:hAnsi="宋体" w:cs="宋体"/>
          <w:color w:val="auto"/>
          <w:sz w:val="24"/>
          <w:szCs w:val="24"/>
          <w:highlight w:val="none"/>
          <w:u w:val="none"/>
          <w:lang w:val="en-US" w:eastAsia="zh-CN"/>
        </w:rPr>
        <w:t>第13条</w:t>
      </w:r>
      <w:r>
        <w:rPr>
          <w:rFonts w:hint="eastAsia" w:ascii="宋体" w:hAnsi="宋体" w:eastAsia="宋体" w:cs="宋体"/>
          <w:color w:val="auto"/>
          <w:sz w:val="24"/>
          <w:szCs w:val="24"/>
          <w:highlight w:val="none"/>
          <w:lang w:val="en-US" w:eastAsia="zh-CN"/>
        </w:rPr>
        <w:t>中所规定的合同的生效日期。</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“技术资料”是指与合同</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相关的设计、制造、监造、检验、安装、调试、验收、性能验收试验和技术指导等文件（包括图纸、各种文字说明、标准、各种软件）。</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“日、月、年”是指公历的日、月、年；“天”是指24小时；“周”是指7天。</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color w:val="auto"/>
          <w:highlight w:val="none"/>
          <w:lang w:val="en-US" w:eastAsia="zh-CN"/>
        </w:rPr>
      </w:pPr>
      <w:bookmarkStart w:id="19" w:name="_Toc268090357"/>
      <w:bookmarkStart w:id="20" w:name="_Toc279258616"/>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lang w:val="en-US" w:eastAsia="zh-CN"/>
        </w:rPr>
        <w:tab/>
      </w:r>
      <w:r>
        <w:rPr>
          <w:rFonts w:hint="eastAsia" w:ascii="宋体" w:hAnsi="宋体" w:cs="宋体"/>
          <w:b/>
          <w:color w:val="auto"/>
          <w:sz w:val="24"/>
          <w:szCs w:val="24"/>
          <w:highlight w:val="none"/>
          <w:lang w:val="en-US" w:eastAsia="zh-CN"/>
        </w:rPr>
        <w:tab/>
      </w:r>
      <w:r>
        <w:rPr>
          <w:rFonts w:hint="eastAsia" w:ascii="宋体" w:hAnsi="宋体" w:cs="宋体"/>
          <w:b/>
          <w:color w:val="auto"/>
          <w:sz w:val="24"/>
          <w:szCs w:val="24"/>
          <w:highlight w:val="none"/>
          <w:lang w:val="en-US" w:eastAsia="zh-CN"/>
        </w:rPr>
        <w:t>质量标准和技术要求</w:t>
      </w:r>
      <w:bookmarkEnd w:id="19"/>
      <w:bookmarkEnd w:id="20"/>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货物必须为本合同规定的、全新的、可正常使用的合格产品。</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本合同所指的货物及服务应符合合同附件的技术规格所述的标准。如果没有提及适用标准，则应符合中华人民共和国国家标准或行业标准；以上标准必须是有关机构发布的最新版本的标准。</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color w:val="auto"/>
          <w:highlight w:val="none"/>
        </w:rPr>
      </w:pPr>
      <w:bookmarkStart w:id="21" w:name="_Toc279258617"/>
      <w:bookmarkStart w:id="22" w:name="_Toc268090358"/>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包装和运输</w:t>
      </w:r>
      <w:bookmarkEnd w:id="21"/>
      <w:bookmarkEnd w:id="22"/>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包装必须与运输方式相适应，包装方式的确定及包装费用均由乙方负责；由于不适当的包装而造成货物在运输过程中有任何损坏由乙方负责。</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包装应足以承受整个过程中的运输、转运、装卸、储存等，充分考虑到运输途中的各种情况（如暴露于恶劣气候等）和广州地区的气候特点，以及露天存放的需要。</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包装费、运费已包含在合同价内。</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eastAsia="宋体"/>
          <w:color w:val="auto"/>
          <w:highlight w:val="none"/>
          <w:lang w:val="en-US" w:eastAsia="zh-CN"/>
        </w:rPr>
      </w:pPr>
      <w:bookmarkStart w:id="23" w:name="_Toc268090359"/>
      <w:bookmarkStart w:id="24" w:name="_Toc279258618"/>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装运单证</w:t>
      </w:r>
      <w:bookmarkEnd w:id="23"/>
      <w:bookmarkEnd w:id="24"/>
      <w:r>
        <w:rPr>
          <w:rFonts w:hint="eastAsia" w:ascii="宋体" w:hAnsi="宋体" w:cs="宋体"/>
          <w:b/>
          <w:color w:val="auto"/>
          <w:sz w:val="24"/>
          <w:szCs w:val="24"/>
          <w:highlight w:val="none"/>
          <w:lang w:val="en-US" w:eastAsia="zh-CN"/>
        </w:rPr>
        <w:t xml:space="preserve"> 【如有】</w:t>
      </w:r>
    </w:p>
    <w:p>
      <w:pPr>
        <w:keepNext w:val="0"/>
        <w:keepLines w:val="0"/>
        <w:pageBreakBefore w:val="0"/>
        <w:tabs>
          <w:tab w:val="left" w:pos="840"/>
        </w:tabs>
        <w:kinsoku/>
        <w:wordWrap/>
        <w:overflowPunct/>
        <w:topLinePunct w:val="0"/>
        <w:bidi w:val="0"/>
        <w:adjustRightInd w:val="0"/>
        <w:snapToGrid/>
        <w:spacing w:line="360" w:lineRule="auto"/>
        <w:ind w:left="840" w:right="-46" w:hanging="8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以下运输单证原件在交货同时交给甲方，其单证副本（或复印件）则应在交货前三天交给甲方：</w:t>
      </w:r>
    </w:p>
    <w:p>
      <w:pPr>
        <w:keepNext w:val="0"/>
        <w:keepLines w:val="0"/>
        <w:pageBreakBefore w:val="0"/>
        <w:tabs>
          <w:tab w:val="left" w:pos="840"/>
        </w:tabs>
        <w:kinsoku/>
        <w:wordWrap/>
        <w:overflowPunct/>
        <w:topLinePunct w:val="0"/>
        <w:bidi w:val="0"/>
        <w:adjustRightInd w:val="0"/>
        <w:snapToGrid/>
        <w:spacing w:line="360" w:lineRule="auto"/>
        <w:ind w:left="840" w:right="-46" w:hanging="8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（1）装箱单一式三份，注明订单号、装运标志、货物内容；</w:t>
      </w:r>
    </w:p>
    <w:p>
      <w:pPr>
        <w:keepNext w:val="0"/>
        <w:keepLines w:val="0"/>
        <w:pageBreakBefore w:val="0"/>
        <w:tabs>
          <w:tab w:val="left" w:pos="840"/>
        </w:tabs>
        <w:kinsoku/>
        <w:wordWrap/>
        <w:overflowPunct/>
        <w:topLinePunct w:val="0"/>
        <w:bidi w:val="0"/>
        <w:adjustRightInd w:val="0"/>
        <w:snapToGrid/>
        <w:spacing w:line="360" w:lineRule="auto"/>
        <w:ind w:left="840" w:right="-46" w:hanging="8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（2）进口部件应提供报关单及原产地证明。</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color w:val="auto"/>
          <w:highlight w:val="none"/>
        </w:rPr>
      </w:pPr>
      <w:bookmarkStart w:id="25" w:name="_Toc268090360"/>
      <w:bookmarkStart w:id="26" w:name="_Toc279258619"/>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货物的风险转移和保险</w:t>
      </w:r>
      <w:bookmarkEnd w:id="25"/>
      <w:bookmarkEnd w:id="26"/>
    </w:p>
    <w:p>
      <w:pPr>
        <w:keepNext w:val="0"/>
        <w:keepLines w:val="0"/>
        <w:pageBreakBefore w:val="0"/>
        <w:tabs>
          <w:tab w:val="left" w:pos="735"/>
        </w:tabs>
        <w:kinsoku/>
        <w:wordWrap/>
        <w:overflowPunct/>
        <w:topLinePunct w:val="0"/>
        <w:bidi w:val="0"/>
        <w:adjustRightInd w:val="0"/>
        <w:snapToGrid/>
        <w:spacing w:line="360" w:lineRule="auto"/>
        <w:ind w:left="840" w:right="-46" w:hanging="840"/>
        <w:textAlignment w:val="auto"/>
        <w:rPr>
          <w:color w:val="auto"/>
          <w:szCs w:val="24"/>
          <w:highlight w:val="none"/>
          <w:lang w:val="en-US" w:eastAsia="zh-CN"/>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在到货验收合格移交过程以前，货物的风险由乙方承担；移交后，风险由甲方承担。乙方交运的在途货物，风险由乙方承担。</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strike w:val="0"/>
          <w:dstrike w:val="0"/>
          <w:color w:val="auto"/>
          <w:highlight w:val="none"/>
          <w:lang w:eastAsia="zh-CN"/>
        </w:rPr>
      </w:pPr>
      <w:bookmarkStart w:id="27" w:name="_Toc279258614"/>
      <w:bookmarkStart w:id="28" w:name="_Toc268090355"/>
      <w:bookmarkStart w:id="29" w:name="_Toc279258625"/>
      <w:bookmarkStart w:id="30" w:name="_Toc268090366"/>
      <w:bookmarkStart w:id="31" w:name="_Toc268090353"/>
      <w:bookmarkStart w:id="32" w:name="_Toc279258612"/>
      <w:r>
        <w:rPr>
          <w:rFonts w:hint="eastAsia" w:ascii="宋体" w:hAnsi="宋体" w:cs="宋体"/>
          <w:b/>
          <w:strike w:val="0"/>
          <w:dstrike w:val="0"/>
          <w:color w:val="auto"/>
          <w:sz w:val="24"/>
          <w:szCs w:val="24"/>
          <w:highlight w:val="none"/>
          <w:lang w:val="en-US" w:eastAsia="zh-CN"/>
        </w:rPr>
        <w:t>6</w:t>
      </w:r>
      <w:r>
        <w:rPr>
          <w:rFonts w:hint="eastAsia" w:ascii="宋体" w:hAnsi="宋体" w:eastAsia="宋体" w:cs="宋体"/>
          <w:b/>
          <w:strike w:val="0"/>
          <w:dstrike w:val="0"/>
          <w:color w:val="auto"/>
          <w:sz w:val="24"/>
          <w:szCs w:val="24"/>
          <w:highlight w:val="none"/>
        </w:rPr>
        <w:t>.</w:t>
      </w:r>
      <w:r>
        <w:rPr>
          <w:rFonts w:hint="eastAsia" w:ascii="宋体" w:hAnsi="宋体" w:eastAsia="宋体" w:cs="宋体"/>
          <w:b/>
          <w:strike w:val="0"/>
          <w:dstrike w:val="0"/>
          <w:color w:val="auto"/>
          <w:sz w:val="24"/>
          <w:szCs w:val="24"/>
          <w:highlight w:val="none"/>
        </w:rPr>
        <w:tab/>
      </w:r>
      <w:r>
        <w:rPr>
          <w:rFonts w:hint="eastAsia" w:ascii="宋体" w:hAnsi="宋体" w:eastAsia="宋体" w:cs="宋体"/>
          <w:b/>
          <w:strike w:val="0"/>
          <w:dstrike w:val="0"/>
          <w:color w:val="auto"/>
          <w:sz w:val="24"/>
          <w:szCs w:val="24"/>
          <w:highlight w:val="none"/>
        </w:rPr>
        <w:tab/>
      </w:r>
      <w:r>
        <w:rPr>
          <w:rFonts w:hint="eastAsia" w:ascii="宋体" w:hAnsi="宋体" w:eastAsia="宋体" w:cs="宋体"/>
          <w:b/>
          <w:strike w:val="0"/>
          <w:dstrike w:val="0"/>
          <w:color w:val="auto"/>
          <w:sz w:val="24"/>
          <w:szCs w:val="24"/>
          <w:highlight w:val="none"/>
        </w:rPr>
        <w:t>付款</w:t>
      </w:r>
      <w:bookmarkEnd w:id="27"/>
      <w:bookmarkEnd w:id="28"/>
      <w:r>
        <w:rPr>
          <w:rFonts w:hint="eastAsia" w:ascii="宋体" w:hAnsi="宋体" w:cs="宋体"/>
          <w:b/>
          <w:strike w:val="0"/>
          <w:dstrike w:val="0"/>
          <w:color w:val="auto"/>
          <w:sz w:val="24"/>
          <w:szCs w:val="24"/>
          <w:highlight w:val="none"/>
          <w:lang w:val="en-US" w:eastAsia="zh-CN"/>
        </w:rPr>
        <w:t>方式</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default" w:ascii="宋体" w:hAnsi="宋体" w:eastAsia="宋体" w:cs="宋体"/>
          <w:color w:val="auto"/>
          <w:sz w:val="24"/>
          <w:szCs w:val="24"/>
          <w:highlight w:val="none"/>
          <w:lang w:val="en-US" w:eastAsia="zh-CN"/>
        </w:rPr>
      </w:pPr>
      <w:bookmarkStart w:id="33" w:name="_Toc279258615"/>
      <w:bookmarkStart w:id="34" w:name="_Toc268090356"/>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甲乙双方根据实际供货数量每季度结算一次。在标的物验收合格后，甲方在收到乙方提供的全额增值税专用发票后20个工作日内向乙方支付结算全款。</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ab/>
      </w:r>
      <w:r>
        <w:rPr>
          <w:rFonts w:hint="eastAsia" w:ascii="宋体" w:hAnsi="宋体" w:eastAsia="宋体" w:cs="宋体"/>
          <w:bCs/>
          <w:color w:val="auto"/>
          <w:sz w:val="24"/>
          <w:szCs w:val="24"/>
          <w:highlight w:val="none"/>
        </w:rPr>
        <w:t>付款方式：采用银行结算方式。</w:t>
      </w:r>
    </w:p>
    <w:p>
      <w:pPr>
        <w:adjustRightInd/>
        <w:spacing w:line="360" w:lineRule="auto"/>
        <w:ind w:firstLine="480" w:firstLineChars="200"/>
        <w:textAlignment w:val="auto"/>
        <w:rPr>
          <w:rFonts w:hint="eastAsia" w:ascii="宋体" w:hAnsi="宋体" w:cs="宋体"/>
          <w:color w:val="auto"/>
          <w:kern w:val="2"/>
          <w:sz w:val="24"/>
          <w:szCs w:val="20"/>
          <w:highlight w:val="none"/>
          <w:lang w:val="en-US" w:eastAsia="zh-CN"/>
        </w:rPr>
      </w:pPr>
      <w:r>
        <w:rPr>
          <w:rFonts w:hint="eastAsia" w:ascii="宋体" w:hAnsi="宋体" w:cs="宋体"/>
          <w:color w:val="auto"/>
          <w:kern w:val="2"/>
          <w:sz w:val="24"/>
          <w:szCs w:val="20"/>
          <w:highlight w:val="none"/>
        </w:rPr>
        <w:t>甲方</w:t>
      </w:r>
      <w:r>
        <w:rPr>
          <w:rFonts w:hint="eastAsia" w:ascii="宋体" w:hAnsi="宋体" w:cs="宋体"/>
          <w:color w:val="auto"/>
          <w:kern w:val="2"/>
          <w:sz w:val="24"/>
          <w:szCs w:val="20"/>
          <w:highlight w:val="none"/>
          <w:lang w:val="en-US" w:eastAsia="zh-CN"/>
        </w:rPr>
        <w:t>开票信息：</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名称：</w:t>
      </w:r>
      <w:r>
        <w:rPr>
          <w:rFonts w:hint="eastAsia" w:ascii="宋体" w:hAnsi="宋体" w:cs="宋体"/>
          <w:color w:val="auto"/>
          <w:kern w:val="2"/>
          <w:sz w:val="24"/>
          <w:szCs w:val="20"/>
          <w:highlight w:val="none"/>
        </w:rPr>
        <w:t>广州白云空港设备技术发展有限公司</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开户银行：中国银行广州新白云机场支行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账号：634057747132</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 xml:space="preserve">纳税人识别号：914401017594173033 </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地址：</w:t>
      </w:r>
      <w:r>
        <w:rPr>
          <w:rFonts w:hint="eastAsia" w:ascii="宋体" w:hAnsi="宋体" w:cs="宋体"/>
          <w:color w:val="auto"/>
          <w:kern w:val="2"/>
          <w:sz w:val="24"/>
          <w:szCs w:val="24"/>
          <w:highlight w:val="none"/>
          <w:lang w:val="en-US" w:eastAsia="zh-CN"/>
        </w:rPr>
        <w:t>广州市白云区新白云国际机场空港南横四路地勤大楼2-3层</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电话：（020）86122841</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乙方</w:t>
      </w:r>
      <w:r>
        <w:rPr>
          <w:rFonts w:hint="eastAsia" w:ascii="宋体" w:hAnsi="宋体" w:cs="宋体"/>
          <w:color w:val="auto"/>
          <w:kern w:val="2"/>
          <w:sz w:val="24"/>
          <w:szCs w:val="20"/>
          <w:highlight w:val="none"/>
          <w:lang w:val="en-US" w:eastAsia="zh-CN"/>
        </w:rPr>
        <w:t>一</w:t>
      </w:r>
      <w:r>
        <w:rPr>
          <w:rFonts w:hint="eastAsia" w:ascii="宋体" w:hAnsi="宋体" w:cs="宋体"/>
          <w:color w:val="auto"/>
          <w:kern w:val="2"/>
          <w:sz w:val="24"/>
          <w:szCs w:val="20"/>
          <w:highlight w:val="none"/>
        </w:rPr>
        <w:t>开户银行：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收款</w:t>
      </w:r>
      <w:r>
        <w:rPr>
          <w:rFonts w:hint="eastAsia" w:ascii="宋体" w:hAnsi="宋体" w:cs="宋体"/>
          <w:color w:val="auto"/>
          <w:kern w:val="2"/>
          <w:sz w:val="24"/>
          <w:szCs w:val="20"/>
          <w:highlight w:val="none"/>
        </w:rPr>
        <w:t xml:space="preserve">账号： </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乙方</w:t>
      </w:r>
      <w:r>
        <w:rPr>
          <w:rFonts w:hint="eastAsia" w:ascii="宋体" w:hAnsi="宋体" w:cs="宋体"/>
          <w:color w:val="auto"/>
          <w:kern w:val="2"/>
          <w:sz w:val="24"/>
          <w:szCs w:val="20"/>
          <w:highlight w:val="none"/>
          <w:lang w:val="en-US" w:eastAsia="zh-CN"/>
        </w:rPr>
        <w:t>二</w:t>
      </w:r>
      <w:r>
        <w:rPr>
          <w:rFonts w:hint="eastAsia" w:ascii="宋体" w:hAnsi="宋体" w:cs="宋体"/>
          <w:color w:val="auto"/>
          <w:kern w:val="2"/>
          <w:sz w:val="24"/>
          <w:szCs w:val="20"/>
          <w:highlight w:val="none"/>
        </w:rPr>
        <w:t>开户银行：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收款</w:t>
      </w:r>
      <w:r>
        <w:rPr>
          <w:rFonts w:hint="eastAsia" w:ascii="宋体" w:hAnsi="宋体" w:cs="宋体"/>
          <w:color w:val="auto"/>
          <w:kern w:val="2"/>
          <w:sz w:val="24"/>
          <w:szCs w:val="20"/>
          <w:highlight w:val="none"/>
        </w:rPr>
        <w:t xml:space="preserve">账号： </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乙方</w:t>
      </w:r>
      <w:r>
        <w:rPr>
          <w:rFonts w:hint="eastAsia" w:ascii="宋体" w:hAnsi="宋体" w:cs="宋体"/>
          <w:color w:val="auto"/>
          <w:kern w:val="2"/>
          <w:sz w:val="24"/>
          <w:szCs w:val="20"/>
          <w:highlight w:val="none"/>
          <w:lang w:val="en-US" w:eastAsia="zh-CN"/>
        </w:rPr>
        <w:t>三</w:t>
      </w:r>
      <w:r>
        <w:rPr>
          <w:rFonts w:hint="eastAsia" w:ascii="宋体" w:hAnsi="宋体" w:cs="宋体"/>
          <w:color w:val="auto"/>
          <w:kern w:val="2"/>
          <w:sz w:val="24"/>
          <w:szCs w:val="20"/>
          <w:highlight w:val="none"/>
        </w:rPr>
        <w:t>开户银行：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收款</w:t>
      </w:r>
      <w:r>
        <w:rPr>
          <w:rFonts w:hint="eastAsia" w:ascii="宋体" w:hAnsi="宋体" w:cs="宋体"/>
          <w:color w:val="auto"/>
          <w:kern w:val="2"/>
          <w:sz w:val="24"/>
          <w:szCs w:val="20"/>
          <w:highlight w:val="none"/>
        </w:rPr>
        <w:t xml:space="preserve">账号： </w:t>
      </w:r>
    </w:p>
    <w:bookmarkEnd w:id="29"/>
    <w:bookmarkEnd w:id="30"/>
    <w:bookmarkEnd w:id="33"/>
    <w:bookmarkEnd w:id="34"/>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35" w:name="_Toc279258626"/>
      <w:bookmarkStart w:id="36" w:name="_Toc268090367"/>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技术文件</w:t>
      </w:r>
      <w:bookmarkEnd w:id="35"/>
      <w:bookmarkEnd w:id="36"/>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如甲方需要，乙方应向甲方提供包含保证甲方能够正确进行操作、检查、维修、维护、测试、验收和运作所需要的所有内容的技术文件（含电子文档）一式三套。</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甲方完全按照乙方提供的技术文件指导所进行的任何操作、检查维修、维护、测试、验收所引起的系统、</w:t>
      </w:r>
      <w:r>
        <w:rPr>
          <w:rFonts w:hint="eastAsia" w:ascii="宋体" w:hAnsi="宋体" w:cs="宋体"/>
          <w:color w:val="auto"/>
          <w:sz w:val="24"/>
          <w:szCs w:val="24"/>
          <w:highlight w:val="none"/>
          <w:lang w:eastAsia="zh-CN"/>
        </w:rPr>
        <w:t>产品</w:t>
      </w:r>
      <w:r>
        <w:rPr>
          <w:rFonts w:hint="eastAsia" w:ascii="宋体" w:hAnsi="宋体" w:eastAsia="宋体" w:cs="宋体"/>
          <w:color w:val="auto"/>
          <w:sz w:val="24"/>
          <w:szCs w:val="24"/>
          <w:highlight w:val="none"/>
        </w:rPr>
        <w:t>或其部件的损坏由乙方承担责任。</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乙方未提供合同规定的技术文件，甲方可以推迟付款，直至乙方补齐有关技术文件。</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37" w:name="_Toc268090368"/>
      <w:bookmarkStart w:id="38" w:name="_Toc279258627"/>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知识产权</w:t>
      </w:r>
      <w:bookmarkEnd w:id="37"/>
      <w:bookmarkEnd w:id="38"/>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乙方应保证甲方在中华人民共和国使用该货物或货物的任何一部分时，免受第三方提出的侵犯其专利权、商标权或其他知识产权的起诉。如发生此类纠纷，由乙方承担一切责任。</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乙方为执行本合同而提供的技术资料、软件的使用权归甲方所有。</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39" w:name="_Toc279258631"/>
      <w:bookmarkStart w:id="40" w:name="_Toc268090372"/>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税和关税</w:t>
      </w:r>
      <w:bookmarkEnd w:id="39"/>
      <w:bookmarkEnd w:id="40"/>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中国政府根据现行的税法规定对乙方或其雇员征收的与本合同有关的一切税费均应由乙方负担。</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本合同执行有关的在中国境外发生的应属于乙方义务的一切税费均应由乙方负担。</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合同总价包含应付的销售税、进口环节税（关税和增殖税等）和其它税项，以及运保费等。</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41" w:name="_Toc279258632"/>
      <w:bookmarkStart w:id="42" w:name="_Toc268090373"/>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保密</w:t>
      </w:r>
      <w:bookmarkEnd w:id="41"/>
      <w:bookmarkEnd w:id="42"/>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一方违反上述保密义务的，应承担相应的违约责任并赔偿对方由此造成的损失。</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43" w:name="_Toc268090369"/>
      <w:bookmarkStart w:id="44" w:name="_Toc279258628"/>
      <w:r>
        <w:rPr>
          <w:rFonts w:hint="eastAsia" w:ascii="宋体" w:hAnsi="宋体" w:cs="宋体"/>
          <w:b/>
          <w:color w:val="auto"/>
          <w:sz w:val="24"/>
          <w:szCs w:val="24"/>
          <w:highlight w:val="none"/>
          <w:lang w:val="en-US" w:eastAsia="zh-CN"/>
        </w:rPr>
        <w:t>11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违约索赔</w:t>
      </w:r>
      <w:bookmarkEnd w:id="43"/>
      <w:bookmarkEnd w:id="44"/>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若乙方所提供的</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与合同要求不符，甲方有权拒收并要求乙方换货，乙方负担由此发生的一切损失和费用。</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对有缺陷的零件、部件、</w:t>
      </w:r>
      <w:r>
        <w:rPr>
          <w:rFonts w:hint="eastAsia" w:ascii="宋体" w:hAnsi="宋体" w:cs="宋体"/>
          <w:color w:val="auto"/>
          <w:sz w:val="24"/>
          <w:szCs w:val="24"/>
          <w:highlight w:val="none"/>
          <w:lang w:eastAsia="zh-CN"/>
        </w:rPr>
        <w:t>产品</w:t>
      </w:r>
      <w:r>
        <w:rPr>
          <w:rFonts w:hint="eastAsia" w:ascii="宋体" w:hAnsi="宋体" w:eastAsia="宋体" w:cs="宋体"/>
          <w:color w:val="auto"/>
          <w:sz w:val="24"/>
          <w:szCs w:val="24"/>
          <w:highlight w:val="none"/>
        </w:rPr>
        <w:t>或软件，乙方接到甲方通知</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5天内更换或更新完毕，以达到合同规定的规格、质量和性能。甲方保留向乙方索赔的权利，同时乙方应相应顺延被更换货物的质保期。</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若甲方发出索赔通知</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15天内乙方未作</w:t>
      </w:r>
      <w:r>
        <w:rPr>
          <w:rFonts w:hint="eastAsia" w:ascii="宋体" w:hAnsi="宋体" w:cs="宋体"/>
          <w:color w:val="auto"/>
          <w:sz w:val="24"/>
          <w:szCs w:val="24"/>
          <w:highlight w:val="none"/>
          <w:lang w:val="en-US" w:eastAsia="zh-CN"/>
        </w:rPr>
        <w:t>出书面</w:t>
      </w:r>
      <w:r>
        <w:rPr>
          <w:rFonts w:hint="eastAsia" w:ascii="宋体" w:hAnsi="宋体" w:eastAsia="宋体" w:cs="宋体"/>
          <w:color w:val="auto"/>
          <w:sz w:val="24"/>
          <w:szCs w:val="24"/>
          <w:highlight w:val="none"/>
        </w:rPr>
        <w:t>答复，则该索赔被视为已被乙方接受。如乙方未能在收到索赔通知后30天内或征得甲方同意的延长期限内，按照甲方选择的方法解决索赔事宜，甲方将保留进一步要求索赔的权利。</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乙方逾期交货或逾期提供服务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每延误一天承担合同</w:t>
      </w: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rPr>
        <w:t>价的</w:t>
      </w:r>
      <w:r>
        <w:rPr>
          <w:rFonts w:hint="eastAsia" w:ascii="宋体" w:hAnsi="宋体" w:cs="宋体"/>
          <w:color w:val="auto"/>
          <w:sz w:val="24"/>
          <w:szCs w:val="24"/>
          <w:highlight w:val="none"/>
          <w:lang w:val="en-US" w:eastAsia="zh-CN"/>
        </w:rPr>
        <w:t>千分之五</w:t>
      </w:r>
      <w:r>
        <w:rPr>
          <w:rFonts w:hint="eastAsia" w:ascii="宋体" w:hAnsi="宋体" w:eastAsia="宋体" w:cs="宋体"/>
          <w:color w:val="auto"/>
          <w:sz w:val="24"/>
          <w:szCs w:val="24"/>
          <w:highlight w:val="none"/>
        </w:rPr>
        <w:t>的违约金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违约金最高不超过合同总额的10%</w:t>
      </w:r>
      <w:r>
        <w:rPr>
          <w:rFonts w:hint="eastAsia" w:ascii="宋体" w:hAnsi="宋体" w:eastAsia="宋体" w:cs="宋体"/>
          <w:color w:val="auto"/>
          <w:sz w:val="24"/>
          <w:szCs w:val="24"/>
          <w:highlight w:val="none"/>
        </w:rPr>
        <w:t>。</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合同任意一方</w:t>
      </w:r>
      <w:r>
        <w:rPr>
          <w:rFonts w:hint="eastAsia" w:ascii="宋体" w:hAnsi="宋体" w:eastAsia="宋体" w:cs="宋体"/>
          <w:color w:val="auto"/>
          <w:sz w:val="24"/>
          <w:szCs w:val="24"/>
          <w:highlight w:val="none"/>
        </w:rPr>
        <w:t>逾期交货或逾期提供服务</w:t>
      </w:r>
      <w:r>
        <w:rPr>
          <w:rFonts w:hint="eastAsia" w:ascii="宋体" w:hAnsi="宋体" w:eastAsia="宋体" w:cs="宋体"/>
          <w:color w:val="auto"/>
          <w:sz w:val="24"/>
          <w:szCs w:val="24"/>
          <w:highlight w:val="none"/>
          <w:lang w:val="en-US" w:eastAsia="zh-CN"/>
        </w:rPr>
        <w:t>累计超过20日，守约方有权解除双方合同并追究</w:t>
      </w:r>
      <w:r>
        <w:rPr>
          <w:rFonts w:hint="eastAsia" w:ascii="宋体" w:hAnsi="宋体" w:eastAsia="宋体" w:cs="宋体"/>
          <w:color w:val="auto"/>
          <w:sz w:val="24"/>
          <w:szCs w:val="24"/>
          <w:highlight w:val="none"/>
        </w:rPr>
        <w:t>违约</w:t>
      </w:r>
      <w:r>
        <w:rPr>
          <w:rFonts w:hint="eastAsia" w:ascii="宋体" w:hAnsi="宋体" w:eastAsia="宋体" w:cs="宋体"/>
          <w:color w:val="auto"/>
          <w:sz w:val="24"/>
          <w:szCs w:val="24"/>
          <w:highlight w:val="none"/>
          <w:lang w:val="en-US" w:eastAsia="zh-CN"/>
        </w:rPr>
        <w:t>方责任。违约金不足以弥补守约方损失的，违约方应当另行予以赔偿。</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合同变更</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根据实际情况，确实需变更原合同约定的货物，</w:t>
      </w:r>
      <w:r>
        <w:rPr>
          <w:rFonts w:hint="eastAsia" w:ascii="宋体" w:hAnsi="宋体" w:cs="宋体"/>
          <w:color w:val="auto"/>
          <w:sz w:val="24"/>
          <w:szCs w:val="24"/>
          <w:highlight w:val="none"/>
          <w:lang w:val="en-US" w:eastAsia="zh-CN"/>
        </w:rPr>
        <w:t>须提交</w:t>
      </w:r>
      <w:r>
        <w:rPr>
          <w:rFonts w:hint="eastAsia" w:ascii="宋体" w:hAnsi="宋体" w:eastAsia="宋体" w:cs="宋体"/>
          <w:color w:val="auto"/>
          <w:sz w:val="24"/>
          <w:szCs w:val="24"/>
          <w:highlight w:val="none"/>
        </w:rPr>
        <w:t>相关变更清单对照表及其变更的</w:t>
      </w:r>
      <w:r>
        <w:rPr>
          <w:rFonts w:hint="eastAsia" w:ascii="宋体" w:hAnsi="宋体" w:cs="宋体"/>
          <w:color w:val="auto"/>
          <w:sz w:val="24"/>
          <w:szCs w:val="24"/>
          <w:highlight w:val="none"/>
          <w:lang w:val="en-US" w:eastAsia="zh-CN"/>
        </w:rPr>
        <w:t>依</w:t>
      </w:r>
      <w:r>
        <w:rPr>
          <w:rFonts w:hint="eastAsia" w:ascii="宋体" w:hAnsi="宋体" w:eastAsia="宋体" w:cs="宋体"/>
          <w:color w:val="auto"/>
          <w:sz w:val="24"/>
          <w:szCs w:val="24"/>
          <w:highlight w:val="none"/>
        </w:rPr>
        <w:t>据，</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rPr>
        <w:t>经双方签订《补充协议》后实施。</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无论乙方是按原合同要求</w:t>
      </w:r>
      <w:r>
        <w:rPr>
          <w:rFonts w:hint="eastAsia" w:ascii="宋体" w:hAnsi="宋体" w:cs="宋体"/>
          <w:color w:val="auto"/>
          <w:sz w:val="24"/>
          <w:szCs w:val="24"/>
          <w:highlight w:val="none"/>
          <w:lang w:val="en-US" w:eastAsia="zh-CN"/>
        </w:rPr>
        <w:t>提供的货物，还是</w:t>
      </w:r>
      <w:r>
        <w:rPr>
          <w:rFonts w:hint="eastAsia" w:ascii="宋体" w:hAnsi="宋体" w:eastAsia="宋体" w:cs="宋体"/>
          <w:color w:val="auto"/>
          <w:sz w:val="24"/>
          <w:szCs w:val="24"/>
          <w:highlight w:val="none"/>
        </w:rPr>
        <w:t>根据现场实际情况变更后</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的货物，乙方都不能免除对</w:t>
      </w:r>
      <w:r>
        <w:rPr>
          <w:rFonts w:hint="eastAsia" w:ascii="宋体" w:hAnsi="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货物应承担的责任。</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如果由于甲方的原因造成乙方交付或安装工期延长，乙方应作为合同价内的风险因素，不因此向甲方索赔。</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45" w:name="_Toc268090374"/>
      <w:bookmarkStart w:id="46" w:name="_Toc279258633"/>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合同生效、失效和终止</w:t>
      </w:r>
      <w:bookmarkEnd w:id="45"/>
      <w:bookmarkEnd w:id="46"/>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rPr>
        <w:t>合同经双方法定代表人或其授权代表签字</w:t>
      </w:r>
      <w:r>
        <w:rPr>
          <w:rFonts w:hint="eastAsia" w:ascii="宋体" w:hAnsi="宋体" w:cs="宋体"/>
          <w:color w:val="auto"/>
          <w:sz w:val="24"/>
          <w:szCs w:val="24"/>
          <w:highlight w:val="none"/>
          <w:lang w:val="en-US" w:eastAsia="zh-CN"/>
        </w:rPr>
        <w:t>并加</w:t>
      </w:r>
      <w:r>
        <w:rPr>
          <w:rFonts w:hint="eastAsia" w:ascii="宋体" w:hAnsi="宋体" w:eastAsia="宋体" w:cs="宋体"/>
          <w:color w:val="auto"/>
          <w:sz w:val="24"/>
          <w:szCs w:val="24"/>
          <w:highlight w:val="none"/>
        </w:rPr>
        <w:t>盖</w:t>
      </w:r>
      <w:r>
        <w:rPr>
          <w:rFonts w:hint="eastAsia" w:ascii="宋体" w:hAnsi="宋体" w:cs="宋体"/>
          <w:color w:val="auto"/>
          <w:sz w:val="24"/>
          <w:szCs w:val="24"/>
          <w:highlight w:val="none"/>
          <w:lang w:val="en-US" w:eastAsia="zh-CN"/>
        </w:rPr>
        <w:t>公</w:t>
      </w:r>
      <w:r>
        <w:rPr>
          <w:rFonts w:hint="eastAsia" w:ascii="宋体" w:hAnsi="宋体" w:eastAsia="宋体" w:cs="宋体"/>
          <w:color w:val="auto"/>
          <w:sz w:val="24"/>
          <w:szCs w:val="24"/>
          <w:highlight w:val="none"/>
        </w:rPr>
        <w:t>章后生效。</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如果由于不可抗力因素而造成合同终止，甲方应立即以书面形式向乙方通告。乙方在收到有关证明后，立即停止货物的制造或采购。对于在收到此证明前乙方所完成的内容，甲方应及时向乙方支付相应金额。双方办理结算手续后，合同宣告失效。</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因一方原因，合同无法继续履行时，应及时通知对方，办理合同终止协议，</w:t>
      </w:r>
      <w:r>
        <w:rPr>
          <w:rFonts w:hint="eastAsia" w:ascii="宋体" w:hAnsi="宋体" w:cs="宋体"/>
          <w:color w:val="auto"/>
          <w:sz w:val="24"/>
          <w:szCs w:val="24"/>
          <w:highlight w:val="none"/>
          <w:lang w:val="en-US" w:eastAsia="zh-CN"/>
        </w:rPr>
        <w:t>违约方应当按11.5条违约金标准赔偿守约方损失</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如违约金不足以弥补守约方损失的，违约方应当另行予以赔偿。</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如果合同中的任一方严重违反合同条款，则另一方可终止合同，并及时通知对方。</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47" w:name="_Toc279258629"/>
      <w:bookmarkStart w:id="48" w:name="_Toc268090370"/>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不可抗力</w:t>
      </w:r>
      <w:bookmarkEnd w:id="47"/>
      <w:bookmarkEnd w:id="48"/>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“不可抗力”是指在订立本合同时不可预见，在</w:t>
      </w:r>
      <w:r>
        <w:rPr>
          <w:rFonts w:hint="eastAsia" w:ascii="宋体" w:hAnsi="宋体" w:cs="宋体"/>
          <w:color w:val="auto"/>
          <w:sz w:val="24"/>
          <w:szCs w:val="24"/>
          <w:highlight w:val="none"/>
          <w:lang w:val="en-US" w:eastAsia="zh-CN"/>
        </w:rPr>
        <w:t>本项目实施</w:t>
      </w:r>
      <w:r>
        <w:rPr>
          <w:rFonts w:hint="eastAsia" w:ascii="宋体" w:hAnsi="宋体" w:eastAsia="宋体" w:cs="宋体"/>
          <w:color w:val="auto"/>
          <w:sz w:val="24"/>
          <w:szCs w:val="24"/>
          <w:highlight w:val="none"/>
        </w:rPr>
        <w:t>过程中不可避免发生并不能克服的自然灾害和社会性突发事件，如地震、海啸、瘟疫、水灾、骚乱、暴动、战争和专用条款约定的其他情形。由不可抗</w:t>
      </w:r>
      <w:r>
        <w:rPr>
          <w:rFonts w:hint="eastAsia" w:ascii="宋体" w:hAnsi="宋体" w:cs="宋体"/>
          <w:color w:val="auto"/>
          <w:sz w:val="24"/>
          <w:szCs w:val="24"/>
          <w:highlight w:val="none"/>
          <w:lang w:val="en-US" w:eastAsia="zh-CN"/>
        </w:rPr>
        <w:t>力</w:t>
      </w:r>
      <w:r>
        <w:rPr>
          <w:rFonts w:hint="eastAsia" w:ascii="宋体" w:hAnsi="宋体" w:eastAsia="宋体" w:cs="宋体"/>
          <w:color w:val="auto"/>
          <w:sz w:val="24"/>
          <w:szCs w:val="24"/>
          <w:highlight w:val="none"/>
        </w:rPr>
        <w:t>原因造成不能及时供应合同规定的货物时，乙方应立即以书面形式通告甲方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并全力做好补救工作，防止损失因责任原因导致扩大。</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在不可抗力事件发生后,双方应努力寻求采取合理的方案履行不受不可抗力影响的其他事项。如不可抗力因素继续存在，致使在合同规定或合同变更后的</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期限仍不能履行完毕，甲方则有权解除合同，双方均互不提出索赔。甲方不承担终止合同的责任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乙方不得扣押预付款，双方在合同解除后30天内结算完毕。</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color w:val="auto"/>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如双方对不可抗力事件的影响估计将延续到30日以上时，双方应</w:t>
      </w:r>
      <w:r>
        <w:rPr>
          <w:rFonts w:hint="eastAsia" w:cs="宋体"/>
          <w:color w:val="auto"/>
          <w:kern w:val="2"/>
          <w:sz w:val="24"/>
          <w:szCs w:val="24"/>
          <w:highlight w:val="none"/>
          <w:lang w:val="en-US" w:eastAsia="zh-CN" w:bidi="ar-SA"/>
        </w:rPr>
        <w:t>通过</w:t>
      </w:r>
      <w:r>
        <w:rPr>
          <w:rFonts w:hint="eastAsia" w:ascii="宋体" w:hAnsi="宋体" w:eastAsia="宋体" w:cs="宋体"/>
          <w:color w:val="auto"/>
          <w:kern w:val="2"/>
          <w:sz w:val="24"/>
          <w:szCs w:val="24"/>
          <w:highlight w:val="none"/>
          <w:lang w:val="en-US" w:eastAsia="zh-CN" w:bidi="ar-SA"/>
        </w:rPr>
        <w:t>友好协商解决本合同的执行问题（包括交货、验收等问题）。</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default" w:ascii="宋体" w:hAnsi="宋体" w:eastAsia="宋体" w:cs="宋体"/>
          <w:b/>
          <w:color w:val="auto"/>
          <w:sz w:val="24"/>
          <w:szCs w:val="24"/>
          <w:highlight w:val="none"/>
          <w:lang w:val="en-US" w:eastAsia="zh-CN"/>
        </w:rPr>
      </w:pPr>
      <w:bookmarkStart w:id="49" w:name="_Toc268090371"/>
      <w:bookmarkStart w:id="50" w:name="_Toc279258630"/>
      <w:r>
        <w:rPr>
          <w:rFonts w:hint="eastAsia" w:ascii="宋体" w:hAnsi="宋体" w:cs="宋体"/>
          <w:b/>
          <w:color w:val="auto"/>
          <w:sz w:val="24"/>
          <w:szCs w:val="24"/>
          <w:highlight w:val="none"/>
          <w:lang w:val="en-US" w:eastAsia="zh-CN"/>
        </w:rPr>
        <w:t>15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bookmarkEnd w:id="49"/>
      <w:bookmarkEnd w:id="50"/>
      <w:r>
        <w:rPr>
          <w:rFonts w:hint="eastAsia" w:ascii="宋体" w:hAnsi="宋体" w:cs="宋体"/>
          <w:b/>
          <w:color w:val="auto"/>
          <w:sz w:val="24"/>
          <w:szCs w:val="24"/>
          <w:highlight w:val="none"/>
          <w:lang w:val="en-US" w:eastAsia="zh-CN"/>
        </w:rPr>
        <w:t>争议处理</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.1    凡与本协议有关而引起的一切争议，甲乙双方应首先通过友好协商解决，如经协商后仍不能达成协议时，任何一方可以向</w:t>
      </w:r>
      <w:r>
        <w:rPr>
          <w:rFonts w:hint="eastAsia" w:ascii="宋体" w:hAnsi="宋体" w:cs="宋体"/>
          <w:color w:val="auto"/>
          <w:sz w:val="24"/>
          <w:szCs w:val="24"/>
          <w:highlight w:val="none"/>
          <w:u w:val="single"/>
          <w:lang w:val="en-US" w:eastAsia="zh-CN"/>
        </w:rPr>
        <w:t>广州市白云区法院</w:t>
      </w:r>
      <w:r>
        <w:rPr>
          <w:rFonts w:hint="eastAsia" w:ascii="宋体" w:hAnsi="宋体" w:cs="宋体"/>
          <w:color w:val="auto"/>
          <w:sz w:val="24"/>
          <w:szCs w:val="24"/>
          <w:highlight w:val="none"/>
          <w:lang w:val="en-US" w:eastAsia="zh-CN"/>
        </w:rPr>
        <w:t>提起诉讼</w:t>
      </w:r>
      <w:r>
        <w:rPr>
          <w:rFonts w:hint="eastAsia" w:ascii="宋体" w:hAnsi="宋体" w:eastAsia="宋体" w:cs="宋体"/>
          <w:color w:val="auto"/>
          <w:sz w:val="24"/>
          <w:szCs w:val="24"/>
          <w:highlight w:val="none"/>
        </w:rPr>
        <w:t>。</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在进行法院审理期间，除提交法院审理的事项外，协议其他部分仍应继续履行。</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本协议按照中华人民共和国的法律进行解释。</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51" w:name="_Toc279258634"/>
      <w:bookmarkStart w:id="52" w:name="_Toc268090375"/>
      <w:r>
        <w:rPr>
          <w:rFonts w:hint="eastAsia" w:ascii="宋体" w:hAnsi="宋体" w:cs="宋体"/>
          <w:b/>
          <w:color w:val="auto"/>
          <w:sz w:val="24"/>
          <w:szCs w:val="24"/>
          <w:highlight w:val="none"/>
          <w:lang w:val="en-US" w:eastAsia="zh-CN"/>
        </w:rPr>
        <w:t>16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其它</w:t>
      </w:r>
      <w:bookmarkEnd w:id="51"/>
      <w:bookmarkEnd w:id="52"/>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本合同之所有附件均为合同的有效组成部分，与本合同具有同样法律效力。</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在执行本合同的过程中，所有经双方签署确认的文件（包括会议纪要、补充协议、设计变更文件）即成为本合同的有效组成部分，其生效日期为双方签字盖章之日期。</w:t>
      </w:r>
    </w:p>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.3    本合同共</w:t>
      </w:r>
      <w:r>
        <w:rPr>
          <w:rFonts w:hint="eastAsia" w:ascii="宋体" w:hAnsi="宋体" w:cs="宋体"/>
          <w:color w:val="auto"/>
          <w:sz w:val="24"/>
          <w:szCs w:val="24"/>
          <w:highlight w:val="none"/>
          <w:u w:val="single"/>
          <w:lang w:val="en-US" w:eastAsia="zh-CN"/>
        </w:rPr>
        <w:t>陆</w:t>
      </w:r>
      <w:r>
        <w:rPr>
          <w:rFonts w:hint="eastAsia" w:ascii="宋体" w:hAnsi="宋体" w:eastAsia="宋体" w:cs="宋体"/>
          <w:color w:val="auto"/>
          <w:sz w:val="24"/>
          <w:szCs w:val="24"/>
          <w:highlight w:val="none"/>
        </w:rPr>
        <w:t>份，甲方持</w:t>
      </w:r>
      <w:r>
        <w:rPr>
          <w:rFonts w:hint="eastAsia" w:ascii="宋体" w:hAnsi="宋体" w:cs="宋体"/>
          <w:color w:val="auto"/>
          <w:sz w:val="24"/>
          <w:szCs w:val="24"/>
          <w:highlight w:val="none"/>
          <w:lang w:val="en-US" w:eastAsia="zh-CN"/>
        </w:rPr>
        <w:t>叁</w:t>
      </w:r>
      <w:r>
        <w:rPr>
          <w:rFonts w:hint="eastAsia" w:ascii="宋体" w:hAnsi="宋体" w:eastAsia="宋体" w:cs="宋体"/>
          <w:color w:val="auto"/>
          <w:sz w:val="24"/>
          <w:szCs w:val="24"/>
          <w:highlight w:val="none"/>
        </w:rPr>
        <w:t>份，乙方</w:t>
      </w:r>
      <w:r>
        <w:rPr>
          <w:rFonts w:hint="eastAsia" w:ascii="宋体" w:hAnsi="宋体" w:cs="宋体"/>
          <w:color w:val="auto"/>
          <w:sz w:val="24"/>
          <w:szCs w:val="24"/>
          <w:highlight w:val="none"/>
          <w:lang w:val="en-US" w:eastAsia="zh-CN"/>
        </w:rPr>
        <w:t>各持壹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w:t>
      </w:r>
    </w:p>
    <w:p>
      <w:pPr>
        <w:pStyle w:val="2"/>
        <w:rPr>
          <w:rFonts w:hint="eastAsia" w:ascii="宋体" w:hAnsi="宋体" w:eastAsia="宋体" w:cs="宋体"/>
          <w:color w:val="auto"/>
          <w:sz w:val="24"/>
          <w:szCs w:val="24"/>
          <w:highlight w:val="none"/>
        </w:rPr>
      </w:pPr>
    </w:p>
    <w:p>
      <w:pPr>
        <w:adjustRightInd/>
        <w:spacing w:line="360" w:lineRule="auto"/>
        <w:jc w:val="center"/>
        <w:textAlignment w:val="auto"/>
        <w:outlineLvl w:val="0"/>
        <w:rPr>
          <w:rFonts w:hint="eastAsia" w:ascii="宋体" w:hAnsi="宋体" w:eastAsia="宋体" w:cs="宋体"/>
          <w:b/>
          <w:color w:val="auto"/>
          <w:sz w:val="24"/>
          <w:szCs w:val="24"/>
          <w:highlight w:val="none"/>
        </w:rPr>
      </w:pPr>
      <w:r>
        <w:rPr>
          <w:rFonts w:hint="eastAsia" w:hAnsi="宋体" w:cs="宋体"/>
          <w:b/>
          <w:bCs/>
          <w:color w:val="auto"/>
          <w:kern w:val="2"/>
          <w:sz w:val="28"/>
          <w:szCs w:val="28"/>
          <w:highlight w:val="none"/>
        </w:rPr>
        <w:t>第二部分  合同专项条款</w:t>
      </w:r>
    </w:p>
    <w:p>
      <w:pPr>
        <w:pStyle w:val="5"/>
        <w:keepNext w:val="0"/>
        <w:keepLines w:val="0"/>
        <w:tabs>
          <w:tab w:val="left" w:pos="420"/>
          <w:tab w:val="left" w:pos="824"/>
        </w:tabs>
        <w:snapToGrid/>
        <w:spacing w:before="0" w:after="0"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合同标的</w:t>
      </w:r>
      <w:bookmarkEnd w:id="31"/>
      <w:bookmarkEnd w:id="32"/>
    </w:p>
    <w:p>
      <w:pPr>
        <w:tabs>
          <w:tab w:val="left" w:pos="1788"/>
          <w:tab w:val="left" w:pos="3468"/>
          <w:tab w:val="left" w:pos="5148"/>
          <w:tab w:val="left" w:pos="6618"/>
          <w:tab w:val="left" w:pos="7563"/>
        </w:tabs>
        <w:adjustRightInd w:val="0"/>
        <w:spacing w:line="360" w:lineRule="auto"/>
        <w:ind w:left="941" w:leftChars="-1" w:hanging="943" w:hangingChars="393"/>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   本合同货物清单见乙方在入库时提交的《通用备件及消耗品采购清单》</w:t>
      </w:r>
    </w:p>
    <w:p>
      <w:pPr>
        <w:tabs>
          <w:tab w:val="left" w:pos="1788"/>
          <w:tab w:val="left" w:pos="3468"/>
          <w:tab w:val="left" w:pos="5148"/>
          <w:tab w:val="left" w:pos="6618"/>
          <w:tab w:val="left" w:pos="7563"/>
        </w:tabs>
        <w:adjustRightInd w:val="0"/>
        <w:spacing w:line="360" w:lineRule="auto"/>
        <w:ind w:left="941" w:leftChars="-1" w:hanging="943" w:hangingChars="393"/>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17.2   《通用备件及消耗品采购清单》内物料采购数量为预计采购量，甲乙双方在最高采购限额内以实际供货数量结算。</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53" w:name="_Toc279258613"/>
      <w:bookmarkStart w:id="54" w:name="_Toc268090354"/>
      <w:r>
        <w:rPr>
          <w:rFonts w:hint="eastAsia" w:ascii="宋体" w:hAnsi="宋体" w:cs="宋体"/>
          <w:b/>
          <w:color w:val="auto"/>
          <w:sz w:val="24"/>
          <w:szCs w:val="24"/>
          <w:highlight w:val="none"/>
          <w:lang w:val="en-US" w:eastAsia="zh-CN"/>
        </w:rPr>
        <w:t>18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合同价格</w:t>
      </w:r>
      <w:bookmarkEnd w:id="53"/>
      <w:bookmarkEnd w:id="54"/>
    </w:p>
    <w:p>
      <w:pPr>
        <w:keepNext w:val="0"/>
        <w:keepLines w:val="0"/>
        <w:pageBreakBefore w:val="0"/>
        <w:tabs>
          <w:tab w:val="left" w:pos="840"/>
        </w:tabs>
        <w:kinsoku/>
        <w:wordWrap/>
        <w:overflowPunct/>
        <w:topLinePunct w:val="0"/>
        <w:bidi w:val="0"/>
        <w:adjustRightInd w:val="0"/>
        <w:snapToGrid/>
        <w:spacing w:line="360" w:lineRule="auto"/>
        <w:ind w:left="720" w:hanging="720" w:hangingChars="3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 xml:space="preserve">.1 </w:t>
      </w:r>
      <w:r>
        <w:rPr>
          <w:rFonts w:hint="eastAsia" w:ascii="宋体" w:hAnsi="宋体" w:eastAsia="宋体" w:cs="宋体"/>
          <w:b/>
          <w:bCs/>
          <w:color w:val="auto"/>
          <w:sz w:val="24"/>
          <w:szCs w:val="24"/>
          <w:highlight w:val="none"/>
        </w:rPr>
        <w:t xml:space="preserve"> </w:t>
      </w:r>
      <w:r>
        <w:rPr>
          <w:rFonts w:hint="eastAsia" w:ascii="宋体" w:hAnsi="宋体" w:cs="宋体"/>
          <w:color w:val="auto"/>
          <w:sz w:val="24"/>
          <w:szCs w:val="24"/>
          <w:highlight w:val="none"/>
          <w:lang w:val="en-US" w:eastAsia="zh-CN"/>
        </w:rPr>
        <w:t>根据“通用备件及消耗品采购项目”采购结果，</w:t>
      </w:r>
      <w:r>
        <w:rPr>
          <w:rFonts w:hint="eastAsia" w:ascii="宋体" w:hAnsi="宋体" w:cs="宋体"/>
          <w:color w:val="auto"/>
          <w:sz w:val="24"/>
          <w:szCs w:val="24"/>
          <w:highlight w:val="none"/>
          <w:u w:val="single"/>
          <w:lang w:val="en-US" w:eastAsia="zh-CN"/>
        </w:rPr>
        <w:t xml:space="preserve"> 乙方一    </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乙方二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乙方三   </w:t>
      </w:r>
      <w:r>
        <w:rPr>
          <w:rFonts w:hint="eastAsia" w:ascii="宋体" w:hAnsi="宋体" w:cs="宋体"/>
          <w:color w:val="auto"/>
          <w:sz w:val="24"/>
          <w:szCs w:val="24"/>
          <w:highlight w:val="none"/>
          <w:u w:val="none"/>
          <w:lang w:val="en-US" w:eastAsia="zh-CN"/>
        </w:rPr>
        <w:t>三家供应商组成</w:t>
      </w:r>
      <w:r>
        <w:rPr>
          <w:rFonts w:hint="eastAsia" w:ascii="宋体" w:hAnsi="宋体" w:cs="宋体"/>
          <w:color w:val="auto"/>
          <w:sz w:val="24"/>
          <w:szCs w:val="24"/>
          <w:highlight w:val="none"/>
          <w:lang w:val="en-US" w:eastAsia="zh-CN"/>
        </w:rPr>
        <w:t>甲方“</w:t>
      </w:r>
      <w:r>
        <w:rPr>
          <w:rFonts w:hint="eastAsia" w:ascii="宋体" w:hAnsi="宋体" w:cs="宋体"/>
          <w:color w:val="auto"/>
          <w:kern w:val="0"/>
          <w:sz w:val="24"/>
          <w:szCs w:val="24"/>
          <w:highlight w:val="none"/>
          <w:lang w:val="en-US" w:eastAsia="zh-CN" w:bidi="ar"/>
        </w:rPr>
        <w:t>通用备件及消耗品供应商库</w:t>
      </w:r>
      <w:r>
        <w:rPr>
          <w:rFonts w:hint="eastAsia" w:ascii="宋体" w:hAnsi="宋体" w:cs="宋体"/>
          <w:color w:val="auto"/>
          <w:sz w:val="24"/>
          <w:szCs w:val="24"/>
          <w:highlight w:val="none"/>
          <w:lang w:val="en-US" w:eastAsia="zh-CN"/>
        </w:rPr>
        <w:t>”。项目最高采购限额合计为¥1900000（大写：壹佰玖拾万元整）。</w:t>
      </w:r>
      <w:r>
        <w:rPr>
          <w:rFonts w:ascii="宋体" w:hAnsi="宋体" w:eastAsia="宋体" w:cs="宋体"/>
          <w:color w:val="auto"/>
          <w:sz w:val="24"/>
          <w:szCs w:val="24"/>
          <w:highlight w:val="none"/>
        </w:rPr>
        <w:t>合同有效期内如遇国家税收政策对该合同适用税率调整，合同的不含税价保持不变，税额按新税率计算。</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   乙方在入库时提交的《通用备件及消耗品采购清单》内的报价为最高结算价，实际结算价格以入库供应商在甲方采购平台二次报价的价格为准。</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18.3</w:t>
      </w:r>
      <w:r>
        <w:rPr>
          <w:rFonts w:hint="eastAsia" w:ascii="宋体" w:hAnsi="宋体" w:cs="宋体"/>
          <w:color w:val="auto"/>
          <w:sz w:val="24"/>
          <w:szCs w:val="24"/>
          <w:highlight w:val="none"/>
          <w:lang w:val="en-US" w:eastAsia="zh-CN"/>
        </w:rPr>
        <w:tab/>
      </w:r>
      <w:r>
        <w:rPr>
          <w:rFonts w:hint="eastAsia" w:ascii="宋体" w:hAnsi="宋体" w:cs="宋体"/>
          <w:color w:val="auto"/>
          <w:sz w:val="24"/>
          <w:szCs w:val="24"/>
          <w:highlight w:val="none"/>
          <w:lang w:val="en-US" w:eastAsia="zh-CN"/>
        </w:rPr>
        <w:t>本合同价格包括了货物及附件的制造、包装、运输、保险、税费（包括关税、增值税等）以及验收、技术服务（包括技术资料、图纸的提供）、售后服务、质保期保障等的全部费用。</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55" w:name="_Toc268090361"/>
      <w:bookmarkStart w:id="56" w:name="_Toc279258620"/>
      <w:r>
        <w:rPr>
          <w:rFonts w:hint="eastAsia" w:ascii="宋体" w:hAnsi="宋体" w:cs="宋体"/>
          <w:b/>
          <w:color w:val="auto"/>
          <w:sz w:val="24"/>
          <w:szCs w:val="24"/>
          <w:highlight w:val="none"/>
          <w:lang w:val="en-US" w:eastAsia="zh-CN"/>
        </w:rPr>
        <w:t>19</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进度计划</w:t>
      </w:r>
      <w:bookmarkEnd w:id="55"/>
      <w:bookmarkEnd w:id="56"/>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到货地点：</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运至</w:t>
      </w:r>
      <w:r>
        <w:rPr>
          <w:rFonts w:hint="eastAsia" w:ascii="宋体" w:hAnsi="宋体" w:cs="宋体"/>
          <w:color w:val="auto"/>
          <w:sz w:val="24"/>
          <w:szCs w:val="24"/>
          <w:highlight w:val="none"/>
          <w:lang w:val="en-US" w:eastAsia="zh-CN"/>
        </w:rPr>
        <w:t>广州市白云区白云机场</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val="en-US" w:eastAsia="zh-CN"/>
        </w:rPr>
        <w:t>仓库</w:t>
      </w:r>
      <w:r>
        <w:rPr>
          <w:rFonts w:hint="eastAsia" w:ascii="宋体" w:hAnsi="宋体" w:eastAsia="宋体" w:cs="宋体"/>
          <w:color w:val="auto"/>
          <w:sz w:val="24"/>
          <w:szCs w:val="24"/>
          <w:highlight w:val="none"/>
        </w:rPr>
        <w:t>交货。</w:t>
      </w:r>
    </w:p>
    <w:p>
      <w:pPr>
        <w:keepNext w:val="0"/>
        <w:keepLines w:val="0"/>
        <w:pageBreakBefore w:val="0"/>
        <w:tabs>
          <w:tab w:val="left" w:pos="840"/>
        </w:tabs>
        <w:kinsoku/>
        <w:wordWrap/>
        <w:overflowPunct/>
        <w:topLinePunct w:val="0"/>
        <w:bidi w:val="0"/>
        <w:adjustRightInd w:val="0"/>
        <w:snapToGrid/>
        <w:spacing w:line="360" w:lineRule="auto"/>
        <w:ind w:left="1833" w:hanging="2095" w:hangingChars="873"/>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交货期限: </w:t>
      </w:r>
      <w:r>
        <w:rPr>
          <w:rFonts w:hint="eastAsia" w:ascii="宋体" w:hAnsi="宋体" w:eastAsia="宋体" w:cs="宋体"/>
          <w:color w:val="auto"/>
          <w:sz w:val="24"/>
          <w:szCs w:val="24"/>
          <w:highlight w:val="none"/>
          <w:lang w:val="en-US" w:eastAsia="zh-CN"/>
        </w:rPr>
        <w:t>收到送货通知后</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天内交货。</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57" w:name="_Toc279258621"/>
      <w:bookmarkStart w:id="58" w:name="_Toc268090362"/>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验收与质保期</w:t>
      </w:r>
      <w:bookmarkEnd w:id="57"/>
      <w:bookmarkEnd w:id="58"/>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货物运抵交付地后，必须通过到货验收。如甲方要求到货后开箱抽检，乙方应予以配合。如甲方发现缺少、损坏部件，乙方须及时补齐，如因此造成工期拖延，甲方有权按延期交货索赔。</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质保期为</w:t>
      </w:r>
      <w:r>
        <w:rPr>
          <w:rFonts w:hint="eastAsia" w:ascii="宋体" w:hAnsi="宋体" w:cs="宋体"/>
          <w:color w:val="auto"/>
          <w:kern w:val="2"/>
          <w:sz w:val="24"/>
          <w:szCs w:val="24"/>
          <w:highlight w:val="none"/>
          <w:u w:val="single"/>
          <w:lang w:val="en-US" w:eastAsia="zh-CN"/>
        </w:rPr>
        <w:t>（  ）</w:t>
      </w:r>
      <w:r>
        <w:rPr>
          <w:rFonts w:hint="eastAsia" w:ascii="宋体" w:hAnsi="宋体" w:eastAsia="宋体" w:cs="宋体"/>
          <w:color w:val="auto"/>
          <w:sz w:val="24"/>
          <w:szCs w:val="24"/>
          <w:highlight w:val="none"/>
        </w:rPr>
        <w:t>个月，从货物全部到货并获得甲方出具的物资验收单之日起计算，在质保期内乙方免费提供</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正常使用情况下的维修及保养服务。质保期内</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本身质量出现问题或由于</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本身质量原因造成的任何损伤或损坏，乙方应及时给予免费维修或免费更换，由此引起的一切费用由乙方负责。新更换的</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质保期则从更换后双方确认能正常使用时起计。</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质保期内因用户使用、管理不当所造成的损失由甲方承担，乙方提供有偿服务。</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在有关部门进行验收时，乙方应及时配合甲方。</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乙方货物质量和提供的服务不符要求,致使不能实现合同目的,甲方可拒收货物或解除合同。甲方拒收货物或者解除合同的，标的物运输、毁损及丢失的风险由乙方承担。</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cs="宋体"/>
          <w:b/>
          <w:color w:val="auto"/>
          <w:sz w:val="24"/>
          <w:szCs w:val="24"/>
          <w:highlight w:val="none"/>
          <w:lang w:val="en-US" w:eastAsia="zh-CN"/>
        </w:rPr>
        <w:t>附件1</w:t>
      </w:r>
    </w:p>
    <w:p>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通用备件及消耗品采购清单</w:t>
      </w:r>
    </w:p>
    <w:p>
      <w:pPr>
        <w:rPr>
          <w:rFonts w:hint="eastAsia"/>
          <w:color w:val="auto"/>
          <w:highlight w:val="none"/>
        </w:rPr>
      </w:pPr>
    </w:p>
    <w:tbl>
      <w:tblPr>
        <w:tblStyle w:val="15"/>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840" w:right="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方（盖章）：</w:t>
            </w:r>
            <w:r>
              <w:rPr>
                <w:rFonts w:hint="eastAsia" w:ascii="宋体" w:hAnsi="宋体" w:cs="宋体"/>
                <w:color w:val="auto"/>
                <w:sz w:val="24"/>
                <w:szCs w:val="24"/>
                <w:highlight w:val="none"/>
                <w:lang w:val="en-US" w:eastAsia="zh-CN"/>
              </w:rPr>
              <w:t>广州白云空港设备技术发展有限公司</w:t>
            </w:r>
            <w:r>
              <w:rPr>
                <w:rFonts w:hint="eastAsia" w:ascii="宋体" w:hAnsi="宋体" w:eastAsia="宋体" w:cs="宋体"/>
                <w:color w:val="auto"/>
                <w:sz w:val="24"/>
                <w:szCs w:val="24"/>
                <w:highlight w:val="none"/>
              </w:rPr>
              <w:t xml:space="preserve">                      </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p>
        </w:tc>
        <w:tc>
          <w:tcPr>
            <w:tcW w:w="4538"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乙   方</w:t>
            </w:r>
            <w:r>
              <w:rPr>
                <w:rFonts w:hint="eastAsia" w:ascii="宋体" w:hAnsi="宋体" w:cs="宋体"/>
                <w:color w:val="auto"/>
                <w:sz w:val="24"/>
                <w:szCs w:val="24"/>
                <w:highlight w:val="none"/>
                <w:lang w:val="en-US" w:eastAsia="zh-CN"/>
              </w:rPr>
              <w:t xml:space="preserve"> 一 </w:t>
            </w:r>
            <w:r>
              <w:rPr>
                <w:rFonts w:hint="eastAsia" w:ascii="宋体" w:hAnsi="宋体" w:eastAsia="宋体" w:cs="宋体"/>
                <w:color w:val="auto"/>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（签字）：</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 xml:space="preserve">日期：     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840" w:right="0" w:hanging="960" w:hangingChars="4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乙  方  二</w:t>
            </w:r>
            <w:r>
              <w:rPr>
                <w:rFonts w:hint="eastAsia" w:ascii="宋体" w:hAnsi="宋体" w:eastAsia="宋体" w:cs="宋体"/>
                <w:color w:val="auto"/>
                <w:sz w:val="24"/>
                <w:szCs w:val="24"/>
                <w:highlight w:val="none"/>
              </w:rPr>
              <w:t xml:space="preserve">（盖章）：                </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p>
        </w:tc>
        <w:tc>
          <w:tcPr>
            <w:tcW w:w="4538"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乙   方</w:t>
            </w:r>
            <w:r>
              <w:rPr>
                <w:rFonts w:hint="eastAsia" w:ascii="宋体" w:hAnsi="宋体" w:cs="宋体"/>
                <w:color w:val="auto"/>
                <w:sz w:val="24"/>
                <w:szCs w:val="24"/>
                <w:highlight w:val="none"/>
                <w:lang w:val="en-US" w:eastAsia="zh-CN"/>
              </w:rPr>
              <w:t xml:space="preserve">  三 </w:t>
            </w:r>
            <w:r>
              <w:rPr>
                <w:rFonts w:hint="eastAsia" w:ascii="宋体" w:hAnsi="宋体" w:eastAsia="宋体" w:cs="宋体"/>
                <w:color w:val="auto"/>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（签字）：</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 xml:space="preserve">日期：     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日期：     年   月   日</w:t>
            </w:r>
          </w:p>
        </w:tc>
      </w:tr>
    </w:tbl>
    <w:p>
      <w:pPr>
        <w:widowControl/>
        <w:tabs>
          <w:tab w:val="left" w:pos="567"/>
        </w:tabs>
        <w:autoSpaceDE w:val="0"/>
        <w:autoSpaceDN w:val="0"/>
        <w:adjustRightInd w:val="0"/>
        <w:snapToGrid w:val="0"/>
        <w:spacing w:line="360" w:lineRule="auto"/>
        <w:jc w:val="left"/>
        <w:textAlignment w:val="bottom"/>
        <w:rPr>
          <w:rFonts w:hint="eastAsia" w:ascii="宋体" w:hAnsi="宋体"/>
          <w:b/>
          <w:bCs/>
          <w:color w:val="auto"/>
          <w:szCs w:val="21"/>
          <w:highlight w:val="none"/>
        </w:rPr>
      </w:pPr>
    </w:p>
    <w:p>
      <w:pPr>
        <w:widowControl/>
        <w:wordWrap w:val="0"/>
        <w:autoSpaceDE w:val="0"/>
        <w:spacing w:before="150" w:after="150" w:line="360" w:lineRule="auto"/>
        <w:jc w:val="both"/>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八、附件1：通用备件及消耗品采购清单</w:t>
      </w:r>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font-weight : 400">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4E503"/>
    <w:multiLevelType w:val="singleLevel"/>
    <w:tmpl w:val="B454E503"/>
    <w:lvl w:ilvl="0" w:tentative="0">
      <w:start w:val="1"/>
      <w:numFmt w:val="decimal"/>
      <w:suff w:val="space"/>
      <w:lvlText w:val="%1."/>
      <w:lvlJc w:val="left"/>
    </w:lvl>
  </w:abstractNum>
  <w:abstractNum w:abstractNumId="1">
    <w:nsid w:val="0000000C"/>
    <w:multiLevelType w:val="singleLevel"/>
    <w:tmpl w:val="0000000C"/>
    <w:lvl w:ilvl="0" w:tentative="0">
      <w:start w:val="1"/>
      <w:numFmt w:val="chineseCounting"/>
      <w:suff w:val="nothing"/>
      <w:lvlText w:val="%1、"/>
      <w:lvlJc w:val="left"/>
      <w:rPr>
        <w:rFonts w:cs="Times New Roman"/>
      </w:rPr>
    </w:lvl>
  </w:abstractNum>
  <w:abstractNum w:abstractNumId="2">
    <w:nsid w:val="36C5243E"/>
    <w:multiLevelType w:val="singleLevel"/>
    <w:tmpl w:val="36C5243E"/>
    <w:lvl w:ilvl="0" w:tentative="0">
      <w:start w:val="6"/>
      <w:numFmt w:val="chineseCounting"/>
      <w:suff w:val="nothing"/>
      <w:lvlText w:val="%1、"/>
      <w:lvlJc w:val="left"/>
      <w:rPr>
        <w:rFonts w:hint="eastAsia"/>
      </w:rPr>
    </w:lvl>
  </w:abstractNum>
  <w:abstractNum w:abstractNumId="3">
    <w:nsid w:val="535778F6"/>
    <w:multiLevelType w:val="multilevel"/>
    <w:tmpl w:val="535778F6"/>
    <w:lvl w:ilvl="0" w:tentative="0">
      <w:start w:val="1"/>
      <w:numFmt w:val="chineseCountingThousand"/>
      <w:suff w:val="nothing"/>
      <w:lvlText w:val="%1、"/>
      <w:lvlJc w:val="left"/>
      <w:rPr>
        <w:rFonts w:cs="Times New Roman"/>
        <w:b/>
        <w:i w:val="0"/>
        <w:sz w:val="24"/>
      </w:rPr>
    </w:lvl>
    <w:lvl w:ilvl="1" w:tentative="0">
      <w:start w:val="1"/>
      <w:numFmt w:val="decimal"/>
      <w:pStyle w:val="4"/>
      <w:suff w:val="nothing"/>
      <w:lvlText w:val="%2. "/>
      <w:lvlJc w:val="left"/>
      <w:rPr>
        <w:rFonts w:cs="Times New Roman"/>
        <w:b w:val="0"/>
        <w:i w:val="0"/>
        <w:sz w:val="24"/>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4OTQ4ZjAyMzVlZTNiMDZmYjZlYWYzOThmY2ZmZTgifQ=="/>
  </w:docVars>
  <w:rsids>
    <w:rsidRoot w:val="00172A27"/>
    <w:rsid w:val="000178E8"/>
    <w:rsid w:val="00023419"/>
    <w:rsid w:val="000A4AD7"/>
    <w:rsid w:val="002368EC"/>
    <w:rsid w:val="00294F66"/>
    <w:rsid w:val="00311108"/>
    <w:rsid w:val="00362707"/>
    <w:rsid w:val="004D7AA3"/>
    <w:rsid w:val="005E3920"/>
    <w:rsid w:val="00643DB1"/>
    <w:rsid w:val="00674C43"/>
    <w:rsid w:val="0073616F"/>
    <w:rsid w:val="00760FE8"/>
    <w:rsid w:val="007B10FC"/>
    <w:rsid w:val="007D385E"/>
    <w:rsid w:val="008F6FBC"/>
    <w:rsid w:val="00A43B33"/>
    <w:rsid w:val="00BE6E7F"/>
    <w:rsid w:val="00C2062D"/>
    <w:rsid w:val="00C71F0B"/>
    <w:rsid w:val="00C95CC4"/>
    <w:rsid w:val="00CC6B5D"/>
    <w:rsid w:val="00D73F01"/>
    <w:rsid w:val="00E009AD"/>
    <w:rsid w:val="00E903DE"/>
    <w:rsid w:val="00EB20C7"/>
    <w:rsid w:val="00EF2C68"/>
    <w:rsid w:val="013A4F75"/>
    <w:rsid w:val="01AD1BCE"/>
    <w:rsid w:val="0216715F"/>
    <w:rsid w:val="02520691"/>
    <w:rsid w:val="030E6BB7"/>
    <w:rsid w:val="03EC5908"/>
    <w:rsid w:val="04484598"/>
    <w:rsid w:val="04845FEF"/>
    <w:rsid w:val="04AA68BE"/>
    <w:rsid w:val="04FD69EB"/>
    <w:rsid w:val="050D6AB4"/>
    <w:rsid w:val="055A1DB9"/>
    <w:rsid w:val="05BE2245"/>
    <w:rsid w:val="06277EBA"/>
    <w:rsid w:val="06695E00"/>
    <w:rsid w:val="0680713F"/>
    <w:rsid w:val="06930D7E"/>
    <w:rsid w:val="07A83D2B"/>
    <w:rsid w:val="07F44886"/>
    <w:rsid w:val="08232CED"/>
    <w:rsid w:val="08F329AB"/>
    <w:rsid w:val="092B359C"/>
    <w:rsid w:val="093805E5"/>
    <w:rsid w:val="09D3758A"/>
    <w:rsid w:val="0AF342EA"/>
    <w:rsid w:val="0B860FFB"/>
    <w:rsid w:val="0BE2754D"/>
    <w:rsid w:val="0CBC26F6"/>
    <w:rsid w:val="0D676D3F"/>
    <w:rsid w:val="0F6C1E35"/>
    <w:rsid w:val="0FDE2263"/>
    <w:rsid w:val="103B07D3"/>
    <w:rsid w:val="10872077"/>
    <w:rsid w:val="10AD0790"/>
    <w:rsid w:val="10F87FE4"/>
    <w:rsid w:val="11557F28"/>
    <w:rsid w:val="11756B64"/>
    <w:rsid w:val="11E56B9A"/>
    <w:rsid w:val="133D1E44"/>
    <w:rsid w:val="13434929"/>
    <w:rsid w:val="13886971"/>
    <w:rsid w:val="139B1A3A"/>
    <w:rsid w:val="143A69CA"/>
    <w:rsid w:val="14484C0E"/>
    <w:rsid w:val="14D2427F"/>
    <w:rsid w:val="15005018"/>
    <w:rsid w:val="154948BB"/>
    <w:rsid w:val="155E1D62"/>
    <w:rsid w:val="15604883"/>
    <w:rsid w:val="157A34B1"/>
    <w:rsid w:val="15960E05"/>
    <w:rsid w:val="16136C00"/>
    <w:rsid w:val="16B32FB7"/>
    <w:rsid w:val="172D5458"/>
    <w:rsid w:val="173F2026"/>
    <w:rsid w:val="177E74D5"/>
    <w:rsid w:val="179A0D70"/>
    <w:rsid w:val="17AD21FA"/>
    <w:rsid w:val="17FE24D4"/>
    <w:rsid w:val="18A251F3"/>
    <w:rsid w:val="18B44A93"/>
    <w:rsid w:val="19026EFA"/>
    <w:rsid w:val="19506207"/>
    <w:rsid w:val="19F23D54"/>
    <w:rsid w:val="1AA80578"/>
    <w:rsid w:val="1B8730A5"/>
    <w:rsid w:val="1B9003CE"/>
    <w:rsid w:val="1B98458A"/>
    <w:rsid w:val="1BAF029D"/>
    <w:rsid w:val="1C17280E"/>
    <w:rsid w:val="1C413211"/>
    <w:rsid w:val="1CDB3CD5"/>
    <w:rsid w:val="1CFA04FB"/>
    <w:rsid w:val="1D0205B4"/>
    <w:rsid w:val="1D215842"/>
    <w:rsid w:val="1D331ECD"/>
    <w:rsid w:val="1D483FA3"/>
    <w:rsid w:val="1D786DD9"/>
    <w:rsid w:val="1D985BBA"/>
    <w:rsid w:val="1E1B2E79"/>
    <w:rsid w:val="1E8E0351"/>
    <w:rsid w:val="1EA9460B"/>
    <w:rsid w:val="1F0A0165"/>
    <w:rsid w:val="1F2C35B6"/>
    <w:rsid w:val="1F595F86"/>
    <w:rsid w:val="20254ADF"/>
    <w:rsid w:val="209C34FD"/>
    <w:rsid w:val="21652389"/>
    <w:rsid w:val="21AA3977"/>
    <w:rsid w:val="225D751A"/>
    <w:rsid w:val="22850262"/>
    <w:rsid w:val="230064C7"/>
    <w:rsid w:val="23104177"/>
    <w:rsid w:val="23213308"/>
    <w:rsid w:val="236B1416"/>
    <w:rsid w:val="239275AF"/>
    <w:rsid w:val="23E34BCB"/>
    <w:rsid w:val="24206E79"/>
    <w:rsid w:val="24AC4891"/>
    <w:rsid w:val="254F00C6"/>
    <w:rsid w:val="2580498B"/>
    <w:rsid w:val="25C32D8E"/>
    <w:rsid w:val="25FA224E"/>
    <w:rsid w:val="26845196"/>
    <w:rsid w:val="2779124F"/>
    <w:rsid w:val="293E2833"/>
    <w:rsid w:val="293E4722"/>
    <w:rsid w:val="29C51E69"/>
    <w:rsid w:val="29DC72B6"/>
    <w:rsid w:val="29EC6874"/>
    <w:rsid w:val="2A517302"/>
    <w:rsid w:val="2AA7003D"/>
    <w:rsid w:val="2AFB1948"/>
    <w:rsid w:val="2B34402E"/>
    <w:rsid w:val="2B687F05"/>
    <w:rsid w:val="2CED278C"/>
    <w:rsid w:val="2D202C89"/>
    <w:rsid w:val="2D2B547E"/>
    <w:rsid w:val="2D5B651F"/>
    <w:rsid w:val="2E017996"/>
    <w:rsid w:val="2E3B621E"/>
    <w:rsid w:val="2E6429AD"/>
    <w:rsid w:val="2E727225"/>
    <w:rsid w:val="2E8960C3"/>
    <w:rsid w:val="2E8A77E8"/>
    <w:rsid w:val="2EB43217"/>
    <w:rsid w:val="2EC9746A"/>
    <w:rsid w:val="2ECD6C74"/>
    <w:rsid w:val="2ED4025B"/>
    <w:rsid w:val="2F4D40BA"/>
    <w:rsid w:val="2F5628C2"/>
    <w:rsid w:val="2F812C02"/>
    <w:rsid w:val="2FA72F5C"/>
    <w:rsid w:val="2FE80D4D"/>
    <w:rsid w:val="30675560"/>
    <w:rsid w:val="31A94281"/>
    <w:rsid w:val="324D5876"/>
    <w:rsid w:val="333170A5"/>
    <w:rsid w:val="33980283"/>
    <w:rsid w:val="33E76198"/>
    <w:rsid w:val="34DA011F"/>
    <w:rsid w:val="35062A90"/>
    <w:rsid w:val="353B3FA7"/>
    <w:rsid w:val="35424B42"/>
    <w:rsid w:val="35444B2D"/>
    <w:rsid w:val="35550ED5"/>
    <w:rsid w:val="35683C8C"/>
    <w:rsid w:val="35A8631D"/>
    <w:rsid w:val="35C74A4C"/>
    <w:rsid w:val="35EF6A13"/>
    <w:rsid w:val="36515BAC"/>
    <w:rsid w:val="366C6AF2"/>
    <w:rsid w:val="367C2A55"/>
    <w:rsid w:val="36824EBD"/>
    <w:rsid w:val="3692074A"/>
    <w:rsid w:val="370E5080"/>
    <w:rsid w:val="377122DA"/>
    <w:rsid w:val="381D73F0"/>
    <w:rsid w:val="38B605F5"/>
    <w:rsid w:val="38CE5AC2"/>
    <w:rsid w:val="38D7643F"/>
    <w:rsid w:val="3906293E"/>
    <w:rsid w:val="390E53F8"/>
    <w:rsid w:val="3B346D43"/>
    <w:rsid w:val="3B7E4137"/>
    <w:rsid w:val="3DB37034"/>
    <w:rsid w:val="3E4F11B8"/>
    <w:rsid w:val="3E842F2B"/>
    <w:rsid w:val="3EDF4AA4"/>
    <w:rsid w:val="3EEA73ED"/>
    <w:rsid w:val="3F640507"/>
    <w:rsid w:val="3F6D433B"/>
    <w:rsid w:val="3F8769CB"/>
    <w:rsid w:val="3FE12C6C"/>
    <w:rsid w:val="400B13AA"/>
    <w:rsid w:val="4025448D"/>
    <w:rsid w:val="41A41AB6"/>
    <w:rsid w:val="41A67D95"/>
    <w:rsid w:val="41EC4DF9"/>
    <w:rsid w:val="4210237A"/>
    <w:rsid w:val="427978D3"/>
    <w:rsid w:val="42A06F95"/>
    <w:rsid w:val="432A5C95"/>
    <w:rsid w:val="43396F74"/>
    <w:rsid w:val="433B6A04"/>
    <w:rsid w:val="43506F40"/>
    <w:rsid w:val="43C01E9E"/>
    <w:rsid w:val="4456696C"/>
    <w:rsid w:val="449F48FE"/>
    <w:rsid w:val="44EF7FFE"/>
    <w:rsid w:val="458B7EFA"/>
    <w:rsid w:val="459C3DB7"/>
    <w:rsid w:val="45A35241"/>
    <w:rsid w:val="45D22A35"/>
    <w:rsid w:val="45FB4A64"/>
    <w:rsid w:val="46011EA5"/>
    <w:rsid w:val="460136BA"/>
    <w:rsid w:val="46575965"/>
    <w:rsid w:val="46EB0596"/>
    <w:rsid w:val="479C50F8"/>
    <w:rsid w:val="47BB41BD"/>
    <w:rsid w:val="47BE2B9B"/>
    <w:rsid w:val="47FB3953"/>
    <w:rsid w:val="488A5160"/>
    <w:rsid w:val="48E911D4"/>
    <w:rsid w:val="4996277E"/>
    <w:rsid w:val="4B593A41"/>
    <w:rsid w:val="4B6B6156"/>
    <w:rsid w:val="4BD601A2"/>
    <w:rsid w:val="4BFF725E"/>
    <w:rsid w:val="4C062D71"/>
    <w:rsid w:val="4C33292B"/>
    <w:rsid w:val="4C6D79C2"/>
    <w:rsid w:val="4CA01374"/>
    <w:rsid w:val="4CC820F8"/>
    <w:rsid w:val="4CD7150E"/>
    <w:rsid w:val="4DAD6DEB"/>
    <w:rsid w:val="4E1A4530"/>
    <w:rsid w:val="4FCC4675"/>
    <w:rsid w:val="50087190"/>
    <w:rsid w:val="50133122"/>
    <w:rsid w:val="506327CB"/>
    <w:rsid w:val="50703ED4"/>
    <w:rsid w:val="50EA2763"/>
    <w:rsid w:val="50F268F9"/>
    <w:rsid w:val="51C927C1"/>
    <w:rsid w:val="51D83D05"/>
    <w:rsid w:val="520448AA"/>
    <w:rsid w:val="522F3CF6"/>
    <w:rsid w:val="52907A36"/>
    <w:rsid w:val="52AB5CBB"/>
    <w:rsid w:val="53B2137D"/>
    <w:rsid w:val="53C9033B"/>
    <w:rsid w:val="53E87F7F"/>
    <w:rsid w:val="541847A0"/>
    <w:rsid w:val="558F1F2B"/>
    <w:rsid w:val="55AA423D"/>
    <w:rsid w:val="55FE4FD3"/>
    <w:rsid w:val="561C677B"/>
    <w:rsid w:val="56A3306D"/>
    <w:rsid w:val="58373414"/>
    <w:rsid w:val="58624B7E"/>
    <w:rsid w:val="58996C78"/>
    <w:rsid w:val="589A11FD"/>
    <w:rsid w:val="58D27184"/>
    <w:rsid w:val="59C73FD8"/>
    <w:rsid w:val="59CB1F0D"/>
    <w:rsid w:val="59EA6718"/>
    <w:rsid w:val="5A56726E"/>
    <w:rsid w:val="5A9A02E0"/>
    <w:rsid w:val="5AAD1B6A"/>
    <w:rsid w:val="5AD761A3"/>
    <w:rsid w:val="5ADF0F9F"/>
    <w:rsid w:val="5AE66913"/>
    <w:rsid w:val="5BDB00E2"/>
    <w:rsid w:val="5BE10060"/>
    <w:rsid w:val="5CAB3B08"/>
    <w:rsid w:val="5CC07F5F"/>
    <w:rsid w:val="5D43540A"/>
    <w:rsid w:val="5D870C6B"/>
    <w:rsid w:val="5DC06844"/>
    <w:rsid w:val="5F5E26B7"/>
    <w:rsid w:val="5F6F7284"/>
    <w:rsid w:val="5FD4417D"/>
    <w:rsid w:val="600F6409"/>
    <w:rsid w:val="61400901"/>
    <w:rsid w:val="61AC355F"/>
    <w:rsid w:val="620B0DE0"/>
    <w:rsid w:val="62CF5C5A"/>
    <w:rsid w:val="637E73D8"/>
    <w:rsid w:val="63B16724"/>
    <w:rsid w:val="6420629B"/>
    <w:rsid w:val="644D6E13"/>
    <w:rsid w:val="66650F64"/>
    <w:rsid w:val="66C64044"/>
    <w:rsid w:val="67224F66"/>
    <w:rsid w:val="6799374E"/>
    <w:rsid w:val="680D48A2"/>
    <w:rsid w:val="68231420"/>
    <w:rsid w:val="68371A24"/>
    <w:rsid w:val="68D33C6B"/>
    <w:rsid w:val="690C00EA"/>
    <w:rsid w:val="697879B0"/>
    <w:rsid w:val="6A9F11C1"/>
    <w:rsid w:val="6AFB7370"/>
    <w:rsid w:val="6B1943F1"/>
    <w:rsid w:val="6BA53531"/>
    <w:rsid w:val="6BD41EFF"/>
    <w:rsid w:val="6C692E30"/>
    <w:rsid w:val="6CD9293F"/>
    <w:rsid w:val="6CE14BBB"/>
    <w:rsid w:val="6D2B4491"/>
    <w:rsid w:val="6DD662A4"/>
    <w:rsid w:val="6EAD71B4"/>
    <w:rsid w:val="6EEE7146"/>
    <w:rsid w:val="6FD977EE"/>
    <w:rsid w:val="702A28D7"/>
    <w:rsid w:val="70B126A9"/>
    <w:rsid w:val="70B2036F"/>
    <w:rsid w:val="720D789D"/>
    <w:rsid w:val="729828F6"/>
    <w:rsid w:val="72E27499"/>
    <w:rsid w:val="734624EA"/>
    <w:rsid w:val="73BF06C1"/>
    <w:rsid w:val="73F661FE"/>
    <w:rsid w:val="74DF22DE"/>
    <w:rsid w:val="74EE339B"/>
    <w:rsid w:val="75574E39"/>
    <w:rsid w:val="7573450A"/>
    <w:rsid w:val="757C2A3D"/>
    <w:rsid w:val="75AE07B3"/>
    <w:rsid w:val="75B32324"/>
    <w:rsid w:val="75B97D70"/>
    <w:rsid w:val="75C630A2"/>
    <w:rsid w:val="7636057B"/>
    <w:rsid w:val="76A75338"/>
    <w:rsid w:val="76B32A6F"/>
    <w:rsid w:val="76B435F5"/>
    <w:rsid w:val="76E93667"/>
    <w:rsid w:val="77421106"/>
    <w:rsid w:val="778A4D68"/>
    <w:rsid w:val="77F01842"/>
    <w:rsid w:val="785D2E0F"/>
    <w:rsid w:val="78795D99"/>
    <w:rsid w:val="789F338E"/>
    <w:rsid w:val="78B07EED"/>
    <w:rsid w:val="78C93712"/>
    <w:rsid w:val="78E97C9C"/>
    <w:rsid w:val="79603AFA"/>
    <w:rsid w:val="79B02214"/>
    <w:rsid w:val="79B225F6"/>
    <w:rsid w:val="79D8656A"/>
    <w:rsid w:val="79EF12C8"/>
    <w:rsid w:val="7A29081E"/>
    <w:rsid w:val="7AC715C1"/>
    <w:rsid w:val="7B2A5708"/>
    <w:rsid w:val="7B622430"/>
    <w:rsid w:val="7C181F3A"/>
    <w:rsid w:val="7CD16AC2"/>
    <w:rsid w:val="7D1833D8"/>
    <w:rsid w:val="7D5F22C8"/>
    <w:rsid w:val="7E031AE9"/>
    <w:rsid w:val="7E1C4ADC"/>
    <w:rsid w:val="7EF173E1"/>
    <w:rsid w:val="7FAF6B48"/>
    <w:rsid w:val="7FBC6C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keepNext/>
      <w:outlineLvl w:val="0"/>
    </w:pPr>
    <w:rPr>
      <w:sz w:val="26"/>
    </w:rPr>
  </w:style>
  <w:style w:type="paragraph" w:styleId="4">
    <w:name w:val="heading 2"/>
    <w:basedOn w:val="1"/>
    <w:next w:val="1"/>
    <w:qFormat/>
    <w:locked/>
    <w:uiPriority w:val="9"/>
    <w:pPr>
      <w:keepNext/>
      <w:keepLines/>
      <w:numPr>
        <w:ilvl w:val="1"/>
        <w:numId w:val="1"/>
      </w:numPr>
      <w:adjustRightInd w:val="0"/>
      <w:spacing w:before="260" w:after="260" w:line="416" w:lineRule="atLeast"/>
      <w:outlineLvl w:val="1"/>
    </w:pPr>
    <w:rPr>
      <w:rFonts w:ascii="Arial" w:hAnsi="Arial" w:eastAsia="黑体"/>
      <w:kern w:val="0"/>
      <w:sz w:val="32"/>
      <w:szCs w:val="20"/>
    </w:rPr>
  </w:style>
  <w:style w:type="paragraph" w:styleId="5">
    <w:name w:val="heading 3"/>
    <w:basedOn w:val="1"/>
    <w:next w:val="6"/>
    <w:unhideWhenUsed/>
    <w:qFormat/>
    <w:locked/>
    <w:uiPriority w:val="0"/>
    <w:pPr>
      <w:keepNext/>
      <w:keepLines/>
      <w:autoSpaceDE w:val="0"/>
      <w:autoSpaceDN w:val="0"/>
      <w:adjustRightInd w:val="0"/>
      <w:snapToGrid w:val="0"/>
      <w:spacing w:before="360" w:after="260"/>
      <w:jc w:val="left"/>
      <w:outlineLvl w:val="2"/>
    </w:pPr>
    <w:rPr>
      <w:rFonts w:ascii="Arial" w:hAnsi="Arial" w:cs="Arial"/>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Normal Indent"/>
    <w:basedOn w:val="1"/>
    <w:unhideWhenUsed/>
    <w:qFormat/>
    <w:uiPriority w:val="99"/>
    <w:pPr>
      <w:ind w:firstLine="420" w:firstLineChars="200"/>
    </w:pPr>
    <w:rPr>
      <w:rFonts w:ascii="Times New Roman" w:hAnsi="Times New Roman"/>
      <w:szCs w:val="24"/>
    </w:rPr>
  </w:style>
  <w:style w:type="paragraph" w:styleId="7">
    <w:name w:val="Body Text"/>
    <w:basedOn w:val="1"/>
    <w:next w:val="1"/>
    <w:qFormat/>
    <w:uiPriority w:val="0"/>
    <w:pPr>
      <w:spacing w:after="120"/>
    </w:pPr>
    <w:rPr>
      <w:sz w:val="21"/>
    </w:rPr>
  </w:style>
  <w:style w:type="paragraph" w:styleId="8">
    <w:name w:val="Body Text Indent"/>
    <w:basedOn w:val="1"/>
    <w:link w:val="19"/>
    <w:qFormat/>
    <w:uiPriority w:val="99"/>
    <w:pPr>
      <w:spacing w:after="120"/>
      <w:ind w:left="420" w:leftChars="200"/>
    </w:pPr>
  </w:style>
  <w:style w:type="paragraph" w:styleId="9">
    <w:name w:val="Plain Text"/>
    <w:basedOn w:val="1"/>
    <w:link w:val="20"/>
    <w:qFormat/>
    <w:uiPriority w:val="99"/>
    <w:rPr>
      <w:rFonts w:ascii="宋体" w:hAnsi="Courier New"/>
    </w:rPr>
  </w:style>
  <w:style w:type="paragraph" w:styleId="10">
    <w:name w:val="Date"/>
    <w:basedOn w:val="1"/>
    <w:next w:val="1"/>
    <w:link w:val="21"/>
    <w:qFormat/>
    <w:uiPriority w:val="99"/>
    <w:rPr>
      <w:rFonts w:ascii="Courier New" w:hAnsi="华文中宋" w:eastAsia="Times New Roman" w:cs="华文中宋"/>
      <w:sz w:val="28"/>
      <w:szCs w:val="20"/>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24"/>
    <w:qFormat/>
    <w:uiPriority w:val="99"/>
    <w:pPr>
      <w:spacing w:line="360" w:lineRule="auto"/>
    </w:pPr>
    <w:rPr>
      <w:rFonts w:ascii="宋体" w:hAnsi="宋体"/>
      <w:color w:val="FF0000"/>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568E30"/>
      <w:u w:val="none"/>
    </w:rPr>
  </w:style>
  <w:style w:type="character" w:styleId="18">
    <w:name w:val="Hyperlink"/>
    <w:basedOn w:val="16"/>
    <w:semiHidden/>
    <w:unhideWhenUsed/>
    <w:qFormat/>
    <w:uiPriority w:val="99"/>
    <w:rPr>
      <w:color w:val="568E30"/>
      <w:u w:val="none"/>
    </w:rPr>
  </w:style>
  <w:style w:type="character" w:customStyle="1" w:styleId="19">
    <w:name w:val="正文文本缩进 Char"/>
    <w:basedOn w:val="16"/>
    <w:link w:val="8"/>
    <w:semiHidden/>
    <w:qFormat/>
    <w:uiPriority w:val="99"/>
    <w:rPr>
      <w:rFonts w:ascii="Calibri" w:hAnsi="Calibri"/>
    </w:rPr>
  </w:style>
  <w:style w:type="character" w:customStyle="1" w:styleId="20">
    <w:name w:val="纯文本 Char"/>
    <w:basedOn w:val="16"/>
    <w:link w:val="9"/>
    <w:semiHidden/>
    <w:qFormat/>
    <w:uiPriority w:val="99"/>
    <w:rPr>
      <w:rFonts w:ascii="宋体" w:hAnsi="Courier New" w:cs="Courier New"/>
      <w:szCs w:val="21"/>
    </w:rPr>
  </w:style>
  <w:style w:type="character" w:customStyle="1" w:styleId="21">
    <w:name w:val="日期 Char"/>
    <w:basedOn w:val="16"/>
    <w:link w:val="10"/>
    <w:semiHidden/>
    <w:qFormat/>
    <w:uiPriority w:val="99"/>
    <w:rPr>
      <w:rFonts w:ascii="Calibri" w:hAnsi="Calibri"/>
    </w:rPr>
  </w:style>
  <w:style w:type="character" w:customStyle="1" w:styleId="22">
    <w:name w:val="页脚 Char"/>
    <w:basedOn w:val="16"/>
    <w:link w:val="11"/>
    <w:qFormat/>
    <w:locked/>
    <w:uiPriority w:val="99"/>
    <w:rPr>
      <w:rFonts w:ascii="Calibri" w:hAnsi="Calibri" w:eastAsia="宋体" w:cs="Times New Roman"/>
      <w:kern w:val="2"/>
      <w:sz w:val="18"/>
      <w:szCs w:val="18"/>
    </w:rPr>
  </w:style>
  <w:style w:type="character" w:customStyle="1" w:styleId="23">
    <w:name w:val="页眉 Char"/>
    <w:basedOn w:val="16"/>
    <w:link w:val="12"/>
    <w:qFormat/>
    <w:locked/>
    <w:uiPriority w:val="99"/>
    <w:rPr>
      <w:rFonts w:ascii="Calibri" w:hAnsi="Calibri" w:eastAsia="宋体" w:cs="Times New Roman"/>
      <w:kern w:val="2"/>
      <w:sz w:val="18"/>
      <w:szCs w:val="18"/>
    </w:rPr>
  </w:style>
  <w:style w:type="character" w:customStyle="1" w:styleId="24">
    <w:name w:val="正文文本 2 Char"/>
    <w:basedOn w:val="16"/>
    <w:link w:val="13"/>
    <w:semiHidden/>
    <w:qFormat/>
    <w:uiPriority w:val="99"/>
    <w:rPr>
      <w:rFonts w:ascii="Calibri" w:hAnsi="Calibri"/>
    </w:rPr>
  </w:style>
  <w:style w:type="character" w:customStyle="1" w:styleId="25">
    <w:name w:val="font01"/>
    <w:basedOn w:val="16"/>
    <w:qFormat/>
    <w:uiPriority w:val="99"/>
    <w:rPr>
      <w:rFonts w:ascii="font-weight : 400" w:hAnsi="font-weight : 400" w:eastAsia="Times New Roman" w:cs="font-weight : 400"/>
      <w:color w:val="000000"/>
      <w:sz w:val="22"/>
      <w:szCs w:val="22"/>
      <w:u w:val="none"/>
    </w:rPr>
  </w:style>
  <w:style w:type="character" w:customStyle="1" w:styleId="26">
    <w:name w:val="font21"/>
    <w:basedOn w:val="16"/>
    <w:qFormat/>
    <w:uiPriority w:val="99"/>
    <w:rPr>
      <w:rFonts w:ascii="font-weight : 400" w:hAnsi="font-weight : 400" w:eastAsia="Times New Roman" w:cs="font-weight : 400"/>
      <w:color w:val="000000"/>
      <w:sz w:val="22"/>
      <w:szCs w:val="22"/>
      <w:u w:val="single"/>
    </w:rPr>
  </w:style>
  <w:style w:type="character" w:customStyle="1" w:styleId="27">
    <w:name w:val="font11"/>
    <w:basedOn w:val="16"/>
    <w:qFormat/>
    <w:uiPriority w:val="99"/>
    <w:rPr>
      <w:rFonts w:ascii="宋体" w:hAnsi="宋体" w:eastAsia="宋体" w:cs="宋体"/>
      <w:color w:val="FF0000"/>
      <w:sz w:val="22"/>
      <w:szCs w:val="22"/>
      <w:u w:val="none"/>
    </w:rPr>
  </w:style>
  <w:style w:type="character" w:customStyle="1" w:styleId="28">
    <w:name w:val="font41"/>
    <w:basedOn w:val="16"/>
    <w:qFormat/>
    <w:uiPriority w:val="99"/>
    <w:rPr>
      <w:rFonts w:ascii="宋体" w:hAnsi="宋体" w:eastAsia="宋体" w:cs="宋体"/>
      <w:color w:val="000000"/>
      <w:sz w:val="22"/>
      <w:szCs w:val="22"/>
      <w:u w:val="none"/>
    </w:rPr>
  </w:style>
  <w:style w:type="character" w:customStyle="1" w:styleId="29">
    <w:name w:val="font31"/>
    <w:basedOn w:val="16"/>
    <w:qFormat/>
    <w:uiPriority w:val="99"/>
    <w:rPr>
      <w:rFonts w:ascii="宋体" w:hAnsi="宋体" w:eastAsia="宋体" w:cs="宋体"/>
      <w:color w:val="000000"/>
      <w:sz w:val="22"/>
      <w:szCs w:val="22"/>
      <w:u w:val="none"/>
    </w:rPr>
  </w:style>
  <w:style w:type="character" w:customStyle="1" w:styleId="30">
    <w:name w:val="active1"/>
    <w:basedOn w:val="16"/>
    <w:qFormat/>
    <w:uiPriority w:val="0"/>
    <w:rPr>
      <w:b/>
    </w:rPr>
  </w:style>
  <w:style w:type="character" w:customStyle="1" w:styleId="31">
    <w:name w:val="btnspan"/>
    <w:basedOn w:val="16"/>
    <w:qFormat/>
    <w:uiPriority w:val="0"/>
  </w:style>
  <w:style w:type="character" w:customStyle="1" w:styleId="32">
    <w:name w:val="nav_pop_folder"/>
    <w:basedOn w:val="16"/>
    <w:qFormat/>
    <w:uiPriority w:val="0"/>
  </w:style>
  <w:style w:type="character" w:customStyle="1" w:styleId="33">
    <w:name w:val="icolink3"/>
    <w:basedOn w:val="16"/>
    <w:qFormat/>
    <w:uiPriority w:val="0"/>
  </w:style>
  <w:style w:type="character" w:customStyle="1" w:styleId="34">
    <w:name w:val="icolink4"/>
    <w:basedOn w:val="16"/>
    <w:qFormat/>
    <w:uiPriority w:val="0"/>
  </w:style>
  <w:style w:type="character" w:customStyle="1" w:styleId="35">
    <w:name w:val="mailnum"/>
    <w:basedOn w:val="16"/>
    <w:qFormat/>
    <w:uiPriority w:val="0"/>
    <w:rPr>
      <w:b/>
    </w:rPr>
  </w:style>
  <w:style w:type="character" w:customStyle="1" w:styleId="36">
    <w:name w:val="normalspan"/>
    <w:basedOn w:val="16"/>
    <w:qFormat/>
    <w:uiPriority w:val="0"/>
    <w:rPr>
      <w:color w:val="auto"/>
    </w:rPr>
  </w:style>
  <w:style w:type="character" w:customStyle="1" w:styleId="37">
    <w:name w:val="hover16"/>
    <w:basedOn w:val="16"/>
    <w:qFormat/>
    <w:uiPriority w:val="0"/>
    <w:rPr>
      <w:shd w:val="clear" w:fill="D0D0D0"/>
    </w:rPr>
  </w:style>
  <w:style w:type="character" w:customStyle="1" w:styleId="38">
    <w:name w:val="hover17"/>
    <w:basedOn w:val="16"/>
    <w:qFormat/>
    <w:uiPriority w:val="0"/>
    <w:rPr>
      <w:shd w:val="clear" w:fill="EFEFEF"/>
    </w:rPr>
  </w:style>
  <w:style w:type="character" w:customStyle="1" w:styleId="39">
    <w:name w:val="operand"/>
    <w:basedOn w:val="16"/>
    <w:qFormat/>
    <w:uiPriority w:val="0"/>
    <w:rPr>
      <w:b/>
      <w:color w:val="16960E"/>
    </w:rPr>
  </w:style>
  <w:style w:type="character" w:customStyle="1" w:styleId="40">
    <w:name w:val="enabledtext"/>
    <w:basedOn w:val="16"/>
    <w:qFormat/>
    <w:uiPriority w:val="0"/>
    <w:rPr>
      <w:color w:val="000000"/>
    </w:rPr>
  </w:style>
  <w:style w:type="character" w:customStyle="1" w:styleId="41">
    <w:name w:val="odcr2"/>
    <w:basedOn w:val="16"/>
    <w:qFormat/>
    <w:uiPriority w:val="0"/>
    <w:rPr>
      <w:color w:val="777777"/>
    </w:rPr>
  </w:style>
  <w:style w:type="character" w:customStyle="1" w:styleId="42">
    <w:name w:val="hidden2"/>
    <w:basedOn w:val="16"/>
    <w:qFormat/>
    <w:uiPriority w:val="0"/>
    <w:rPr>
      <w:vanish/>
    </w:rPr>
  </w:style>
  <w:style w:type="character" w:customStyle="1" w:styleId="43">
    <w:name w:val="viewflagged"/>
    <w:basedOn w:val="16"/>
    <w:qFormat/>
    <w:uiPriority w:val="0"/>
    <w:rPr>
      <w:color w:val="1B1B1B"/>
    </w:rPr>
  </w:style>
  <w:style w:type="character" w:customStyle="1" w:styleId="44">
    <w:name w:val="email1"/>
    <w:basedOn w:val="16"/>
    <w:qFormat/>
    <w:uiPriority w:val="0"/>
    <w:rPr>
      <w:color w:val="848484"/>
    </w:rPr>
  </w:style>
  <w:style w:type="paragraph" w:customStyle="1" w:styleId="45">
    <w:name w:val="目录"/>
    <w:basedOn w:val="1"/>
    <w:qFormat/>
    <w:uiPriority w:val="0"/>
    <w:pPr>
      <w:widowControl/>
      <w:spacing w:line="480" w:lineRule="auto"/>
      <w:jc w:val="center"/>
    </w:pPr>
    <w:rPr>
      <w:rFonts w:ascii="宋体" w:hAnsi="Times New Roman"/>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9388</Words>
  <Characters>10183</Characters>
  <Lines>49</Lines>
  <Paragraphs>13</Paragraphs>
  <TotalTime>8</TotalTime>
  <ScaleCrop>false</ScaleCrop>
  <LinksUpToDate>false</LinksUpToDate>
  <CharactersWithSpaces>11115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2018-02-26T05:33:00Z</dcterms:created>
  <dc:creator>陈俊旺</dc:creator>
  <cp:lastModifiedBy>陈俊旺</cp:lastModifiedBy>
  <cp:lastPrinted>2022-05-31T07:14:00Z</cp:lastPrinted>
  <dcterms:modified xsi:type="dcterms:W3CDTF">2022-07-08T08:41:21Z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FD8C8F7D926B4CAE91C3D08E04535A21</vt:lpwstr>
  </property>
</Properties>
</file>